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F7F93">
      <w:pPr>
        <w:keepNext/>
        <w:keepLines/>
        <w:spacing w:before="260" w:after="260" w:line="360" w:lineRule="auto"/>
        <w:outlineLvl w:val="1"/>
        <w:rPr>
          <w:rFonts w:hint="eastAsia" w:ascii="宋体" w:hAnsi="宋体"/>
          <w:b/>
          <w:bCs/>
          <w:iCs/>
          <w:sz w:val="24"/>
          <w:szCs w:val="24"/>
        </w:rPr>
      </w:pPr>
      <w:r>
        <w:rPr>
          <w:rFonts w:hint="eastAsia" w:ascii="宋体" w:hAnsi="宋体"/>
          <w:b/>
          <w:bCs/>
          <w:iCs/>
          <w:sz w:val="24"/>
          <w:szCs w:val="24"/>
        </w:rPr>
        <w:t>证券代码：688621                                证券简称：阳光诺和</w:t>
      </w:r>
    </w:p>
    <w:p w14:paraId="193C9A26">
      <w:pPr>
        <w:keepNext/>
        <w:keepLines/>
        <w:spacing w:before="20" w:after="20"/>
        <w:jc w:val="center"/>
        <w:outlineLvl w:val="1"/>
        <w:rPr>
          <w:rFonts w:hint="eastAsia" w:ascii="宋体" w:hAnsi="宋体"/>
          <w:b/>
          <w:bCs/>
          <w:sz w:val="36"/>
          <w:szCs w:val="36"/>
        </w:rPr>
      </w:pPr>
      <w:r>
        <w:rPr>
          <w:rFonts w:hint="eastAsia" w:ascii="宋体" w:hAnsi="宋体"/>
          <w:b/>
          <w:sz w:val="36"/>
          <w:szCs w:val="36"/>
        </w:rPr>
        <w:t>北京阳光诺和药物研究</w:t>
      </w:r>
      <w:r>
        <w:rPr>
          <w:rFonts w:hint="eastAsia" w:ascii="宋体" w:hAnsi="宋体"/>
          <w:b/>
          <w:bCs/>
          <w:sz w:val="36"/>
          <w:szCs w:val="36"/>
        </w:rPr>
        <w:t>股份有限公司</w:t>
      </w:r>
    </w:p>
    <w:p w14:paraId="1DE76FD4">
      <w:pPr>
        <w:keepNext/>
        <w:keepLines/>
        <w:spacing w:before="20" w:after="20"/>
        <w:jc w:val="center"/>
        <w:outlineLvl w:val="1"/>
        <w:rPr>
          <w:rFonts w:hint="eastAsia" w:ascii="宋体" w:hAnsi="宋体"/>
          <w:b/>
          <w:bCs/>
          <w:sz w:val="36"/>
          <w:szCs w:val="36"/>
        </w:rPr>
      </w:pPr>
      <w:r>
        <w:rPr>
          <w:rFonts w:hint="eastAsia" w:ascii="宋体" w:hAnsi="宋体"/>
          <w:b/>
          <w:bCs/>
          <w:sz w:val="36"/>
          <w:szCs w:val="36"/>
        </w:rPr>
        <w:t>投资者关系活动记录表</w:t>
      </w:r>
    </w:p>
    <w:p w14:paraId="1D3EAABF">
      <w:pPr>
        <w:spacing w:line="360" w:lineRule="auto"/>
        <w:jc w:val="center"/>
        <w:rPr>
          <w:rFonts w:hint="eastAsia" w:ascii="宋体" w:hAnsi="宋体"/>
          <w:b/>
          <w:iCs/>
          <w:sz w:val="24"/>
          <w:szCs w:val="24"/>
        </w:rPr>
      </w:pPr>
      <w:r>
        <w:rPr>
          <w:rFonts w:hint="eastAsia" w:ascii="宋体" w:hAnsi="宋体"/>
          <w:b/>
          <w:iCs/>
          <w:sz w:val="24"/>
          <w:szCs w:val="24"/>
        </w:rPr>
        <w:t>（20</w:t>
      </w:r>
      <w:r>
        <w:rPr>
          <w:rFonts w:ascii="宋体" w:hAnsi="宋体"/>
          <w:b/>
          <w:iCs/>
          <w:sz w:val="24"/>
          <w:szCs w:val="24"/>
        </w:rPr>
        <w:t>2</w:t>
      </w:r>
      <w:r>
        <w:rPr>
          <w:rFonts w:hint="eastAsia" w:ascii="宋体" w:hAnsi="宋体"/>
          <w:b/>
          <w:iCs/>
          <w:sz w:val="24"/>
          <w:szCs w:val="24"/>
          <w:lang w:val="en-US" w:eastAsia="zh-CN"/>
        </w:rPr>
        <w:t>6</w:t>
      </w:r>
      <w:r>
        <w:rPr>
          <w:rFonts w:hint="eastAsia" w:ascii="宋体" w:hAnsi="宋体"/>
          <w:b/>
          <w:iCs/>
          <w:sz w:val="24"/>
          <w:szCs w:val="24"/>
        </w:rPr>
        <w:t>年</w:t>
      </w:r>
      <w:r>
        <w:rPr>
          <w:rFonts w:hint="eastAsia" w:ascii="宋体" w:hAnsi="宋体"/>
          <w:b/>
          <w:iCs/>
          <w:sz w:val="24"/>
          <w:szCs w:val="24"/>
          <w:lang w:val="en-US" w:eastAsia="zh-CN"/>
        </w:rPr>
        <w:t>1</w:t>
      </w:r>
      <w:r>
        <w:rPr>
          <w:rFonts w:hint="eastAsia" w:ascii="宋体" w:hAnsi="宋体"/>
          <w:b/>
          <w:iCs/>
          <w:sz w:val="24"/>
          <w:szCs w:val="24"/>
        </w:rPr>
        <w:t>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203"/>
      </w:tblGrid>
      <w:tr w14:paraId="2F973973">
        <w:tc>
          <w:tcPr>
            <w:tcW w:w="2093" w:type="dxa"/>
            <w:vAlign w:val="center"/>
          </w:tcPr>
          <w:p w14:paraId="199D38DD">
            <w:pPr>
              <w:spacing w:line="360" w:lineRule="auto"/>
              <w:jc w:val="center"/>
              <w:rPr>
                <w:rFonts w:hint="eastAsia" w:ascii="宋体" w:hAnsi="宋体"/>
                <w:b/>
                <w:bCs/>
                <w:iCs/>
                <w:sz w:val="24"/>
                <w:szCs w:val="24"/>
              </w:rPr>
            </w:pPr>
            <w:r>
              <w:rPr>
                <w:rFonts w:hint="eastAsia" w:ascii="宋体" w:hAnsi="宋体"/>
                <w:b/>
                <w:bCs/>
                <w:iCs/>
                <w:sz w:val="24"/>
                <w:szCs w:val="24"/>
              </w:rPr>
              <w:t>投资者关系活动类别</w:t>
            </w:r>
          </w:p>
        </w:tc>
        <w:tc>
          <w:tcPr>
            <w:tcW w:w="6203" w:type="dxa"/>
            <w:vAlign w:val="center"/>
          </w:tcPr>
          <w:p w14:paraId="4936C92A">
            <w:pPr>
              <w:spacing w:line="360" w:lineRule="auto"/>
              <w:rPr>
                <w:rFonts w:hint="eastAsia" w:ascii="宋体" w:hAnsi="宋体"/>
                <w:bCs/>
                <w:iCs/>
                <w:sz w:val="24"/>
                <w:szCs w:val="24"/>
              </w:rPr>
            </w:pPr>
            <w:r>
              <w:rPr>
                <w:rFonts w:hint="eastAsia" w:ascii="宋体" w:hAnsi="宋体"/>
                <w:bCs/>
                <w:iCs/>
                <w:sz w:val="24"/>
                <w:szCs w:val="24"/>
              </w:rPr>
              <w:sym w:font="Wingdings 2" w:char="0052"/>
            </w:r>
            <w:r>
              <w:rPr>
                <w:rFonts w:hint="eastAsia" w:ascii="宋体" w:hAnsi="宋体"/>
                <w:sz w:val="24"/>
                <w:szCs w:val="24"/>
              </w:rPr>
              <w:t xml:space="preserve">特定对象调研        </w:t>
            </w:r>
            <w:r>
              <w:rPr>
                <w:rFonts w:hint="eastAsia" w:ascii="宋体" w:hAnsi="宋体"/>
                <w:bCs/>
                <w:iCs/>
                <w:sz w:val="24"/>
                <w:szCs w:val="24"/>
              </w:rPr>
              <w:sym w:font="Wingdings 2" w:char="00A3"/>
            </w:r>
            <w:r>
              <w:rPr>
                <w:rFonts w:hint="eastAsia" w:ascii="宋体" w:hAnsi="宋体"/>
                <w:sz w:val="24"/>
                <w:szCs w:val="24"/>
              </w:rPr>
              <w:t>分析师会议</w:t>
            </w:r>
          </w:p>
          <w:p w14:paraId="39B80EF3">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sym w:font="Wingdings 2" w:char="00A3"/>
            </w:r>
            <w:r>
              <w:rPr>
                <w:rFonts w:hint="eastAsia" w:ascii="宋体" w:hAnsi="宋体"/>
                <w:sz w:val="24"/>
                <w:szCs w:val="24"/>
              </w:rPr>
              <w:t>业绩说明会</w:t>
            </w:r>
          </w:p>
          <w:p w14:paraId="7EBD013F">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51719483">
            <w:pPr>
              <w:tabs>
                <w:tab w:val="left" w:pos="3045"/>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F0A3"/>
            </w:r>
            <w:r>
              <w:rPr>
                <w:rFonts w:hint="eastAsia" w:ascii="宋体" w:hAnsi="宋体"/>
                <w:sz w:val="24"/>
                <w:szCs w:val="24"/>
              </w:rPr>
              <w:t>现场参观</w:t>
            </w:r>
            <w:r>
              <w:rPr>
                <w:rFonts w:ascii="宋体" w:hAnsi="宋体"/>
                <w:bCs/>
                <w:iCs/>
                <w:sz w:val="24"/>
                <w:szCs w:val="24"/>
              </w:rPr>
              <w:tab/>
            </w:r>
          </w:p>
          <w:p w14:paraId="232496E4">
            <w:pPr>
              <w:tabs>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00A3"/>
            </w:r>
            <w:r>
              <w:rPr>
                <w:rFonts w:hint="eastAsia" w:ascii="宋体" w:hAnsi="宋体"/>
                <w:sz w:val="24"/>
                <w:szCs w:val="24"/>
              </w:rPr>
              <w:t>其他（电话会议）</w:t>
            </w:r>
          </w:p>
        </w:tc>
      </w:tr>
      <w:tr w14:paraId="622A330B">
        <w:tc>
          <w:tcPr>
            <w:tcW w:w="2093" w:type="dxa"/>
            <w:vAlign w:val="center"/>
          </w:tcPr>
          <w:p w14:paraId="72B2D1EE">
            <w:pPr>
              <w:spacing w:line="360" w:lineRule="auto"/>
              <w:jc w:val="center"/>
              <w:rPr>
                <w:rFonts w:hint="eastAsia" w:ascii="宋体" w:hAnsi="宋体"/>
                <w:b/>
                <w:bCs/>
                <w:iCs/>
                <w:sz w:val="24"/>
                <w:szCs w:val="24"/>
              </w:rPr>
            </w:pPr>
            <w:r>
              <w:rPr>
                <w:rFonts w:hint="eastAsia" w:ascii="宋体" w:hAnsi="宋体"/>
                <w:b/>
                <w:bCs/>
                <w:iCs/>
                <w:sz w:val="24"/>
                <w:szCs w:val="24"/>
              </w:rPr>
              <w:t>参与单位名称</w:t>
            </w:r>
          </w:p>
        </w:tc>
        <w:tc>
          <w:tcPr>
            <w:tcW w:w="6203" w:type="dxa"/>
          </w:tcPr>
          <w:p w14:paraId="7CE61A69">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信达证券、东北证券、广发基金、长盛基金、高毅资产、创金合信、华西基金、安信基金、东方阿尔法基金、泰康资产、诺德基金、方正证券、金鹰基金、融通基金、南方基金、华创证券</w:t>
            </w:r>
          </w:p>
        </w:tc>
      </w:tr>
      <w:tr w14:paraId="63BC6D09">
        <w:tc>
          <w:tcPr>
            <w:tcW w:w="2093" w:type="dxa"/>
            <w:vAlign w:val="center"/>
          </w:tcPr>
          <w:p w14:paraId="1A8094E6">
            <w:pPr>
              <w:spacing w:line="360" w:lineRule="auto"/>
              <w:jc w:val="center"/>
              <w:rPr>
                <w:rFonts w:hint="eastAsia" w:ascii="宋体" w:hAnsi="宋体"/>
                <w:b/>
                <w:bCs/>
                <w:iCs/>
                <w:sz w:val="24"/>
                <w:szCs w:val="24"/>
              </w:rPr>
            </w:pPr>
            <w:r>
              <w:rPr>
                <w:rFonts w:hint="eastAsia" w:ascii="宋体" w:hAnsi="宋体"/>
                <w:b/>
                <w:bCs/>
                <w:iCs/>
                <w:sz w:val="24"/>
                <w:szCs w:val="24"/>
              </w:rPr>
              <w:t>时间</w:t>
            </w:r>
          </w:p>
        </w:tc>
        <w:tc>
          <w:tcPr>
            <w:tcW w:w="6203" w:type="dxa"/>
          </w:tcPr>
          <w:p w14:paraId="326BC5A2">
            <w:pPr>
              <w:spacing w:line="360" w:lineRule="auto"/>
              <w:rPr>
                <w:rFonts w:hint="default" w:ascii="宋体" w:hAnsi="宋体" w:eastAsia="宋体"/>
                <w:bCs/>
                <w:iCs/>
                <w:sz w:val="24"/>
                <w:szCs w:val="24"/>
                <w:lang w:val="en-US" w:eastAsia="zh-CN"/>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lang w:val="en-US" w:eastAsia="zh-CN"/>
              </w:rPr>
              <w:t>6</w:t>
            </w:r>
            <w:r>
              <w:rPr>
                <w:rFonts w:hint="eastAsia" w:ascii="宋体" w:hAnsi="宋体"/>
                <w:bCs/>
                <w:iCs/>
                <w:sz w:val="24"/>
                <w:szCs w:val="24"/>
              </w:rPr>
              <w:t>年</w:t>
            </w:r>
            <w:r>
              <w:rPr>
                <w:rFonts w:hint="eastAsia" w:ascii="宋体" w:hAnsi="宋体"/>
                <w:bCs/>
                <w:iCs/>
                <w:sz w:val="24"/>
                <w:szCs w:val="24"/>
                <w:lang w:val="en-US" w:eastAsia="zh-CN"/>
              </w:rPr>
              <w:t>1</w:t>
            </w:r>
            <w:r>
              <w:rPr>
                <w:rFonts w:hint="eastAsia" w:ascii="宋体" w:hAnsi="宋体"/>
                <w:bCs/>
                <w:iCs/>
                <w:sz w:val="24"/>
                <w:szCs w:val="24"/>
              </w:rPr>
              <w:t>月</w:t>
            </w:r>
            <w:r>
              <w:rPr>
                <w:rFonts w:hint="eastAsia" w:ascii="宋体" w:hAnsi="宋体"/>
                <w:bCs/>
                <w:iCs/>
                <w:sz w:val="24"/>
                <w:szCs w:val="24"/>
                <w:lang w:val="en-US" w:eastAsia="zh-CN"/>
              </w:rPr>
              <w:t>29-30</w:t>
            </w:r>
            <w:r>
              <w:rPr>
                <w:rFonts w:hint="eastAsia" w:ascii="宋体" w:hAnsi="宋体"/>
                <w:bCs/>
                <w:iCs/>
                <w:sz w:val="24"/>
                <w:szCs w:val="24"/>
              </w:rPr>
              <w:t>日</w:t>
            </w:r>
          </w:p>
        </w:tc>
      </w:tr>
      <w:tr w14:paraId="2448A6CD">
        <w:tc>
          <w:tcPr>
            <w:tcW w:w="2093" w:type="dxa"/>
            <w:vAlign w:val="center"/>
          </w:tcPr>
          <w:p w14:paraId="3FEB7A8D">
            <w:pPr>
              <w:spacing w:line="360" w:lineRule="auto"/>
              <w:jc w:val="center"/>
              <w:rPr>
                <w:rFonts w:hint="eastAsia" w:ascii="宋体" w:hAnsi="宋体"/>
                <w:b/>
                <w:bCs/>
                <w:iCs/>
                <w:sz w:val="24"/>
                <w:szCs w:val="24"/>
              </w:rPr>
            </w:pPr>
            <w:r>
              <w:rPr>
                <w:rFonts w:hint="eastAsia" w:ascii="宋体" w:hAnsi="宋体"/>
                <w:b/>
                <w:bCs/>
                <w:iCs/>
                <w:sz w:val="24"/>
                <w:szCs w:val="24"/>
              </w:rPr>
              <w:t>参会方式</w:t>
            </w:r>
          </w:p>
        </w:tc>
        <w:tc>
          <w:tcPr>
            <w:tcW w:w="6203" w:type="dxa"/>
          </w:tcPr>
          <w:p w14:paraId="4C5F5090">
            <w:pPr>
              <w:spacing w:line="360" w:lineRule="auto"/>
              <w:rPr>
                <w:rFonts w:hint="eastAsia" w:ascii="宋体" w:hAnsi="宋体"/>
                <w:bCs/>
                <w:iCs/>
                <w:sz w:val="24"/>
                <w:szCs w:val="24"/>
              </w:rPr>
            </w:pPr>
            <w:r>
              <w:rPr>
                <w:rFonts w:hint="eastAsia" w:ascii="宋体" w:hAnsi="宋体"/>
                <w:bCs/>
                <w:iCs/>
                <w:sz w:val="24"/>
                <w:szCs w:val="24"/>
                <w:lang w:val="en-US" w:eastAsia="zh-CN"/>
              </w:rPr>
              <w:t>线下</w:t>
            </w:r>
            <w:r>
              <w:rPr>
                <w:rFonts w:hint="eastAsia" w:ascii="宋体" w:hAnsi="宋体"/>
                <w:bCs/>
                <w:iCs/>
                <w:sz w:val="24"/>
                <w:szCs w:val="24"/>
              </w:rPr>
              <w:t>会议</w:t>
            </w:r>
          </w:p>
        </w:tc>
      </w:tr>
      <w:tr w14:paraId="2200319B">
        <w:tc>
          <w:tcPr>
            <w:tcW w:w="2093" w:type="dxa"/>
            <w:vAlign w:val="center"/>
          </w:tcPr>
          <w:p w14:paraId="25249036">
            <w:pPr>
              <w:spacing w:line="360" w:lineRule="auto"/>
              <w:jc w:val="center"/>
              <w:rPr>
                <w:rFonts w:hint="eastAsia" w:ascii="宋体" w:hAnsi="宋体"/>
                <w:b/>
                <w:bCs/>
                <w:iCs/>
                <w:sz w:val="24"/>
                <w:szCs w:val="24"/>
              </w:rPr>
            </w:pPr>
            <w:r>
              <w:rPr>
                <w:rFonts w:hint="eastAsia" w:ascii="宋体" w:hAnsi="宋体"/>
                <w:b/>
                <w:bCs/>
                <w:iCs/>
                <w:sz w:val="24"/>
                <w:szCs w:val="24"/>
              </w:rPr>
              <w:t>上市公司接待人员姓名</w:t>
            </w:r>
          </w:p>
        </w:tc>
        <w:tc>
          <w:tcPr>
            <w:tcW w:w="6203" w:type="dxa"/>
            <w:vAlign w:val="center"/>
          </w:tcPr>
          <w:p w14:paraId="3DF08B4D">
            <w:pPr>
              <w:spacing w:line="360" w:lineRule="auto"/>
              <w:rPr>
                <w:rFonts w:hint="default" w:ascii="宋体" w:hAnsi="宋体"/>
                <w:bCs/>
                <w:iCs/>
                <w:sz w:val="24"/>
                <w:szCs w:val="24"/>
                <w:lang w:val="en-US" w:eastAsia="zh-CN"/>
              </w:rPr>
            </w:pPr>
            <w:r>
              <w:rPr>
                <w:rFonts w:hint="eastAsia" w:ascii="宋体" w:hAnsi="宋体"/>
                <w:bCs/>
                <w:iCs/>
                <w:sz w:val="24"/>
                <w:szCs w:val="24"/>
                <w:lang w:val="en-US" w:eastAsia="zh-CN"/>
              </w:rPr>
              <w:t>董事会秘书：魏丽萍女士</w:t>
            </w:r>
          </w:p>
          <w:p w14:paraId="5422822E">
            <w:pPr>
              <w:spacing w:line="360" w:lineRule="auto"/>
              <w:rPr>
                <w:rFonts w:hint="default" w:ascii="宋体" w:hAnsi="宋体"/>
                <w:bCs/>
                <w:iCs/>
                <w:sz w:val="24"/>
                <w:szCs w:val="24"/>
                <w:lang w:val="en-US"/>
              </w:rPr>
            </w:pPr>
            <w:r>
              <w:rPr>
                <w:rFonts w:hint="eastAsia" w:ascii="宋体" w:hAnsi="宋体"/>
                <w:bCs/>
                <w:iCs/>
                <w:sz w:val="24"/>
                <w:szCs w:val="24"/>
                <w:lang w:val="en-US" w:eastAsia="zh-CN"/>
              </w:rPr>
              <w:t>投资者关系总监</w:t>
            </w:r>
            <w:r>
              <w:rPr>
                <w:rFonts w:hint="eastAsia" w:ascii="宋体" w:hAnsi="宋体"/>
                <w:sz w:val="24"/>
                <w:lang w:eastAsia="zh-CN"/>
              </w:rPr>
              <w:t>：</w:t>
            </w:r>
            <w:r>
              <w:rPr>
                <w:rFonts w:hint="eastAsia" w:ascii="宋体" w:hAnsi="宋体"/>
                <w:bCs/>
                <w:iCs/>
                <w:sz w:val="24"/>
                <w:szCs w:val="24"/>
                <w:lang w:val="en-US" w:eastAsia="zh-CN"/>
              </w:rPr>
              <w:t>郭心驰女士</w:t>
            </w:r>
          </w:p>
        </w:tc>
      </w:tr>
      <w:tr w14:paraId="276D98E0">
        <w:tc>
          <w:tcPr>
            <w:tcW w:w="2093" w:type="dxa"/>
            <w:vAlign w:val="center"/>
          </w:tcPr>
          <w:p w14:paraId="0394FAC4">
            <w:pPr>
              <w:spacing w:line="360" w:lineRule="auto"/>
              <w:jc w:val="center"/>
              <w:rPr>
                <w:rFonts w:hint="eastAsia" w:ascii="宋体" w:hAnsi="宋体"/>
                <w:b/>
                <w:bCs/>
                <w:iCs/>
                <w:sz w:val="24"/>
                <w:szCs w:val="24"/>
              </w:rPr>
            </w:pPr>
            <w:r>
              <w:rPr>
                <w:rFonts w:hint="eastAsia" w:ascii="宋体" w:hAnsi="宋体"/>
                <w:b/>
                <w:bCs/>
                <w:iCs/>
                <w:sz w:val="24"/>
                <w:szCs w:val="24"/>
              </w:rPr>
              <w:t>投资者关系活动主要内容介绍</w:t>
            </w:r>
          </w:p>
        </w:tc>
        <w:tc>
          <w:tcPr>
            <w:tcW w:w="6203" w:type="dxa"/>
          </w:tcPr>
          <w:p w14:paraId="1DF44911">
            <w:pPr>
              <w:numPr>
                <w:ilvl w:val="255"/>
                <w:numId w:val="0"/>
              </w:numPr>
              <w:spacing w:before="156" w:beforeLines="50" w:line="360" w:lineRule="auto"/>
              <w:ind w:firstLine="480" w:firstLineChars="200"/>
              <w:rPr>
                <w:sz w:val="24"/>
              </w:rPr>
            </w:pPr>
            <w:r>
              <w:rPr>
                <w:rFonts w:hint="eastAsia"/>
                <w:sz w:val="24"/>
              </w:rPr>
              <w:t>一、公司介绍环节</w:t>
            </w:r>
          </w:p>
          <w:p w14:paraId="7B9DA2E2">
            <w:pPr>
              <w:numPr>
                <w:ilvl w:val="255"/>
                <w:numId w:val="0"/>
              </w:numPr>
              <w:spacing w:before="156" w:beforeLines="50" w:line="360" w:lineRule="auto"/>
              <w:ind w:firstLine="480" w:firstLineChars="200"/>
              <w:rPr>
                <w:rFonts w:hint="eastAsia"/>
                <w:kern w:val="0"/>
                <w:sz w:val="24"/>
                <w:lang w:val="en-US" w:eastAsia="zh-CN"/>
              </w:rPr>
            </w:pPr>
            <w:r>
              <w:rPr>
                <w:rFonts w:hint="eastAsia"/>
                <w:sz w:val="24"/>
              </w:rPr>
              <w:t>公司是一家专业的药物临床前及临床综合研发服务 CRO，为国内医药企业和科研机构提供全方位的一站式药物研发服务，致力于协助国内医药制造企业加速实现进口替代和自主创新。服务内容主要包括药物发现、药理药效、药学研究、临床研究和生物分析。</w:t>
            </w:r>
            <w:r>
              <w:rPr>
                <w:rFonts w:hint="eastAsia" w:ascii="Times New Roman" w:hAnsi="Times New Roman" w:eastAsia="宋体" w:cs="Times New Roman"/>
                <w:sz w:val="24"/>
                <w:szCs w:val="24"/>
              </w:rPr>
              <w:t>作为一家专注于药物创新研发的综合性企业，阳光诺和在自研创新、技术升级及全球化布局上实现多重突破，展现出从CRO“委托方”向创新驱动型“合作方”转型的强劲势能。</w:t>
            </w:r>
          </w:p>
          <w:p w14:paraId="3C74F722">
            <w:pPr>
              <w:numPr>
                <w:ilvl w:val="255"/>
                <w:numId w:val="0"/>
              </w:numPr>
              <w:spacing w:before="156" w:beforeLines="50" w:line="360" w:lineRule="auto"/>
              <w:ind w:firstLine="480" w:firstLineChars="200"/>
              <w:rPr>
                <w:rFonts w:hint="default"/>
                <w:sz w:val="24"/>
                <w:lang w:val="en-US" w:eastAsia="zh-CN"/>
              </w:rPr>
            </w:pPr>
            <w:r>
              <w:rPr>
                <w:rFonts w:hint="eastAsia" w:ascii="Times New Roman" w:hAnsi="Times New Roman" w:eastAsia="宋体" w:cs="Times New Roman"/>
                <w:sz w:val="24"/>
                <w:szCs w:val="24"/>
                <w:lang w:bidi="ar"/>
              </w:rPr>
              <w:t>公司已披露2025年度业绩预告，预计2025年实现营业收入11.92亿元至13.71亿元，同比增长10.57%-27.15%；归母净利润1.91亿元至2.29亿元，同比增长7.69%-29.23%；扣非净利润预计1.8亿元至2.16亿元，同比增长8.84%-30.61%。</w:t>
            </w:r>
            <w:r>
              <w:rPr>
                <w:rFonts w:hint="default"/>
                <w:sz w:val="24"/>
                <w:lang w:val="en-US" w:eastAsia="zh-CN"/>
              </w:rPr>
              <w:t>在创新药研发方面在研产品主要应用在镇痛、肾病与透析、肿瘤、心脑血管、</w:t>
            </w:r>
            <w:r>
              <w:rPr>
                <w:rFonts w:hint="eastAsia"/>
                <w:sz w:val="24"/>
                <w:lang w:val="en-US" w:eastAsia="zh-CN"/>
              </w:rPr>
              <w:t>减脂保肌、自免</w:t>
            </w:r>
            <w:r>
              <w:rPr>
                <w:rFonts w:hint="default"/>
                <w:sz w:val="24"/>
                <w:lang w:val="en-US" w:eastAsia="zh-CN"/>
              </w:rPr>
              <w:t>用药等适应症领域，并有多个创新药在研项目在国内无相同产品上市，竞争格局良好，极具市场价值。后续随着这些药品上市，将为公司拓展更多临床应用场景提供可能性。例如在多肽领域</w:t>
            </w:r>
            <w:r>
              <w:rPr>
                <w:rFonts w:hint="eastAsia"/>
                <w:sz w:val="24"/>
                <w:lang w:val="en-US" w:eastAsia="zh-CN"/>
              </w:rPr>
              <w:t>，</w:t>
            </w:r>
            <w:r>
              <w:rPr>
                <w:rFonts w:hint="default"/>
                <w:sz w:val="24"/>
                <w:lang w:val="en-US" w:eastAsia="zh-CN"/>
              </w:rPr>
              <w:t>公司目前已有3个适应症管线进入临床</w:t>
            </w:r>
            <w:r>
              <w:rPr>
                <w:rFonts w:hint="eastAsia"/>
                <w:sz w:val="24"/>
                <w:lang w:val="en-US" w:eastAsia="zh-CN"/>
              </w:rPr>
              <w:t>，</w:t>
            </w:r>
            <w:r>
              <w:rPr>
                <w:rFonts w:hint="default"/>
                <w:sz w:val="24"/>
                <w:lang w:val="en-US" w:eastAsia="zh-CN"/>
              </w:rPr>
              <w:t>其中STC007注射液目前具有手术</w:t>
            </w:r>
            <w:r>
              <w:rPr>
                <w:rFonts w:hint="eastAsia"/>
                <w:sz w:val="24"/>
                <w:lang w:val="en-US" w:eastAsia="zh-CN"/>
              </w:rPr>
              <w:t>后</w:t>
            </w:r>
            <w:r>
              <w:rPr>
                <w:rFonts w:hint="default"/>
                <w:sz w:val="24"/>
                <w:lang w:val="en-US" w:eastAsia="zh-CN"/>
              </w:rPr>
              <w:t>镇痛和尿毒症瘙痒两个适应症</w:t>
            </w:r>
            <w:r>
              <w:rPr>
                <w:rFonts w:hint="eastAsia"/>
                <w:sz w:val="24"/>
                <w:lang w:val="en-US" w:eastAsia="zh-CN"/>
              </w:rPr>
              <w:t>，手术后镇痛适应症II期临床试验已圆满达成预期目标，III期临床试验正按既定计划有序推进。STC007注射液治疗</w:t>
            </w:r>
            <w:r>
              <w:rPr>
                <w:rFonts w:hint="default"/>
                <w:sz w:val="24"/>
                <w:lang w:val="en-US" w:eastAsia="zh-CN"/>
              </w:rPr>
              <w:t>尿毒症瘙痒</w:t>
            </w:r>
            <w:r>
              <w:rPr>
                <w:rFonts w:hint="eastAsia"/>
                <w:sz w:val="24"/>
                <w:lang w:val="en-US" w:eastAsia="zh-CN"/>
              </w:rPr>
              <w:t>适应症也</w:t>
            </w:r>
            <w:r>
              <w:rPr>
                <w:rFonts w:hint="default"/>
                <w:sz w:val="24"/>
                <w:lang w:val="en-US" w:eastAsia="zh-CN"/>
              </w:rPr>
              <w:t>已进入二期临床试验阶段，</w:t>
            </w:r>
            <w:r>
              <w:rPr>
                <w:rFonts w:hint="eastAsia"/>
                <w:sz w:val="24"/>
                <w:lang w:val="en-US" w:eastAsia="zh-CN"/>
              </w:rPr>
              <w:t>同时</w:t>
            </w:r>
            <w:r>
              <w:rPr>
                <w:rFonts w:hint="default"/>
                <w:sz w:val="24"/>
                <w:lang w:val="en-US" w:eastAsia="zh-CN"/>
              </w:rPr>
              <w:t>STC008注射液已进入一期临床试验阶段，其主要适应症为治疗晚期实体瘤相关的肿瘤恶液质，其他管线在临床前研究不同阶段，进展顺利。</w:t>
            </w:r>
          </w:p>
          <w:p w14:paraId="5CC9A466">
            <w:pPr>
              <w:numPr>
                <w:ilvl w:val="255"/>
                <w:numId w:val="0"/>
              </w:numPr>
              <w:spacing w:before="156" w:beforeLines="50" w:line="360" w:lineRule="auto"/>
              <w:ind w:firstLine="480" w:firstLineChars="200"/>
              <w:rPr>
                <w:rFonts w:hint="default"/>
                <w:sz w:val="24"/>
                <w:lang w:val="en-US" w:eastAsia="zh-CN"/>
              </w:rPr>
            </w:pPr>
            <w:r>
              <w:rPr>
                <w:rFonts w:hint="eastAsia" w:ascii="宋体" w:hAnsi="宋体"/>
                <w:b/>
                <w:iCs/>
                <w:sz w:val="24"/>
                <w:szCs w:val="24"/>
              </w:rPr>
              <w:t>二、问答环节</w:t>
            </w:r>
          </w:p>
          <w:p w14:paraId="3321A73D">
            <w:pPr>
              <w:numPr>
                <w:ilvl w:val="0"/>
                <w:numId w:val="1"/>
              </w:numPr>
              <w:spacing w:before="156" w:beforeLines="50" w:line="360" w:lineRule="auto"/>
              <w:ind w:left="425" w:leftChars="0" w:firstLine="1" w:firstLineChars="0"/>
              <w:rPr>
                <w:rFonts w:hint="eastAsia" w:ascii="宋体" w:hAnsi="宋体"/>
                <w:b w:val="0"/>
                <w:bCs/>
                <w:iCs/>
                <w:sz w:val="24"/>
                <w:szCs w:val="24"/>
                <w:lang w:val="en-US" w:eastAsia="zh-CN"/>
              </w:rPr>
            </w:pPr>
            <w:r>
              <w:rPr>
                <w:rFonts w:hint="eastAsia"/>
                <w:b/>
                <w:iCs/>
                <w:sz w:val="24"/>
                <w:szCs w:val="24"/>
                <w:lang w:val="en-US" w:eastAsia="zh-CN"/>
              </w:rPr>
              <w:t>公司与华为合作的AI制药大模型目前进展如何？</w:t>
            </w:r>
          </w:p>
          <w:p w14:paraId="404DB656">
            <w:pPr>
              <w:keepNext w:val="0"/>
              <w:keepLines w:val="0"/>
              <w:pageBreakBefore w:val="0"/>
              <w:widowControl w:val="0"/>
              <w:numPr>
                <w:ilvl w:val="255"/>
                <w:numId w:val="0"/>
              </w:numPr>
              <w:kinsoku/>
              <w:wordWrap/>
              <w:overflowPunct/>
              <w:topLinePunct w:val="0"/>
              <w:autoSpaceDE/>
              <w:autoSpaceDN/>
              <w:bidi w:val="0"/>
              <w:adjustRightInd/>
              <w:snapToGrid/>
              <w:spacing w:before="156" w:beforeLines="50" w:line="360" w:lineRule="auto"/>
              <w:ind w:firstLine="480" w:firstLineChars="200"/>
              <w:textAlignment w:val="auto"/>
              <w:rPr>
                <w:rFonts w:hint="eastAsia"/>
                <w:b/>
                <w:sz w:val="24"/>
              </w:rPr>
            </w:pPr>
            <w:r>
              <w:rPr>
                <w:rFonts w:hint="eastAsia" w:ascii="宋体" w:hAnsi="宋体"/>
                <w:b w:val="0"/>
                <w:bCs/>
                <w:iCs/>
                <w:sz w:val="24"/>
                <w:szCs w:val="24"/>
                <w:lang w:val="en-US" w:eastAsia="zh-CN"/>
              </w:rPr>
              <w:t>公司基于多肽制药平台与华为云盘古大模型合作搭建了AI多肽药物发现大模型，目前已取得阶段性成果，已经有多个模块大模型投入运营，对多肽及PDC创新药管线研发效能提升助益显著。公司依托成熟的多肽制药体系，携手华为云盘古大模型，率先打造 AI 驱动的多肽药物发现平台，并已取得关键里程碑。多年来，我们深耕类肽创新药领域，自主构建 iCVETide® 技术平台，覆盖多肽及多肽偶联药物（PDC）全流程开发，掌握靶向序列、连接子类型与位点等核心环节。平台已集成 CADD 虚拟筛选、分子动力学模拟和超大化合物库对接能力，可实现多肽与靶蛋白的高精度相互作用预测。借助盘古大模型的算力与算法优势，公司进一步升级为新一代 AI 多肽分子引擎，融合自有庞大多肽/类肽数据库，搭建亲和力评价、条件生成、力场优化三大模型，实现“设计-筛选-优化”闭环智能化。AI 赋能显著缩短研发周期、降低试错成本，为公司持续输出具有全球竞争力的首创类肽候选分子提供强劲动能。</w:t>
            </w:r>
          </w:p>
          <w:p w14:paraId="1630CA43">
            <w:pPr>
              <w:numPr>
                <w:ilvl w:val="0"/>
                <w:numId w:val="1"/>
              </w:numPr>
              <w:spacing w:before="156" w:beforeLines="50" w:line="360" w:lineRule="auto"/>
              <w:ind w:left="425" w:leftChars="0" w:firstLine="1" w:firstLineChars="0"/>
              <w:rPr>
                <w:rFonts w:hint="eastAsia"/>
                <w:b/>
                <w:sz w:val="24"/>
                <w:highlight w:val="none"/>
              </w:rPr>
            </w:pPr>
            <w:r>
              <w:rPr>
                <w:rFonts w:hint="default"/>
                <w:b/>
                <w:sz w:val="24"/>
                <w:highlight w:val="none"/>
                <w:lang w:val="en-US" w:eastAsia="zh-CN"/>
              </w:rPr>
              <w:t>公司在</w:t>
            </w:r>
            <w:r>
              <w:rPr>
                <w:rFonts w:hint="eastAsia"/>
                <w:b/>
                <w:sz w:val="24"/>
                <w:highlight w:val="none"/>
                <w:lang w:val="en-US" w:eastAsia="zh-CN"/>
              </w:rPr>
              <w:t>小核酸</w:t>
            </w:r>
            <w:r>
              <w:rPr>
                <w:rFonts w:hint="default"/>
                <w:b/>
                <w:sz w:val="24"/>
                <w:highlight w:val="none"/>
                <w:lang w:val="en-US" w:eastAsia="zh-CN"/>
              </w:rPr>
              <w:t>领域的研发</w:t>
            </w:r>
            <w:r>
              <w:rPr>
                <w:rFonts w:hint="eastAsia"/>
                <w:b/>
                <w:sz w:val="24"/>
                <w:highlight w:val="none"/>
                <w:lang w:val="en-US" w:eastAsia="zh-CN"/>
              </w:rPr>
              <w:t>进展</w:t>
            </w:r>
            <w:r>
              <w:rPr>
                <w:rFonts w:hint="default"/>
                <w:b/>
                <w:sz w:val="24"/>
                <w:highlight w:val="none"/>
                <w:lang w:val="en-US" w:eastAsia="zh-CN"/>
              </w:rPr>
              <w:t>？</w:t>
            </w:r>
          </w:p>
          <w:p w14:paraId="37707B2E">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textAlignment w:val="auto"/>
              <w:rPr>
                <w:rFonts w:hint="eastAsia"/>
                <w:b w:val="0"/>
                <w:bCs/>
                <w:sz w:val="24"/>
                <w:highlight w:val="none"/>
                <w:lang w:val="en-US" w:eastAsia="zh-CN"/>
              </w:rPr>
            </w:pPr>
            <w:r>
              <w:rPr>
                <w:rFonts w:hint="eastAsia"/>
                <w:b w:val="0"/>
                <w:bCs/>
                <w:sz w:val="24"/>
                <w:highlight w:val="none"/>
                <w:lang w:val="en-US" w:eastAsia="zh-CN"/>
              </w:rPr>
              <w:t>近日，公司自愿披露关于ABA001注射液临床试验申请获得受理。ABA001注射液为靶向血管紧张素原（AGT）的信使RNA（mRNA)基因的小干扰核苷酸药物，偶联N-乙酰半乳糖胺（N-Acetylgalactosamine，GalNAc）递送系统，可精准地将药物递送至肝脏细胞，通过siRNA的干扰沉默机制，从源头靶向沉默AGT的信使RNA，阻断AGT蛋白的合成，从根本上抑制肾素-血管紧张素-醛固酮系统（Renin-Angiotensin-Aldosterone System，RAAS）升高血压的作用，从而降低血压。同类siRNA药物Zilebesiran的临床研究已证实该机制的有效性与安全性，单次给药疗效可持续24周，为ABA001注射液的开发提供了充分的科学依据。非临床研究表明，本品1mg/kg即可显著降低血压，动物耐受良好，具有较高的安全性，有望实现每3个月或半年给药一次的长效降压效果，其长效给药特性有望突破现有治疗瓶颈，为高血压患者提供更优治疗选择。</w:t>
            </w:r>
          </w:p>
          <w:p w14:paraId="77C15178">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textAlignment w:val="auto"/>
              <w:rPr>
                <w:rFonts w:hint="default"/>
                <w:b w:val="0"/>
                <w:bCs/>
                <w:sz w:val="24"/>
                <w:highlight w:val="none"/>
                <w:lang w:val="en-US" w:eastAsia="zh-CN"/>
              </w:rPr>
            </w:pPr>
            <w:r>
              <w:rPr>
                <w:rFonts w:hint="eastAsia"/>
                <w:b w:val="0"/>
                <w:bCs/>
                <w:sz w:val="24"/>
                <w:highlight w:val="none"/>
                <w:lang w:val="en-US" w:eastAsia="zh-CN"/>
              </w:rPr>
              <w:t>在小核酸药物开发领域，公司建立小核酸药物载药系统开发平台。该平台专注于小核酸药物的递送系统研究，致力于解决小核酸药物在体内稳定性、靶向性及生物利用度等方面的挑战。通过创新的载药系统设计，公司能够有效提高小核酸药物的递送效率和治疗效果，为小核酸药物的临床应用奠定了坚实基础。公司开发的方向有siRNA、AOC、APDC，根据研发进度会陆续推进IND，适应症为高血压、减脂增</w:t>
            </w:r>
            <w:bookmarkStart w:id="0" w:name="_GoBack"/>
            <w:bookmarkEnd w:id="0"/>
            <w:r>
              <w:rPr>
                <w:rFonts w:hint="eastAsia"/>
                <w:b w:val="0"/>
                <w:bCs/>
                <w:sz w:val="24"/>
                <w:highlight w:val="none"/>
                <w:lang w:val="en-US" w:eastAsia="zh-CN"/>
              </w:rPr>
              <w:t>肌、阿尔兹海默症等。</w:t>
            </w:r>
          </w:p>
          <w:p w14:paraId="4326E310">
            <w:pPr>
              <w:numPr>
                <w:ilvl w:val="0"/>
                <w:numId w:val="1"/>
              </w:numPr>
              <w:spacing w:before="156" w:beforeLines="50" w:line="360" w:lineRule="auto"/>
              <w:ind w:left="425" w:leftChars="0" w:firstLine="1" w:firstLineChars="0"/>
              <w:rPr>
                <w:rFonts w:hint="eastAsia"/>
                <w:b/>
                <w:sz w:val="24"/>
                <w:highlight w:val="none"/>
              </w:rPr>
            </w:pPr>
            <w:r>
              <w:rPr>
                <w:rFonts w:hint="default"/>
                <w:b/>
                <w:sz w:val="24"/>
                <w:highlight w:val="none"/>
                <w:lang w:val="en-US" w:eastAsia="zh-CN"/>
              </w:rPr>
              <w:t>公司</w:t>
            </w:r>
            <w:r>
              <w:rPr>
                <w:rFonts w:hint="eastAsia"/>
                <w:b/>
                <w:sz w:val="24"/>
                <w:highlight w:val="none"/>
                <w:lang w:val="en-US" w:eastAsia="zh-CN"/>
              </w:rPr>
              <w:t>临床CRO业务发展趋势如何？</w:t>
            </w:r>
          </w:p>
          <w:p w14:paraId="49C52F2D">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textAlignment w:val="auto"/>
              <w:rPr>
                <w:rFonts w:hint="default"/>
                <w:b/>
                <w:sz w:val="24"/>
                <w:highlight w:val="none"/>
                <w:lang w:val="en-US" w:eastAsia="zh-CN"/>
              </w:rPr>
            </w:pPr>
            <w:r>
              <w:rPr>
                <w:rFonts w:hint="eastAsia"/>
                <w:b w:val="0"/>
                <w:bCs/>
                <w:sz w:val="24"/>
                <w:highlight w:val="none"/>
                <w:lang w:val="en-US" w:eastAsia="zh-CN"/>
              </w:rPr>
              <w:t>在临床试验服务领域，公司凭借卓越的专业能力与完善的平台布局，为客户提供全方位、高质量的临床研究服务，涵盖I-IV期临床试验研究、生物等效性（BE）试验等，满足不同阶段、不同需求的临床试验项目。公司精心打造了四大专业平台，构建起强大的临床试验服务体系。临床试验研发平台下辖医学及临床运营两大板块，确保从医学策略到临床执行的无缝衔接；数据管理及统计分析平台以精准的数据处理和专业的统计分析为临床试验提供科学依据；SMO平台为临床试验提供高效、规范的现场管理支持；第三方稽查平台则严格把控临床试验的质量与合规性。公司在全国设立19个常驻点，与超过300家医院建立了长期稳定的临床合作关系，形成了广泛且高效的临床试验网络。目前，公司正在开展多项具有前沿性和创新性的临床试验项目。公司通过多年的积累，已形成了丰富的创新药物及改良型新药的临床研究经验。服务范围广泛覆盖内分泌、镇痛、呼吸、肿瘤、心脑血管、泌尿系统、医美等多个治疗领域的药物和医疗器械的临床设计与实施。凭借专业的团队、严谨的流程和广泛的合作网络，公司能够为客户提供高效、精准、合规的临床试验解决方案，助力医药创新成果的快速转化与应用，推动医疗健康产业的高质量发展。</w:t>
            </w:r>
          </w:p>
        </w:tc>
      </w:tr>
      <w:tr w14:paraId="4A63DE4C">
        <w:trPr>
          <w:trHeight w:val="821" w:hRule="atLeast"/>
        </w:trPr>
        <w:tc>
          <w:tcPr>
            <w:tcW w:w="2093" w:type="dxa"/>
            <w:vAlign w:val="center"/>
          </w:tcPr>
          <w:p w14:paraId="49E359F1">
            <w:pPr>
              <w:spacing w:line="360" w:lineRule="auto"/>
              <w:jc w:val="left"/>
              <w:rPr>
                <w:rFonts w:hint="eastAsia" w:ascii="宋体" w:hAnsi="宋体"/>
                <w:b/>
                <w:bCs/>
                <w:iCs/>
                <w:sz w:val="24"/>
                <w:szCs w:val="24"/>
              </w:rPr>
            </w:pPr>
            <w:r>
              <w:rPr>
                <w:rFonts w:hint="eastAsia" w:ascii="宋体" w:hAnsi="宋体"/>
                <w:b/>
                <w:bCs/>
                <w:iCs/>
                <w:sz w:val="24"/>
                <w:szCs w:val="24"/>
              </w:rPr>
              <w:t>附件清单（如有）</w:t>
            </w:r>
          </w:p>
        </w:tc>
        <w:tc>
          <w:tcPr>
            <w:tcW w:w="6203" w:type="dxa"/>
          </w:tcPr>
          <w:p w14:paraId="41A52917">
            <w:pPr>
              <w:spacing w:line="360" w:lineRule="auto"/>
              <w:rPr>
                <w:rFonts w:hint="eastAsia" w:ascii="宋体" w:hAnsi="宋体" w:cs="宋体"/>
                <w:sz w:val="24"/>
                <w:szCs w:val="24"/>
              </w:rPr>
            </w:pPr>
            <w:r>
              <w:rPr>
                <w:rFonts w:hint="eastAsia" w:ascii="宋体" w:hAnsi="宋体"/>
                <w:bCs/>
                <w:iCs/>
                <w:sz w:val="24"/>
                <w:szCs w:val="24"/>
              </w:rPr>
              <w:t>无</w:t>
            </w:r>
          </w:p>
        </w:tc>
      </w:tr>
      <w:tr w14:paraId="5D6C77D5">
        <w:tc>
          <w:tcPr>
            <w:tcW w:w="2093" w:type="dxa"/>
            <w:vAlign w:val="center"/>
          </w:tcPr>
          <w:p w14:paraId="717A6FD2">
            <w:pPr>
              <w:spacing w:line="360" w:lineRule="auto"/>
              <w:jc w:val="left"/>
              <w:rPr>
                <w:rFonts w:hint="eastAsia" w:ascii="宋体" w:hAnsi="宋体"/>
                <w:b/>
                <w:bCs/>
                <w:iCs/>
                <w:sz w:val="24"/>
                <w:szCs w:val="24"/>
              </w:rPr>
            </w:pPr>
            <w:r>
              <w:rPr>
                <w:rFonts w:hint="eastAsia" w:ascii="宋体" w:hAnsi="宋体"/>
                <w:b/>
                <w:bCs/>
                <w:iCs/>
                <w:sz w:val="24"/>
                <w:szCs w:val="24"/>
              </w:rPr>
              <w:t>日期</w:t>
            </w:r>
          </w:p>
        </w:tc>
        <w:tc>
          <w:tcPr>
            <w:tcW w:w="6203" w:type="dxa"/>
          </w:tcPr>
          <w:p w14:paraId="1087953D">
            <w:pPr>
              <w:spacing w:line="360" w:lineRule="auto"/>
              <w:rPr>
                <w:rFonts w:hint="eastAsia" w:ascii="宋体" w:hAnsi="宋体"/>
                <w:bCs/>
                <w:iCs/>
                <w:sz w:val="24"/>
                <w:szCs w:val="24"/>
              </w:rPr>
            </w:pPr>
            <w:r>
              <w:rPr>
                <w:rFonts w:hint="default" w:ascii="Times New Roman" w:hAnsi="Times New Roman"/>
                <w:bCs/>
                <w:iCs/>
                <w:sz w:val="24"/>
                <w:szCs w:val="24"/>
              </w:rPr>
              <w:t>20</w:t>
            </w:r>
            <w:r>
              <w:rPr>
                <w:rFonts w:ascii="Times New Roman" w:hAnsi="Times New Roman"/>
                <w:bCs/>
                <w:iCs/>
                <w:sz w:val="24"/>
                <w:szCs w:val="24"/>
              </w:rPr>
              <w:t>2</w:t>
            </w:r>
            <w:r>
              <w:rPr>
                <w:rFonts w:hint="eastAsia"/>
                <w:bCs/>
                <w:iCs/>
                <w:sz w:val="24"/>
                <w:szCs w:val="24"/>
                <w:lang w:val="en-US" w:eastAsia="zh-CN"/>
              </w:rPr>
              <w:t>6</w:t>
            </w:r>
            <w:r>
              <w:rPr>
                <w:rFonts w:hint="default" w:ascii="Times New Roman" w:hAnsi="Times New Roman"/>
                <w:bCs/>
                <w:iCs/>
                <w:sz w:val="24"/>
                <w:szCs w:val="24"/>
              </w:rPr>
              <w:t>年</w:t>
            </w:r>
            <w:r>
              <w:rPr>
                <w:rFonts w:hint="eastAsia"/>
                <w:bCs/>
                <w:iCs/>
                <w:sz w:val="24"/>
                <w:szCs w:val="24"/>
                <w:lang w:val="en-US" w:eastAsia="zh-CN"/>
              </w:rPr>
              <w:t>1</w:t>
            </w:r>
            <w:r>
              <w:rPr>
                <w:rFonts w:hint="default" w:ascii="Times New Roman" w:hAnsi="Times New Roman"/>
                <w:bCs/>
                <w:iCs/>
                <w:sz w:val="24"/>
                <w:szCs w:val="24"/>
              </w:rPr>
              <w:t>月</w:t>
            </w:r>
            <w:r>
              <w:rPr>
                <w:rFonts w:hint="eastAsia"/>
                <w:bCs/>
                <w:iCs/>
                <w:sz w:val="24"/>
                <w:szCs w:val="24"/>
                <w:lang w:val="en-US" w:eastAsia="zh-CN"/>
              </w:rPr>
              <w:t>30</w:t>
            </w:r>
            <w:r>
              <w:rPr>
                <w:rFonts w:hint="default" w:ascii="Times New Roman" w:hAnsi="Times New Roman"/>
                <w:bCs/>
                <w:iCs/>
                <w:sz w:val="24"/>
                <w:szCs w:val="24"/>
              </w:rPr>
              <w:t>日</w:t>
            </w:r>
          </w:p>
        </w:tc>
      </w:tr>
    </w:tbl>
    <w:p w14:paraId="3B62B9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D3353"/>
    <w:multiLevelType w:val="singleLevel"/>
    <w:tmpl w:val="FFFD3353"/>
    <w:lvl w:ilvl="0" w:tentative="0">
      <w:start w:val="1"/>
      <w:numFmt w:val="decimal"/>
      <w:lvlText w:val="%1."/>
      <w:lvlJc w:val="left"/>
      <w:pPr>
        <w:tabs>
          <w:tab w:val="left" w:pos="425"/>
        </w:tabs>
        <w:ind w:left="425" w:leftChars="0" w:firstLine="1"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245BEB"/>
    <w:rsid w:val="13132E6E"/>
    <w:rsid w:val="24FF6B67"/>
    <w:rsid w:val="5ADF7FF3"/>
    <w:rsid w:val="5C2F0412"/>
    <w:rsid w:val="5F8E4261"/>
    <w:rsid w:val="745A752B"/>
    <w:rsid w:val="7BF5BCA2"/>
    <w:rsid w:val="7DEEB279"/>
    <w:rsid w:val="7E7F7EF4"/>
    <w:rsid w:val="AB8F5DCA"/>
    <w:rsid w:val="CB6796A3"/>
    <w:rsid w:val="D9EBD737"/>
    <w:rsid w:val="DFEDA011"/>
    <w:rsid w:val="F6FF6463"/>
    <w:rsid w:val="FDBD0DDB"/>
    <w:rsid w:val="FFAEF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annotation subject"/>
    <w:basedOn w:val="2"/>
    <w:next w:val="2"/>
    <w:link w:val="10"/>
    <w:qFormat/>
    <w:uiPriority w:val="0"/>
    <w:rPr>
      <w:b/>
      <w:bCs/>
    </w:rPr>
  </w:style>
  <w:style w:type="character" w:styleId="7">
    <w:name w:val="annotation reference"/>
    <w:basedOn w:val="6"/>
    <w:qFormat/>
    <w:uiPriority w:val="0"/>
    <w:rPr>
      <w:sz w:val="21"/>
      <w:szCs w:val="21"/>
    </w:rPr>
  </w:style>
  <w:style w:type="paragraph" w:customStyle="1" w:styleId="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9">
    <w:name w:val="批注文字 字符"/>
    <w:basedOn w:val="6"/>
    <w:link w:val="2"/>
    <w:qFormat/>
    <w:uiPriority w:val="0"/>
    <w:rPr>
      <w:kern w:val="2"/>
      <w:sz w:val="21"/>
    </w:rPr>
  </w:style>
  <w:style w:type="character" w:customStyle="1" w:styleId="10">
    <w:name w:val="批注主题 字符"/>
    <w:basedOn w:val="9"/>
    <w:link w:val="4"/>
    <w:qFormat/>
    <w:uiPriority w:val="0"/>
    <w:rPr>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4059</Words>
  <Characters>4266</Characters>
  <Lines>18</Lines>
  <Paragraphs>5</Paragraphs>
  <TotalTime>32</TotalTime>
  <ScaleCrop>false</ScaleCrop>
  <LinksUpToDate>false</LinksUpToDate>
  <CharactersWithSpaces>4330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2024-09-30T22:32:00Z</dcterms:created>
  <dc:creator>杨贵娇</dc:creator>
  <cp:lastModifiedBy>魏丽萍</cp:lastModifiedBy>
  <dcterms:modified xsi:type="dcterms:W3CDTF">2026-01-30T17:02:25Z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2CD5CDC751092D65A1737C699CEF8B76_43</vt:lpwstr>
  </property>
  <property fmtid="{D5CDD505-2E9C-101B-9397-08002B2CF9AE}" pid="4" name="KSOTemplateDocerSaveRecord">
    <vt:lpwstr>eyJoZGlkIjoiZTM2MTRlOTE5NzU3Y2FhZmJjMTA4ODAwNjMyZWVhZDciLCJ1c2VySWQiOiIzOTQyNDEyNzQifQ==</vt:lpwstr>
  </property>
</Properties>
</file>