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C7050">
      <w:pPr>
        <w:jc w:val="left"/>
        <w:rPr>
          <w:bCs/>
          <w:sz w:val="24"/>
        </w:rPr>
      </w:pPr>
      <w:bookmarkStart w:id="0" w:name="_Toc359483089"/>
      <w:r>
        <w:rPr>
          <w:b/>
          <w:sz w:val="24"/>
        </w:rPr>
        <w:t>证券代码：688623                                              证券简称：双元科技</w:t>
      </w:r>
    </w:p>
    <w:p w14:paraId="700D7DD5">
      <w:pPr>
        <w:jc w:val="center"/>
        <w:rPr>
          <w:bCs/>
          <w:sz w:val="24"/>
        </w:rPr>
      </w:pPr>
    </w:p>
    <w:p w14:paraId="50A14D3D">
      <w:pPr>
        <w:spacing w:line="288" w:lineRule="auto"/>
        <w:jc w:val="center"/>
        <w:rPr>
          <w:b/>
          <w:sz w:val="32"/>
          <w:szCs w:val="32"/>
        </w:rPr>
      </w:pPr>
      <w:r>
        <w:rPr>
          <w:b/>
          <w:sz w:val="32"/>
          <w:szCs w:val="32"/>
        </w:rPr>
        <w:t>浙江双元科技股份有限公司</w:t>
      </w:r>
    </w:p>
    <w:bookmarkEnd w:id="0"/>
    <w:p w14:paraId="571CF68C">
      <w:pPr>
        <w:spacing w:line="288" w:lineRule="auto"/>
        <w:jc w:val="center"/>
        <w:rPr>
          <w:b/>
          <w:sz w:val="32"/>
          <w:szCs w:val="32"/>
        </w:rPr>
      </w:pPr>
      <w:r>
        <w:rPr>
          <w:b/>
          <w:sz w:val="32"/>
          <w:szCs w:val="32"/>
        </w:rPr>
        <w:t>投资者关系活动记录表</w:t>
      </w:r>
    </w:p>
    <w:p w14:paraId="0D2B4D74">
      <w:pPr>
        <w:spacing w:line="288" w:lineRule="auto"/>
        <w:jc w:val="center"/>
        <w:rPr>
          <w:bCs/>
          <w:sz w:val="24"/>
        </w:rPr>
      </w:pPr>
      <w:r>
        <w:rPr>
          <w:bCs/>
          <w:sz w:val="24"/>
        </w:rPr>
        <w:t xml:space="preserve">                                                          </w:t>
      </w:r>
      <w:r>
        <w:rPr>
          <w:rFonts w:hint="eastAsia"/>
          <w:bCs/>
          <w:sz w:val="24"/>
        </w:rPr>
        <w:t xml:space="preserve">  </w:t>
      </w:r>
      <w:r>
        <w:rPr>
          <w:bCs/>
          <w:sz w:val="24"/>
        </w:rPr>
        <w:t xml:space="preserve">    </w:t>
      </w:r>
      <w:r>
        <w:rPr>
          <w:rFonts w:hint="eastAsia"/>
          <w:bCs/>
          <w:sz w:val="24"/>
        </w:rPr>
        <w:t xml:space="preserve">  </w:t>
      </w:r>
      <w:r>
        <w:rPr>
          <w:bCs/>
          <w:sz w:val="24"/>
        </w:rPr>
        <w:t xml:space="preserve"> 编号：</w:t>
      </w:r>
      <w:r>
        <w:rPr>
          <w:rFonts w:hint="eastAsia"/>
          <w:bCs/>
          <w:sz w:val="24"/>
        </w:rPr>
        <w:t>2026-001</w:t>
      </w:r>
    </w:p>
    <w:tbl>
      <w:tblPr>
        <w:tblStyle w:val="1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8196"/>
      </w:tblGrid>
      <w:tr w14:paraId="782B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449" w:type="dxa"/>
            <w:vAlign w:val="center"/>
          </w:tcPr>
          <w:p w14:paraId="51470087">
            <w:pPr>
              <w:jc w:val="center"/>
              <w:rPr>
                <w:sz w:val="24"/>
              </w:rPr>
            </w:pPr>
            <w:r>
              <w:rPr>
                <w:sz w:val="24"/>
              </w:rPr>
              <w:t>投资者关系活动类别</w:t>
            </w:r>
          </w:p>
        </w:tc>
        <w:tc>
          <w:tcPr>
            <w:tcW w:w="8196" w:type="dxa"/>
            <w:vAlign w:val="center"/>
          </w:tcPr>
          <w:p w14:paraId="2BEC2D63">
            <w:pPr>
              <w:spacing w:line="540" w:lineRule="exact"/>
              <w:jc w:val="left"/>
              <w:rPr>
                <w:sz w:val="24"/>
              </w:rPr>
            </w:pPr>
            <w:r>
              <w:rPr>
                <w:sz w:val="24"/>
              </w:rPr>
              <w:sym w:font="Wingdings 2" w:char="0052"/>
            </w:r>
            <w:r>
              <w:rPr>
                <w:sz w:val="24"/>
              </w:rPr>
              <w:t xml:space="preserve">特定对象调研          </w:t>
            </w:r>
            <w:r>
              <w:rPr>
                <w:sz w:val="24"/>
              </w:rPr>
              <w:sym w:font="Wingdings 2" w:char="00A3"/>
            </w:r>
            <w:r>
              <w:rPr>
                <w:rFonts w:hint="eastAsia"/>
                <w:sz w:val="24"/>
              </w:rPr>
              <w:t xml:space="preserve"> </w:t>
            </w:r>
            <w:r>
              <w:rPr>
                <w:sz w:val="24"/>
              </w:rPr>
              <w:t xml:space="preserve">分析师会议          </w:t>
            </w:r>
            <w:r>
              <w:rPr>
                <w:sz w:val="24"/>
              </w:rPr>
              <w:sym w:font="Wingdings 2" w:char="00A3"/>
            </w:r>
            <w:r>
              <w:rPr>
                <w:rFonts w:hint="eastAsia"/>
                <w:sz w:val="24"/>
              </w:rPr>
              <w:t xml:space="preserve"> </w:t>
            </w:r>
            <w:r>
              <w:rPr>
                <w:sz w:val="24"/>
              </w:rPr>
              <w:t xml:space="preserve">媒体采访                  </w:t>
            </w:r>
            <w:r>
              <w:rPr>
                <w:sz w:val="24"/>
              </w:rPr>
              <w:sym w:font="Wingdings 2" w:char="00A3"/>
            </w:r>
            <w:r>
              <w:rPr>
                <w:rFonts w:hint="eastAsia"/>
                <w:sz w:val="24"/>
              </w:rPr>
              <w:t xml:space="preserve"> </w:t>
            </w:r>
            <w:r>
              <w:rPr>
                <w:sz w:val="24"/>
              </w:rPr>
              <w:t xml:space="preserve">业绩说明会        </w:t>
            </w:r>
            <w:r>
              <w:rPr>
                <w:rFonts w:hint="eastAsia"/>
                <w:sz w:val="24"/>
              </w:rPr>
              <w:t xml:space="preserve"> </w:t>
            </w:r>
            <w:r>
              <w:rPr>
                <w:sz w:val="24"/>
              </w:rPr>
              <w:t xml:space="preserve">   </w:t>
            </w:r>
            <w:r>
              <w:rPr>
                <w:sz w:val="24"/>
              </w:rPr>
              <w:sym w:font="Wingdings 2" w:char="00A3"/>
            </w:r>
            <w:r>
              <w:rPr>
                <w:rFonts w:hint="eastAsia"/>
                <w:sz w:val="24"/>
              </w:rPr>
              <w:t xml:space="preserve"> </w:t>
            </w:r>
            <w:r>
              <w:rPr>
                <w:sz w:val="24"/>
              </w:rPr>
              <w:t xml:space="preserve">新闻发布会      </w:t>
            </w:r>
            <w:r>
              <w:rPr>
                <w:rFonts w:hint="eastAsia"/>
                <w:sz w:val="24"/>
              </w:rPr>
              <w:t xml:space="preserve"> </w:t>
            </w:r>
            <w:r>
              <w:rPr>
                <w:sz w:val="24"/>
              </w:rPr>
              <w:t xml:space="preserve">   </w:t>
            </w:r>
            <w:r>
              <w:rPr>
                <w:sz w:val="24"/>
              </w:rPr>
              <w:sym w:font="Wingdings 2" w:char="00A3"/>
            </w:r>
            <w:r>
              <w:rPr>
                <w:rFonts w:hint="eastAsia"/>
                <w:sz w:val="24"/>
              </w:rPr>
              <w:t xml:space="preserve"> </w:t>
            </w:r>
            <w:r>
              <w:rPr>
                <w:sz w:val="24"/>
              </w:rPr>
              <w:t>路演活动</w:t>
            </w:r>
          </w:p>
          <w:p w14:paraId="1E95E97C">
            <w:pPr>
              <w:spacing w:line="540" w:lineRule="exact"/>
              <w:jc w:val="left"/>
              <w:rPr>
                <w:sz w:val="24"/>
                <w:u w:val="single"/>
              </w:rPr>
            </w:pPr>
            <w:r>
              <w:rPr>
                <w:sz w:val="24"/>
              </w:rPr>
              <w:sym w:font="Wingdings 2" w:char="00A3"/>
            </w:r>
            <w:r>
              <w:rPr>
                <w:rFonts w:hint="eastAsia"/>
                <w:sz w:val="24"/>
              </w:rPr>
              <w:t xml:space="preserve"> </w:t>
            </w:r>
            <w:r>
              <w:rPr>
                <w:sz w:val="24"/>
              </w:rPr>
              <w:t xml:space="preserve">现场参观              </w:t>
            </w:r>
            <w:r>
              <w:rPr>
                <w:sz w:val="24"/>
              </w:rPr>
              <w:sym w:font="Wingdings 2" w:char="00A3"/>
            </w:r>
            <w:r>
              <w:rPr>
                <w:rFonts w:hint="eastAsia"/>
                <w:sz w:val="24"/>
              </w:rPr>
              <w:t xml:space="preserve"> </w:t>
            </w:r>
            <w:r>
              <w:rPr>
                <w:sz w:val="24"/>
              </w:rPr>
              <w:t xml:space="preserve">电话调研            </w:t>
            </w:r>
            <w:r>
              <w:rPr>
                <w:sz w:val="24"/>
              </w:rPr>
              <w:sym w:font="Wingdings 2" w:char="00A3"/>
            </w:r>
            <w:r>
              <w:rPr>
                <w:rFonts w:hint="eastAsia"/>
                <w:sz w:val="24"/>
              </w:rPr>
              <w:t xml:space="preserve"> </w:t>
            </w:r>
            <w:r>
              <w:rPr>
                <w:sz w:val="24"/>
              </w:rPr>
              <w:t>其他</w:t>
            </w:r>
            <w:r>
              <w:rPr>
                <w:sz w:val="24"/>
                <w:u w:val="single"/>
              </w:rPr>
              <w:t xml:space="preserve">       </w:t>
            </w:r>
          </w:p>
        </w:tc>
      </w:tr>
      <w:tr w14:paraId="5E0A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49" w:type="dxa"/>
            <w:vAlign w:val="center"/>
          </w:tcPr>
          <w:p w14:paraId="26DAA652">
            <w:pPr>
              <w:jc w:val="center"/>
              <w:rPr>
                <w:sz w:val="24"/>
              </w:rPr>
            </w:pPr>
            <w:r>
              <w:rPr>
                <w:sz w:val="24"/>
              </w:rPr>
              <w:t>参与单位</w:t>
            </w:r>
          </w:p>
          <w:p w14:paraId="2D2B62F2">
            <w:pPr>
              <w:jc w:val="center"/>
              <w:rPr>
                <w:sz w:val="24"/>
              </w:rPr>
            </w:pPr>
            <w:r>
              <w:rPr>
                <w:sz w:val="24"/>
              </w:rPr>
              <w:t>名称</w:t>
            </w:r>
          </w:p>
        </w:tc>
        <w:tc>
          <w:tcPr>
            <w:tcW w:w="8196" w:type="dxa"/>
            <w:vAlign w:val="center"/>
          </w:tcPr>
          <w:p w14:paraId="747F9881">
            <w:pPr>
              <w:jc w:val="left"/>
              <w:rPr>
                <w:sz w:val="24"/>
              </w:rPr>
            </w:pPr>
            <w:r>
              <w:rPr>
                <w:rFonts w:hint="eastAsia" w:ascii="Times New Roman" w:hAnsi="Times New Roman" w:eastAsia="宋体" w:cs="Times New Roman"/>
                <w:kern w:val="2"/>
                <w:sz w:val="24"/>
                <w:szCs w:val="24"/>
                <w:lang w:val="en-US" w:eastAsia="zh-CN" w:bidi="ar-SA"/>
              </w:rPr>
              <w:t>华创证券、中银国际证券、国联民生证券、东方财富证券、启赋资本、中航证券、喜世润投资、竹润投资、上海处厚私募、中金公司、国泰海通证券、申万宏源证券</w:t>
            </w:r>
          </w:p>
        </w:tc>
      </w:tr>
      <w:tr w14:paraId="326F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49" w:type="dxa"/>
            <w:vAlign w:val="center"/>
          </w:tcPr>
          <w:p w14:paraId="5611D414">
            <w:pPr>
              <w:jc w:val="center"/>
              <w:rPr>
                <w:sz w:val="24"/>
              </w:rPr>
            </w:pPr>
            <w:r>
              <w:rPr>
                <w:sz w:val="24"/>
              </w:rPr>
              <w:t>时间</w:t>
            </w:r>
          </w:p>
        </w:tc>
        <w:tc>
          <w:tcPr>
            <w:tcW w:w="8196" w:type="dxa"/>
            <w:vAlign w:val="center"/>
          </w:tcPr>
          <w:p w14:paraId="0501D5B1">
            <w:pPr>
              <w:jc w:val="left"/>
              <w:rPr>
                <w:sz w:val="24"/>
              </w:rPr>
            </w:pPr>
            <w:r>
              <w:rPr>
                <w:rFonts w:hint="eastAsia"/>
                <w:sz w:val="24"/>
              </w:rPr>
              <w:t>2026年1月</w:t>
            </w:r>
          </w:p>
        </w:tc>
      </w:tr>
      <w:tr w14:paraId="1F7C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49" w:type="dxa"/>
            <w:vAlign w:val="center"/>
          </w:tcPr>
          <w:p w14:paraId="7D7222E5">
            <w:pPr>
              <w:jc w:val="center"/>
              <w:rPr>
                <w:sz w:val="24"/>
              </w:rPr>
            </w:pPr>
            <w:r>
              <w:rPr>
                <w:sz w:val="24"/>
              </w:rPr>
              <w:t>地点</w:t>
            </w:r>
          </w:p>
        </w:tc>
        <w:tc>
          <w:tcPr>
            <w:tcW w:w="8196" w:type="dxa"/>
            <w:vAlign w:val="center"/>
          </w:tcPr>
          <w:p w14:paraId="1EB1A10E">
            <w:pPr>
              <w:jc w:val="left"/>
              <w:rPr>
                <w:sz w:val="24"/>
              </w:rPr>
            </w:pPr>
            <w:r>
              <w:rPr>
                <w:rFonts w:hint="eastAsia"/>
                <w:sz w:val="24"/>
              </w:rPr>
              <w:t>公司会议室</w:t>
            </w:r>
          </w:p>
        </w:tc>
      </w:tr>
      <w:tr w14:paraId="0090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449" w:type="dxa"/>
            <w:vAlign w:val="center"/>
          </w:tcPr>
          <w:p w14:paraId="02467B23">
            <w:pPr>
              <w:jc w:val="center"/>
              <w:rPr>
                <w:sz w:val="24"/>
              </w:rPr>
            </w:pPr>
            <w:r>
              <w:rPr>
                <w:sz w:val="24"/>
              </w:rPr>
              <w:t>上市公司接待人员姓名</w:t>
            </w:r>
          </w:p>
        </w:tc>
        <w:tc>
          <w:tcPr>
            <w:tcW w:w="8196" w:type="dxa"/>
            <w:vAlign w:val="center"/>
          </w:tcPr>
          <w:p w14:paraId="64DCAACA">
            <w:pPr>
              <w:jc w:val="left"/>
              <w:rPr>
                <w:sz w:val="24"/>
              </w:rPr>
            </w:pPr>
            <w:r>
              <w:rPr>
                <w:rFonts w:hint="eastAsia"/>
                <w:sz w:val="24"/>
              </w:rPr>
              <w:t>董事会秘书：泮茜茜</w:t>
            </w:r>
          </w:p>
        </w:tc>
      </w:tr>
      <w:tr w14:paraId="6FF1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49" w:type="dxa"/>
            <w:vAlign w:val="center"/>
          </w:tcPr>
          <w:p w14:paraId="54F9ECE4">
            <w:pPr>
              <w:jc w:val="center"/>
              <w:rPr>
                <w:sz w:val="24"/>
              </w:rPr>
            </w:pPr>
            <w:r>
              <w:rPr>
                <w:sz w:val="24"/>
              </w:rPr>
              <w:t>投资者关系活动主要</w:t>
            </w:r>
          </w:p>
          <w:p w14:paraId="1301C205">
            <w:pPr>
              <w:jc w:val="center"/>
              <w:rPr>
                <w:sz w:val="24"/>
              </w:rPr>
            </w:pPr>
            <w:r>
              <w:rPr>
                <w:sz w:val="24"/>
              </w:rPr>
              <w:t>内容介绍</w:t>
            </w:r>
          </w:p>
        </w:tc>
        <w:tc>
          <w:tcPr>
            <w:tcW w:w="8196" w:type="dxa"/>
          </w:tcPr>
          <w:p w14:paraId="7D4E0A6C">
            <w:pPr>
              <w:pStyle w:val="28"/>
              <w:numPr>
                <w:ilvl w:val="0"/>
                <w:numId w:val="1"/>
              </w:numPr>
              <w:spacing w:before="0" w:beforeLines="0"/>
              <w:ind w:firstLine="0" w:firstLineChars="0"/>
              <w:rPr>
                <w:rFonts w:hint="eastAsia"/>
                <w:b/>
                <w:bCs/>
                <w:szCs w:val="24"/>
              </w:rPr>
            </w:pPr>
            <w:r>
              <w:rPr>
                <w:rFonts w:hint="eastAsia"/>
                <w:b/>
                <w:bCs/>
                <w:szCs w:val="24"/>
              </w:rPr>
              <w:t>公司情况简要介绍</w:t>
            </w:r>
          </w:p>
          <w:p w14:paraId="31013248">
            <w:pPr>
              <w:pStyle w:val="28"/>
              <w:spacing w:before="0" w:beforeLines="0"/>
              <w:ind w:firstLine="480" w:firstLineChars="200"/>
              <w:rPr>
                <w:rFonts w:hint="eastAsia"/>
                <w:szCs w:val="24"/>
              </w:rPr>
            </w:pPr>
            <w:r>
              <w:rPr>
                <w:rFonts w:hint="eastAsia"/>
                <w:szCs w:val="24"/>
              </w:rPr>
              <w:t>公</w:t>
            </w:r>
            <w:r>
              <w:rPr>
                <w:rFonts w:hint="default"/>
                <w:szCs w:val="24"/>
              </w:rPr>
              <w:t>司是生产过程质量检测及控制解决方案提供商，拥有在线自动化测控系统和机器视觉智能检测系统两大核心技术平台，助力客户实现智能化检测及自动化控制。在线自动化测控系统为企业提供产品生产过程中的面密度/厚度/克重/定量、水分、灰分等工艺参数检测并对生产过程进行高精度闭环控制；机器视觉智能检测系统适用于表面瑕疵检测、内部缺陷检测和尺寸测量。公司产品目前已拓展到多个下游领域，成为新能源电池、薄膜、无纺布及卫材、造纸等相关行业内一流企业的供应商，并逐渐向半导体领域拓展。</w:t>
            </w:r>
          </w:p>
          <w:p w14:paraId="522968EC">
            <w:pPr>
              <w:pStyle w:val="28"/>
              <w:spacing w:before="0" w:beforeLines="0"/>
              <w:ind w:firstLine="0" w:firstLineChars="0"/>
              <w:rPr>
                <w:rFonts w:hint="eastAsia"/>
                <w:b/>
                <w:bCs/>
                <w:szCs w:val="24"/>
              </w:rPr>
            </w:pPr>
          </w:p>
          <w:p w14:paraId="6387FA63">
            <w:pPr>
              <w:pStyle w:val="28"/>
              <w:spacing w:before="0" w:beforeLines="0"/>
              <w:ind w:firstLine="0" w:firstLineChars="0"/>
              <w:rPr>
                <w:rFonts w:hint="eastAsia"/>
                <w:b/>
                <w:bCs/>
                <w:szCs w:val="24"/>
              </w:rPr>
            </w:pPr>
            <w:r>
              <w:rPr>
                <w:rFonts w:hint="eastAsia"/>
                <w:b/>
                <w:bCs/>
                <w:szCs w:val="24"/>
              </w:rPr>
              <w:t>二、问答环节主要内容</w:t>
            </w:r>
          </w:p>
          <w:p w14:paraId="09209D70">
            <w:pPr>
              <w:pStyle w:val="28"/>
              <w:spacing w:before="0" w:beforeLines="0"/>
              <w:ind w:firstLine="0" w:firstLineChars="0"/>
              <w:rPr>
                <w:rFonts w:hint="eastAsia" w:eastAsia="宋体"/>
                <w:b/>
                <w:bCs/>
                <w:szCs w:val="24"/>
                <w:lang w:eastAsia="zh-CN"/>
              </w:rPr>
            </w:pPr>
            <w:r>
              <w:rPr>
                <w:rFonts w:hint="eastAsia"/>
                <w:b/>
                <w:bCs/>
                <w:szCs w:val="24"/>
              </w:rPr>
              <w:t>问题1：</w:t>
            </w:r>
            <w:bookmarkStart w:id="1" w:name="OLE_LINK1"/>
            <w:r>
              <w:rPr>
                <w:rFonts w:hint="eastAsia"/>
                <w:b/>
                <w:bCs/>
                <w:szCs w:val="24"/>
              </w:rPr>
              <w:t>公司在机器人领域有什么</w:t>
            </w:r>
            <w:bookmarkEnd w:id="1"/>
            <w:r>
              <w:rPr>
                <w:rFonts w:hint="eastAsia"/>
                <w:b/>
                <w:bCs/>
                <w:szCs w:val="24"/>
                <w:lang w:val="en-US" w:eastAsia="zh-CN"/>
              </w:rPr>
              <w:t>进展？</w:t>
            </w:r>
          </w:p>
          <w:p w14:paraId="38FA13CE">
            <w:pPr>
              <w:pStyle w:val="28"/>
              <w:spacing w:before="0" w:beforeLines="0"/>
              <w:ind w:firstLine="0" w:firstLineChars="0"/>
              <w:rPr>
                <w:rFonts w:hint="default" w:eastAsia="宋体"/>
                <w:szCs w:val="24"/>
                <w:lang w:val="en-US" w:eastAsia="zh-CN"/>
              </w:rPr>
            </w:pPr>
            <w:r>
              <w:rPr>
                <w:rFonts w:hint="eastAsia"/>
                <w:szCs w:val="24"/>
              </w:rPr>
              <w:t>答：公司</w:t>
            </w:r>
            <w:r>
              <w:rPr>
                <w:rFonts w:hint="eastAsia"/>
                <w:szCs w:val="24"/>
                <w:lang w:val="en-US" w:eastAsia="zh-CN"/>
              </w:rPr>
              <w:t>已</w:t>
            </w:r>
            <w:r>
              <w:rPr>
                <w:rFonts w:hint="eastAsia"/>
                <w:szCs w:val="24"/>
              </w:rPr>
              <w:t>设立</w:t>
            </w:r>
            <w:r>
              <w:rPr>
                <w:rFonts w:hint="eastAsia"/>
                <w:szCs w:val="24"/>
                <w:lang w:val="en-US" w:eastAsia="zh-CN"/>
              </w:rPr>
              <w:t>控股子公司</w:t>
            </w:r>
            <w:r>
              <w:rPr>
                <w:rFonts w:hint="eastAsia"/>
                <w:szCs w:val="24"/>
              </w:rPr>
              <w:t>杭州元睿具身智能科技有限公司，旨在围绕机器人产业链相关业务开展专业化运营，进一步整合产业链资源，完善公司战略布局，提升公司长期竞争力与可持续发展能力。</w:t>
            </w:r>
          </w:p>
          <w:p w14:paraId="49F63F7A">
            <w:pPr>
              <w:pStyle w:val="28"/>
              <w:spacing w:before="0" w:beforeLines="0"/>
              <w:ind w:firstLine="0" w:firstLineChars="0"/>
              <w:rPr>
                <w:rFonts w:hint="eastAsia"/>
                <w:szCs w:val="24"/>
              </w:rPr>
            </w:pPr>
          </w:p>
          <w:p w14:paraId="2C3868A1">
            <w:pPr>
              <w:pStyle w:val="28"/>
              <w:spacing w:before="0" w:beforeLines="0"/>
              <w:ind w:firstLine="0" w:firstLineChars="0"/>
              <w:rPr>
                <w:rFonts w:hint="default" w:eastAsia="宋体"/>
                <w:b/>
                <w:bCs/>
                <w:szCs w:val="24"/>
                <w:lang w:val="en-US" w:eastAsia="zh-CN"/>
              </w:rPr>
            </w:pPr>
            <w:r>
              <w:rPr>
                <w:rFonts w:hint="eastAsia"/>
                <w:b/>
                <w:bCs/>
                <w:szCs w:val="24"/>
              </w:rPr>
              <w:t>问题2：</w:t>
            </w:r>
            <w:r>
              <w:rPr>
                <w:rFonts w:hint="eastAsia"/>
                <w:b/>
                <w:bCs/>
                <w:szCs w:val="24"/>
                <w:lang w:val="en-US" w:eastAsia="zh-CN"/>
              </w:rPr>
              <w:t>公司有自己的AI训练平台吗？</w:t>
            </w:r>
          </w:p>
          <w:p w14:paraId="766D363E">
            <w:pPr>
              <w:pStyle w:val="28"/>
              <w:spacing w:before="0" w:beforeLines="0"/>
              <w:ind w:firstLine="0" w:firstLineChars="0"/>
              <w:rPr>
                <w:rFonts w:hint="eastAsia"/>
                <w:szCs w:val="24"/>
              </w:rPr>
            </w:pPr>
            <w:r>
              <w:rPr>
                <w:rFonts w:hint="eastAsia"/>
                <w:szCs w:val="24"/>
              </w:rPr>
              <w:t>答：公</w:t>
            </w:r>
            <w:r>
              <w:rPr>
                <w:rFonts w:hint="default"/>
                <w:szCs w:val="24"/>
              </w:rPr>
              <w:t>司深耕各行业的自动测控和机器视觉领域十余年，积累了大量数据和应用案例，拥有AI应用项目开发实施经验。根据目前日益增长的AI应用市场需求，公司充分利用积累的资源和经验，在现有自主开发的软件基础上，加以系统化提炼和集合，进行AI训练平台的研发，完成由原始数据到模型的转化。AI训练平台将数据集的自动化标注、数据增强、数据清洗、AI训练、多模型适配、AI部署等全流程整合，解决以往AI实施过程工具碎片化、过程结果可视化差、对实施人员要求高的问题。目前AI训练平台数据集的自动化标注、数据增强、数据清洗、AI训练、多模型适配功能均已完成，当前平台同时支持正样本和负样本数据的训练。此外，公司着手研发将特定AI算法集成到智能相机里，实现AI算力的边缘化高速实时处理，实现更快的检测速度。</w:t>
            </w:r>
          </w:p>
          <w:p w14:paraId="4B6AD975">
            <w:pPr>
              <w:pStyle w:val="28"/>
              <w:spacing w:before="0" w:beforeLines="0"/>
              <w:ind w:firstLine="0" w:firstLineChars="0"/>
              <w:rPr>
                <w:rFonts w:hint="eastAsia"/>
                <w:szCs w:val="24"/>
              </w:rPr>
            </w:pPr>
          </w:p>
          <w:p w14:paraId="667A0C9A">
            <w:pPr>
              <w:pStyle w:val="28"/>
              <w:spacing w:before="0" w:beforeLines="0"/>
              <w:ind w:firstLine="0" w:firstLineChars="0"/>
              <w:rPr>
                <w:rFonts w:hint="eastAsia"/>
                <w:b/>
                <w:bCs/>
                <w:szCs w:val="24"/>
              </w:rPr>
            </w:pPr>
            <w:r>
              <w:rPr>
                <w:rFonts w:hint="eastAsia"/>
                <w:b/>
                <w:bCs/>
                <w:szCs w:val="24"/>
              </w:rPr>
              <w:t>问题</w:t>
            </w:r>
            <w:r>
              <w:rPr>
                <w:rFonts w:hint="eastAsia"/>
                <w:b/>
                <w:bCs/>
                <w:szCs w:val="24"/>
                <w:lang w:val="en-US" w:eastAsia="zh-CN"/>
              </w:rPr>
              <w:t>3</w:t>
            </w:r>
            <w:r>
              <w:rPr>
                <w:rFonts w:hint="eastAsia"/>
                <w:b/>
                <w:bCs/>
                <w:szCs w:val="24"/>
              </w:rPr>
              <w:t>：公司近年分红情况如何？</w:t>
            </w:r>
          </w:p>
          <w:p w14:paraId="024B822D">
            <w:pPr>
              <w:pStyle w:val="28"/>
              <w:spacing w:before="0" w:beforeLines="0"/>
              <w:ind w:firstLine="0" w:firstLineChars="0"/>
              <w:rPr>
                <w:szCs w:val="24"/>
              </w:rPr>
            </w:pPr>
            <w:r>
              <w:rPr>
                <w:rFonts w:hint="eastAsia"/>
                <w:szCs w:val="24"/>
              </w:rPr>
              <w:t>答：自上市以来，公司高度重视股东回报。2023年度至2024年度现金分红（含税）金额分别为9,340.70万元、7,817.07万元，占当年归属于上市公司股东净利润的比例分别为69.99%、89.99%；2025年半年度已实施现金分红732.48万元，占当期归属于上市公司股东净利润的比例为20.06%。在统筹平衡投资者回报与公司中长期发展在研发投入、生产经营等方面资金需求的前提下，为保证股利分配政策的连续性和稳定性，公司董事会特制定《未来三年（2024年-2026年）股东分红回报规划》，保证投资者回报。</w:t>
            </w:r>
          </w:p>
          <w:p w14:paraId="6C912A95">
            <w:pPr>
              <w:pStyle w:val="28"/>
              <w:spacing w:before="0" w:beforeLines="0"/>
              <w:ind w:firstLine="0" w:firstLineChars="0"/>
              <w:rPr>
                <w:rFonts w:hint="eastAsia"/>
                <w:szCs w:val="24"/>
              </w:rPr>
            </w:pPr>
          </w:p>
          <w:p w14:paraId="4D3FCA8B">
            <w:pPr>
              <w:pStyle w:val="28"/>
              <w:spacing w:before="0" w:beforeLines="0"/>
              <w:ind w:firstLine="0" w:firstLineChars="0"/>
              <w:rPr>
                <w:rFonts w:hint="eastAsia"/>
                <w:szCs w:val="24"/>
              </w:rPr>
            </w:pPr>
            <w:bookmarkStart w:id="2" w:name="_GoBack"/>
            <w:bookmarkEnd w:id="2"/>
          </w:p>
        </w:tc>
      </w:tr>
      <w:tr w14:paraId="63F3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49" w:type="dxa"/>
            <w:vAlign w:val="center"/>
          </w:tcPr>
          <w:p w14:paraId="1FE6EB4C">
            <w:pPr>
              <w:jc w:val="center"/>
              <w:rPr>
                <w:sz w:val="24"/>
              </w:rPr>
            </w:pPr>
            <w:r>
              <w:rPr>
                <w:rFonts w:hint="eastAsia"/>
                <w:sz w:val="24"/>
              </w:rPr>
              <w:t>风险提示及说明</w:t>
            </w:r>
          </w:p>
        </w:tc>
        <w:tc>
          <w:tcPr>
            <w:tcW w:w="8196" w:type="dxa"/>
          </w:tcPr>
          <w:p w14:paraId="2D538F01">
            <w:pPr>
              <w:pStyle w:val="28"/>
              <w:spacing w:before="0" w:beforeLines="0"/>
              <w:ind w:firstLine="0" w:firstLineChars="0"/>
              <w:rPr>
                <w:szCs w:val="24"/>
              </w:rPr>
            </w:pPr>
            <w:r>
              <w:rPr>
                <w:rFonts w:hint="eastAsia"/>
                <w:szCs w:val="24"/>
              </w:rPr>
              <w:t>以上如涉及对行业的预测、公司发展规划等相关内容，不代表公司或公司管理层对行业、公司发展或业绩的盈利预测和承诺，不构成公司对投资者的实质性承诺，敬请广大投资者注意投资风险。</w:t>
            </w:r>
          </w:p>
          <w:p w14:paraId="78DD7C3A">
            <w:pPr>
              <w:pStyle w:val="28"/>
              <w:spacing w:before="0" w:beforeLines="0"/>
              <w:ind w:firstLine="0" w:firstLineChars="0"/>
              <w:rPr>
                <w:rFonts w:hint="eastAsia"/>
                <w:szCs w:val="24"/>
              </w:rPr>
            </w:pPr>
            <w:r>
              <w:rPr>
                <w:rFonts w:hint="eastAsia"/>
                <w:szCs w:val="24"/>
              </w:rPr>
              <w:t>投资者接待活动过程中，公司接待人员积极回复投资者提出的问题，严格按照有关制度规定，本次活动不存在应当披露的重大信息。</w:t>
            </w:r>
          </w:p>
        </w:tc>
      </w:tr>
      <w:tr w14:paraId="5B5D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49" w:type="dxa"/>
            <w:vAlign w:val="center"/>
          </w:tcPr>
          <w:p w14:paraId="24BF2FD4">
            <w:pPr>
              <w:jc w:val="center"/>
              <w:rPr>
                <w:sz w:val="24"/>
              </w:rPr>
            </w:pPr>
            <w:r>
              <w:rPr>
                <w:sz w:val="24"/>
              </w:rPr>
              <w:t>附件清单</w:t>
            </w:r>
          </w:p>
          <w:p w14:paraId="559A8F16">
            <w:pPr>
              <w:jc w:val="center"/>
              <w:rPr>
                <w:sz w:val="24"/>
              </w:rPr>
            </w:pPr>
            <w:r>
              <w:rPr>
                <w:sz w:val="24"/>
              </w:rPr>
              <w:t>（如有）</w:t>
            </w:r>
          </w:p>
        </w:tc>
        <w:tc>
          <w:tcPr>
            <w:tcW w:w="8196" w:type="dxa"/>
          </w:tcPr>
          <w:p w14:paraId="25702C3D">
            <w:pPr>
              <w:spacing w:line="540" w:lineRule="exact"/>
              <w:jc w:val="left"/>
              <w:rPr>
                <w:sz w:val="24"/>
              </w:rPr>
            </w:pPr>
            <w:r>
              <w:rPr>
                <w:rFonts w:hint="eastAsia"/>
                <w:sz w:val="24"/>
              </w:rPr>
              <w:t>无</w:t>
            </w:r>
          </w:p>
        </w:tc>
      </w:tr>
      <w:tr w14:paraId="7CB0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49" w:type="dxa"/>
          </w:tcPr>
          <w:p w14:paraId="3E556ECB">
            <w:pPr>
              <w:spacing w:line="540" w:lineRule="exact"/>
              <w:jc w:val="center"/>
              <w:rPr>
                <w:sz w:val="24"/>
              </w:rPr>
            </w:pPr>
            <w:r>
              <w:rPr>
                <w:sz w:val="24"/>
              </w:rPr>
              <w:t>日期</w:t>
            </w:r>
          </w:p>
        </w:tc>
        <w:tc>
          <w:tcPr>
            <w:tcW w:w="8196" w:type="dxa"/>
          </w:tcPr>
          <w:p w14:paraId="6E884446">
            <w:pPr>
              <w:spacing w:line="540" w:lineRule="exact"/>
              <w:rPr>
                <w:sz w:val="24"/>
              </w:rPr>
            </w:pPr>
            <w:r>
              <w:rPr>
                <w:rFonts w:hint="eastAsia"/>
                <w:sz w:val="24"/>
              </w:rPr>
              <w:t>2026年2月3日</w:t>
            </w:r>
          </w:p>
        </w:tc>
      </w:tr>
    </w:tbl>
    <w:p w14:paraId="0D9B0F1E">
      <w:pPr>
        <w:jc w:val="left"/>
        <w:rPr>
          <w:rFonts w:hint="eastAsia" w:ascii="宋体" w:hAnsi="宋体"/>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76B0"/>
    <w:multiLevelType w:val="singleLevel"/>
    <w:tmpl w:val="807576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4NWExNjBmMzA5MDg5OTk3ODg5MmU2MTRkNjFiYjAifQ=="/>
  </w:docVars>
  <w:rsids>
    <w:rsidRoot w:val="00955ED9"/>
    <w:rsid w:val="000200C0"/>
    <w:rsid w:val="00022936"/>
    <w:rsid w:val="00030AAD"/>
    <w:rsid w:val="00032291"/>
    <w:rsid w:val="000364B8"/>
    <w:rsid w:val="00043AB6"/>
    <w:rsid w:val="000449F1"/>
    <w:rsid w:val="00045340"/>
    <w:rsid w:val="0005158D"/>
    <w:rsid w:val="00056B22"/>
    <w:rsid w:val="00061D23"/>
    <w:rsid w:val="00062098"/>
    <w:rsid w:val="0006239E"/>
    <w:rsid w:val="00063E2A"/>
    <w:rsid w:val="00075B67"/>
    <w:rsid w:val="0008094F"/>
    <w:rsid w:val="000911F1"/>
    <w:rsid w:val="000922A9"/>
    <w:rsid w:val="000A08A7"/>
    <w:rsid w:val="000A123F"/>
    <w:rsid w:val="000A358D"/>
    <w:rsid w:val="000C275D"/>
    <w:rsid w:val="000C2FEB"/>
    <w:rsid w:val="000F4276"/>
    <w:rsid w:val="0010245D"/>
    <w:rsid w:val="00105829"/>
    <w:rsid w:val="001069B7"/>
    <w:rsid w:val="001407F8"/>
    <w:rsid w:val="001428C3"/>
    <w:rsid w:val="0014394F"/>
    <w:rsid w:val="0015684D"/>
    <w:rsid w:val="00160101"/>
    <w:rsid w:val="00160FA4"/>
    <w:rsid w:val="00162CB4"/>
    <w:rsid w:val="001705D8"/>
    <w:rsid w:val="00184973"/>
    <w:rsid w:val="001C7C8C"/>
    <w:rsid w:val="001E57B0"/>
    <w:rsid w:val="00200E6D"/>
    <w:rsid w:val="00225231"/>
    <w:rsid w:val="00231DD7"/>
    <w:rsid w:val="002457DD"/>
    <w:rsid w:val="00270CE2"/>
    <w:rsid w:val="00283665"/>
    <w:rsid w:val="00284774"/>
    <w:rsid w:val="00285F3A"/>
    <w:rsid w:val="002C5251"/>
    <w:rsid w:val="002D15C0"/>
    <w:rsid w:val="002E0964"/>
    <w:rsid w:val="002E773E"/>
    <w:rsid w:val="002F2765"/>
    <w:rsid w:val="002F3A1A"/>
    <w:rsid w:val="002F6292"/>
    <w:rsid w:val="003035DD"/>
    <w:rsid w:val="003036FD"/>
    <w:rsid w:val="00324BD7"/>
    <w:rsid w:val="00351CCE"/>
    <w:rsid w:val="00351CD3"/>
    <w:rsid w:val="00357E0C"/>
    <w:rsid w:val="00373B1F"/>
    <w:rsid w:val="00385F1A"/>
    <w:rsid w:val="00386468"/>
    <w:rsid w:val="00387483"/>
    <w:rsid w:val="0039232B"/>
    <w:rsid w:val="00397B26"/>
    <w:rsid w:val="003A0914"/>
    <w:rsid w:val="003A3849"/>
    <w:rsid w:val="003A60F0"/>
    <w:rsid w:val="003A7CCE"/>
    <w:rsid w:val="003C427F"/>
    <w:rsid w:val="003E47A1"/>
    <w:rsid w:val="003F36FF"/>
    <w:rsid w:val="00402C40"/>
    <w:rsid w:val="00403155"/>
    <w:rsid w:val="00412089"/>
    <w:rsid w:val="004225D2"/>
    <w:rsid w:val="00423C6D"/>
    <w:rsid w:val="00434B27"/>
    <w:rsid w:val="00441990"/>
    <w:rsid w:val="004644C9"/>
    <w:rsid w:val="00470B7C"/>
    <w:rsid w:val="00481DEF"/>
    <w:rsid w:val="00485C16"/>
    <w:rsid w:val="0049218D"/>
    <w:rsid w:val="004A576F"/>
    <w:rsid w:val="004B237A"/>
    <w:rsid w:val="004B6C1D"/>
    <w:rsid w:val="004C0EB9"/>
    <w:rsid w:val="004C7E35"/>
    <w:rsid w:val="004E40E0"/>
    <w:rsid w:val="004E6DB7"/>
    <w:rsid w:val="004F4FD9"/>
    <w:rsid w:val="00505E11"/>
    <w:rsid w:val="00511909"/>
    <w:rsid w:val="00513EE0"/>
    <w:rsid w:val="005164DF"/>
    <w:rsid w:val="00517925"/>
    <w:rsid w:val="00524F69"/>
    <w:rsid w:val="005302BF"/>
    <w:rsid w:val="00535BDE"/>
    <w:rsid w:val="0054218A"/>
    <w:rsid w:val="00547C18"/>
    <w:rsid w:val="00552308"/>
    <w:rsid w:val="00594D7E"/>
    <w:rsid w:val="005A2AAA"/>
    <w:rsid w:val="005A7270"/>
    <w:rsid w:val="005B0107"/>
    <w:rsid w:val="005C0C8B"/>
    <w:rsid w:val="005C415D"/>
    <w:rsid w:val="005C5D7C"/>
    <w:rsid w:val="005C776E"/>
    <w:rsid w:val="005F075A"/>
    <w:rsid w:val="005F1AF1"/>
    <w:rsid w:val="00610A40"/>
    <w:rsid w:val="00611636"/>
    <w:rsid w:val="00613E75"/>
    <w:rsid w:val="00614D4D"/>
    <w:rsid w:val="00636F51"/>
    <w:rsid w:val="00646D8A"/>
    <w:rsid w:val="006524AC"/>
    <w:rsid w:val="0065750D"/>
    <w:rsid w:val="00662610"/>
    <w:rsid w:val="0066658D"/>
    <w:rsid w:val="006752EA"/>
    <w:rsid w:val="00677C5C"/>
    <w:rsid w:val="00683D36"/>
    <w:rsid w:val="006A3F13"/>
    <w:rsid w:val="006A6018"/>
    <w:rsid w:val="006A63E6"/>
    <w:rsid w:val="006B5B5B"/>
    <w:rsid w:val="006B6A81"/>
    <w:rsid w:val="006C03D2"/>
    <w:rsid w:val="006D3166"/>
    <w:rsid w:val="006D55FD"/>
    <w:rsid w:val="006D6B46"/>
    <w:rsid w:val="006E39F7"/>
    <w:rsid w:val="006F2208"/>
    <w:rsid w:val="00701DC4"/>
    <w:rsid w:val="0070316D"/>
    <w:rsid w:val="007063BC"/>
    <w:rsid w:val="00716AB5"/>
    <w:rsid w:val="00722312"/>
    <w:rsid w:val="00730FD8"/>
    <w:rsid w:val="00733BED"/>
    <w:rsid w:val="00747F4E"/>
    <w:rsid w:val="00753350"/>
    <w:rsid w:val="00762620"/>
    <w:rsid w:val="007679FE"/>
    <w:rsid w:val="00770E1A"/>
    <w:rsid w:val="00771F07"/>
    <w:rsid w:val="0078559B"/>
    <w:rsid w:val="007A7B36"/>
    <w:rsid w:val="007B019D"/>
    <w:rsid w:val="007B1E06"/>
    <w:rsid w:val="007C41B7"/>
    <w:rsid w:val="007C477A"/>
    <w:rsid w:val="007C6432"/>
    <w:rsid w:val="007D59D6"/>
    <w:rsid w:val="007F4578"/>
    <w:rsid w:val="008105A2"/>
    <w:rsid w:val="00811BB7"/>
    <w:rsid w:val="00812233"/>
    <w:rsid w:val="00817CB9"/>
    <w:rsid w:val="008336F8"/>
    <w:rsid w:val="0084700E"/>
    <w:rsid w:val="00847507"/>
    <w:rsid w:val="008537DC"/>
    <w:rsid w:val="00871E32"/>
    <w:rsid w:val="00872021"/>
    <w:rsid w:val="00883CAE"/>
    <w:rsid w:val="008A64FA"/>
    <w:rsid w:val="008A6A75"/>
    <w:rsid w:val="008A7855"/>
    <w:rsid w:val="008B0CD2"/>
    <w:rsid w:val="008B499A"/>
    <w:rsid w:val="008B5F37"/>
    <w:rsid w:val="008C042F"/>
    <w:rsid w:val="008C1706"/>
    <w:rsid w:val="008C1C96"/>
    <w:rsid w:val="008D01BF"/>
    <w:rsid w:val="008D6252"/>
    <w:rsid w:val="008E30FC"/>
    <w:rsid w:val="00906FF4"/>
    <w:rsid w:val="009109AC"/>
    <w:rsid w:val="00920CA0"/>
    <w:rsid w:val="0093446B"/>
    <w:rsid w:val="00955ED9"/>
    <w:rsid w:val="009A6DF8"/>
    <w:rsid w:val="009A7936"/>
    <w:rsid w:val="009B209D"/>
    <w:rsid w:val="009C2AD9"/>
    <w:rsid w:val="009C4090"/>
    <w:rsid w:val="009C674D"/>
    <w:rsid w:val="009D1E33"/>
    <w:rsid w:val="009D769E"/>
    <w:rsid w:val="009E358A"/>
    <w:rsid w:val="009E5203"/>
    <w:rsid w:val="009E64A0"/>
    <w:rsid w:val="009E7E8A"/>
    <w:rsid w:val="00A221EB"/>
    <w:rsid w:val="00A322B5"/>
    <w:rsid w:val="00A32B10"/>
    <w:rsid w:val="00A43865"/>
    <w:rsid w:val="00A63B7A"/>
    <w:rsid w:val="00A640BB"/>
    <w:rsid w:val="00A67899"/>
    <w:rsid w:val="00A7003F"/>
    <w:rsid w:val="00A83E51"/>
    <w:rsid w:val="00A901B4"/>
    <w:rsid w:val="00A92369"/>
    <w:rsid w:val="00A93129"/>
    <w:rsid w:val="00A978BB"/>
    <w:rsid w:val="00A97B50"/>
    <w:rsid w:val="00AA1868"/>
    <w:rsid w:val="00AA1EC5"/>
    <w:rsid w:val="00AA39A2"/>
    <w:rsid w:val="00AB53C4"/>
    <w:rsid w:val="00AC0FE4"/>
    <w:rsid w:val="00AC2A4D"/>
    <w:rsid w:val="00AC7F40"/>
    <w:rsid w:val="00AE1F64"/>
    <w:rsid w:val="00AE2135"/>
    <w:rsid w:val="00AE6E40"/>
    <w:rsid w:val="00AF2B48"/>
    <w:rsid w:val="00AF6FC7"/>
    <w:rsid w:val="00B02618"/>
    <w:rsid w:val="00B11C73"/>
    <w:rsid w:val="00B4104B"/>
    <w:rsid w:val="00B41A7D"/>
    <w:rsid w:val="00B45782"/>
    <w:rsid w:val="00B45B21"/>
    <w:rsid w:val="00B47D1A"/>
    <w:rsid w:val="00B507CC"/>
    <w:rsid w:val="00B75549"/>
    <w:rsid w:val="00B82977"/>
    <w:rsid w:val="00B831A6"/>
    <w:rsid w:val="00B83708"/>
    <w:rsid w:val="00B957B3"/>
    <w:rsid w:val="00BA001F"/>
    <w:rsid w:val="00BB689D"/>
    <w:rsid w:val="00BB71ED"/>
    <w:rsid w:val="00BC0F5F"/>
    <w:rsid w:val="00BC3A10"/>
    <w:rsid w:val="00BD10F5"/>
    <w:rsid w:val="00BF0CC9"/>
    <w:rsid w:val="00BF2E82"/>
    <w:rsid w:val="00BF3F10"/>
    <w:rsid w:val="00C0492F"/>
    <w:rsid w:val="00C108F3"/>
    <w:rsid w:val="00C2292B"/>
    <w:rsid w:val="00C2780A"/>
    <w:rsid w:val="00C31162"/>
    <w:rsid w:val="00C3422C"/>
    <w:rsid w:val="00C473B0"/>
    <w:rsid w:val="00C54025"/>
    <w:rsid w:val="00C56AF4"/>
    <w:rsid w:val="00C56D43"/>
    <w:rsid w:val="00C7293C"/>
    <w:rsid w:val="00C74393"/>
    <w:rsid w:val="00C950A9"/>
    <w:rsid w:val="00C96EB9"/>
    <w:rsid w:val="00C97046"/>
    <w:rsid w:val="00C9724A"/>
    <w:rsid w:val="00CB210E"/>
    <w:rsid w:val="00CC67AC"/>
    <w:rsid w:val="00CC6BF3"/>
    <w:rsid w:val="00CE1EC5"/>
    <w:rsid w:val="00D064E8"/>
    <w:rsid w:val="00D14478"/>
    <w:rsid w:val="00D254BA"/>
    <w:rsid w:val="00D322A0"/>
    <w:rsid w:val="00D519CB"/>
    <w:rsid w:val="00D73699"/>
    <w:rsid w:val="00DA1F96"/>
    <w:rsid w:val="00DA48FB"/>
    <w:rsid w:val="00DB19E2"/>
    <w:rsid w:val="00DB2268"/>
    <w:rsid w:val="00DB27E8"/>
    <w:rsid w:val="00DC6918"/>
    <w:rsid w:val="00DD14A2"/>
    <w:rsid w:val="00DD2DBD"/>
    <w:rsid w:val="00DD4AD9"/>
    <w:rsid w:val="00DE1E62"/>
    <w:rsid w:val="00DE7045"/>
    <w:rsid w:val="00DE732D"/>
    <w:rsid w:val="00E01E3E"/>
    <w:rsid w:val="00E02570"/>
    <w:rsid w:val="00E0292C"/>
    <w:rsid w:val="00E05E49"/>
    <w:rsid w:val="00E12C0D"/>
    <w:rsid w:val="00E16BFE"/>
    <w:rsid w:val="00E3061D"/>
    <w:rsid w:val="00E32D50"/>
    <w:rsid w:val="00E74FAE"/>
    <w:rsid w:val="00E81D05"/>
    <w:rsid w:val="00E832B6"/>
    <w:rsid w:val="00E868E1"/>
    <w:rsid w:val="00E912EF"/>
    <w:rsid w:val="00E93C9A"/>
    <w:rsid w:val="00E93F5E"/>
    <w:rsid w:val="00EA2FCB"/>
    <w:rsid w:val="00EA4C20"/>
    <w:rsid w:val="00EA6E6A"/>
    <w:rsid w:val="00EC75FE"/>
    <w:rsid w:val="00ED4979"/>
    <w:rsid w:val="00ED5D58"/>
    <w:rsid w:val="00EF4272"/>
    <w:rsid w:val="00F03B54"/>
    <w:rsid w:val="00F519E3"/>
    <w:rsid w:val="00F57D55"/>
    <w:rsid w:val="00F61BFD"/>
    <w:rsid w:val="00F75FA2"/>
    <w:rsid w:val="00F85B27"/>
    <w:rsid w:val="00F86EFF"/>
    <w:rsid w:val="00FB079F"/>
    <w:rsid w:val="00FB12F8"/>
    <w:rsid w:val="00FB3D2C"/>
    <w:rsid w:val="00FD09E0"/>
    <w:rsid w:val="00FD623C"/>
    <w:rsid w:val="00FE0224"/>
    <w:rsid w:val="00FE0C8F"/>
    <w:rsid w:val="00FE44FD"/>
    <w:rsid w:val="00FF1EF3"/>
    <w:rsid w:val="00FF3A15"/>
    <w:rsid w:val="00FF6380"/>
    <w:rsid w:val="01DD1E9F"/>
    <w:rsid w:val="024B5F91"/>
    <w:rsid w:val="025A34EF"/>
    <w:rsid w:val="03064DAE"/>
    <w:rsid w:val="03653EFA"/>
    <w:rsid w:val="03F2717B"/>
    <w:rsid w:val="046A40FD"/>
    <w:rsid w:val="04A10F62"/>
    <w:rsid w:val="04A23867"/>
    <w:rsid w:val="04E452F2"/>
    <w:rsid w:val="057448C8"/>
    <w:rsid w:val="082A74C0"/>
    <w:rsid w:val="08D631A4"/>
    <w:rsid w:val="0A7A51D9"/>
    <w:rsid w:val="0ABD2BD6"/>
    <w:rsid w:val="0B9A495D"/>
    <w:rsid w:val="0BEA58E4"/>
    <w:rsid w:val="0C4B5C57"/>
    <w:rsid w:val="0CF06F2A"/>
    <w:rsid w:val="0E3A41D5"/>
    <w:rsid w:val="0E5531FB"/>
    <w:rsid w:val="0E6F0323"/>
    <w:rsid w:val="0E776122"/>
    <w:rsid w:val="0F0C2FD0"/>
    <w:rsid w:val="0F7200CA"/>
    <w:rsid w:val="10855BDB"/>
    <w:rsid w:val="10AE15C3"/>
    <w:rsid w:val="10C350C1"/>
    <w:rsid w:val="10F231DF"/>
    <w:rsid w:val="1117506F"/>
    <w:rsid w:val="111A4B70"/>
    <w:rsid w:val="11AF4195"/>
    <w:rsid w:val="122E5DFF"/>
    <w:rsid w:val="125910CE"/>
    <w:rsid w:val="12802AFE"/>
    <w:rsid w:val="129B7938"/>
    <w:rsid w:val="14812B5E"/>
    <w:rsid w:val="14BE16BC"/>
    <w:rsid w:val="14C52A4A"/>
    <w:rsid w:val="15FD6214"/>
    <w:rsid w:val="16432F89"/>
    <w:rsid w:val="16EA2C3C"/>
    <w:rsid w:val="173043C7"/>
    <w:rsid w:val="179E7583"/>
    <w:rsid w:val="181066D2"/>
    <w:rsid w:val="1A50511F"/>
    <w:rsid w:val="1B4072CF"/>
    <w:rsid w:val="1B5E6896"/>
    <w:rsid w:val="1BCF41AF"/>
    <w:rsid w:val="1BF63E31"/>
    <w:rsid w:val="1C535F4A"/>
    <w:rsid w:val="1C6E7E6B"/>
    <w:rsid w:val="1CCC6940"/>
    <w:rsid w:val="1CE35C57"/>
    <w:rsid w:val="1DB00010"/>
    <w:rsid w:val="1DE008F5"/>
    <w:rsid w:val="1E075E82"/>
    <w:rsid w:val="1E33787C"/>
    <w:rsid w:val="1E9F430C"/>
    <w:rsid w:val="1ED22B82"/>
    <w:rsid w:val="1F66307C"/>
    <w:rsid w:val="20047259"/>
    <w:rsid w:val="20496733"/>
    <w:rsid w:val="20E05780"/>
    <w:rsid w:val="211D59BC"/>
    <w:rsid w:val="211F46C2"/>
    <w:rsid w:val="21B7196D"/>
    <w:rsid w:val="224D20BA"/>
    <w:rsid w:val="235A6E60"/>
    <w:rsid w:val="23802022"/>
    <w:rsid w:val="23BC14BC"/>
    <w:rsid w:val="25E457F2"/>
    <w:rsid w:val="260D62C5"/>
    <w:rsid w:val="263E08AF"/>
    <w:rsid w:val="26461511"/>
    <w:rsid w:val="2674607E"/>
    <w:rsid w:val="26A12BEB"/>
    <w:rsid w:val="26DB4109"/>
    <w:rsid w:val="27353746"/>
    <w:rsid w:val="27691941"/>
    <w:rsid w:val="28612632"/>
    <w:rsid w:val="288F719F"/>
    <w:rsid w:val="29D82DC8"/>
    <w:rsid w:val="2A410134"/>
    <w:rsid w:val="2A4B4BF1"/>
    <w:rsid w:val="2B4F5948"/>
    <w:rsid w:val="2B5D17D7"/>
    <w:rsid w:val="2BC25ADE"/>
    <w:rsid w:val="2C8E72AF"/>
    <w:rsid w:val="2D621714"/>
    <w:rsid w:val="2E2069F4"/>
    <w:rsid w:val="2F2A5E74"/>
    <w:rsid w:val="30662EDC"/>
    <w:rsid w:val="3102072B"/>
    <w:rsid w:val="31774C75"/>
    <w:rsid w:val="32140715"/>
    <w:rsid w:val="32252923"/>
    <w:rsid w:val="326C2300"/>
    <w:rsid w:val="337771AE"/>
    <w:rsid w:val="341D5FA7"/>
    <w:rsid w:val="3428494C"/>
    <w:rsid w:val="3442156A"/>
    <w:rsid w:val="349B38F8"/>
    <w:rsid w:val="34C53F49"/>
    <w:rsid w:val="357240D1"/>
    <w:rsid w:val="35B30245"/>
    <w:rsid w:val="35F76384"/>
    <w:rsid w:val="36AC53C0"/>
    <w:rsid w:val="36FA25D0"/>
    <w:rsid w:val="376D0FF4"/>
    <w:rsid w:val="38156F95"/>
    <w:rsid w:val="38267F5A"/>
    <w:rsid w:val="38797524"/>
    <w:rsid w:val="38EA6674"/>
    <w:rsid w:val="3AC727C9"/>
    <w:rsid w:val="3AE056A7"/>
    <w:rsid w:val="3B00217F"/>
    <w:rsid w:val="3B563B4D"/>
    <w:rsid w:val="3BC94845"/>
    <w:rsid w:val="3C2E6878"/>
    <w:rsid w:val="3C320116"/>
    <w:rsid w:val="3CFC5A39"/>
    <w:rsid w:val="3DA46DF1"/>
    <w:rsid w:val="3E8C147B"/>
    <w:rsid w:val="3EBB73C7"/>
    <w:rsid w:val="3EF61028"/>
    <w:rsid w:val="3F19744F"/>
    <w:rsid w:val="3F9D28CE"/>
    <w:rsid w:val="40907B01"/>
    <w:rsid w:val="40D1201B"/>
    <w:rsid w:val="41D54F0A"/>
    <w:rsid w:val="426C1EA8"/>
    <w:rsid w:val="42A66AD1"/>
    <w:rsid w:val="43087D58"/>
    <w:rsid w:val="434846C3"/>
    <w:rsid w:val="43E268C5"/>
    <w:rsid w:val="44366C11"/>
    <w:rsid w:val="4476700E"/>
    <w:rsid w:val="449415E2"/>
    <w:rsid w:val="44B76D66"/>
    <w:rsid w:val="44BF6C07"/>
    <w:rsid w:val="454C3CB1"/>
    <w:rsid w:val="45C67B21"/>
    <w:rsid w:val="45E3194E"/>
    <w:rsid w:val="4691012F"/>
    <w:rsid w:val="475B5D5A"/>
    <w:rsid w:val="475D6041"/>
    <w:rsid w:val="4772112D"/>
    <w:rsid w:val="47C00CCC"/>
    <w:rsid w:val="47E9650D"/>
    <w:rsid w:val="48474F56"/>
    <w:rsid w:val="48FB5D34"/>
    <w:rsid w:val="492E7EB7"/>
    <w:rsid w:val="4A9A51B6"/>
    <w:rsid w:val="4AD827D0"/>
    <w:rsid w:val="4AF84095"/>
    <w:rsid w:val="4AFD407E"/>
    <w:rsid w:val="4BAF082E"/>
    <w:rsid w:val="4C83676C"/>
    <w:rsid w:val="4DE4323A"/>
    <w:rsid w:val="4DF60BEA"/>
    <w:rsid w:val="4FE47521"/>
    <w:rsid w:val="503C110B"/>
    <w:rsid w:val="504E15BD"/>
    <w:rsid w:val="50887115"/>
    <w:rsid w:val="515B7CB7"/>
    <w:rsid w:val="516A3A56"/>
    <w:rsid w:val="51887D83"/>
    <w:rsid w:val="518A774A"/>
    <w:rsid w:val="52171E30"/>
    <w:rsid w:val="52481FEA"/>
    <w:rsid w:val="535A5977"/>
    <w:rsid w:val="53E47AF0"/>
    <w:rsid w:val="53E93358"/>
    <w:rsid w:val="54870351"/>
    <w:rsid w:val="54F621D1"/>
    <w:rsid w:val="5509043B"/>
    <w:rsid w:val="55D1679A"/>
    <w:rsid w:val="56821842"/>
    <w:rsid w:val="5798756F"/>
    <w:rsid w:val="57A33C6D"/>
    <w:rsid w:val="58331046"/>
    <w:rsid w:val="585E773A"/>
    <w:rsid w:val="58B73A25"/>
    <w:rsid w:val="58ED38EB"/>
    <w:rsid w:val="593B2894"/>
    <w:rsid w:val="59C96DF2"/>
    <w:rsid w:val="5AA1498D"/>
    <w:rsid w:val="5B0E7B48"/>
    <w:rsid w:val="5B0F0F1D"/>
    <w:rsid w:val="5BA10F5E"/>
    <w:rsid w:val="5C387DB0"/>
    <w:rsid w:val="5C4750C0"/>
    <w:rsid w:val="5C81185E"/>
    <w:rsid w:val="5DBC7D30"/>
    <w:rsid w:val="5DDC06E4"/>
    <w:rsid w:val="5E5B30A5"/>
    <w:rsid w:val="5EAE7678"/>
    <w:rsid w:val="5ECE7E14"/>
    <w:rsid w:val="5F3C2ED6"/>
    <w:rsid w:val="5FE5356E"/>
    <w:rsid w:val="601E25DC"/>
    <w:rsid w:val="60457B68"/>
    <w:rsid w:val="616E30EF"/>
    <w:rsid w:val="61E17D65"/>
    <w:rsid w:val="61EF4230"/>
    <w:rsid w:val="62856942"/>
    <w:rsid w:val="634E31D8"/>
    <w:rsid w:val="635A1B7D"/>
    <w:rsid w:val="636E5628"/>
    <w:rsid w:val="63D61F40"/>
    <w:rsid w:val="63E31B72"/>
    <w:rsid w:val="63E975E8"/>
    <w:rsid w:val="63FA3360"/>
    <w:rsid w:val="64590B37"/>
    <w:rsid w:val="653B3C30"/>
    <w:rsid w:val="65B37C6A"/>
    <w:rsid w:val="65D200F0"/>
    <w:rsid w:val="66186DCB"/>
    <w:rsid w:val="66632CA7"/>
    <w:rsid w:val="6742608D"/>
    <w:rsid w:val="684B1530"/>
    <w:rsid w:val="684D1CB0"/>
    <w:rsid w:val="68AF64C7"/>
    <w:rsid w:val="68CD34B9"/>
    <w:rsid w:val="68FC5484"/>
    <w:rsid w:val="699F29DF"/>
    <w:rsid w:val="6A4B66C3"/>
    <w:rsid w:val="6B095C95"/>
    <w:rsid w:val="6CB4125F"/>
    <w:rsid w:val="6CC30793"/>
    <w:rsid w:val="6CFE20B7"/>
    <w:rsid w:val="6D374CDD"/>
    <w:rsid w:val="6DD61E50"/>
    <w:rsid w:val="6DD662A4"/>
    <w:rsid w:val="6E1B63AC"/>
    <w:rsid w:val="6EB760D5"/>
    <w:rsid w:val="6F7B4CFB"/>
    <w:rsid w:val="6F7B7FF9"/>
    <w:rsid w:val="6FCC5BB0"/>
    <w:rsid w:val="70346FC6"/>
    <w:rsid w:val="70904E30"/>
    <w:rsid w:val="70B64C9A"/>
    <w:rsid w:val="70FF23EA"/>
    <w:rsid w:val="71037A4C"/>
    <w:rsid w:val="71341C5F"/>
    <w:rsid w:val="71B73552"/>
    <w:rsid w:val="71CF29F1"/>
    <w:rsid w:val="72393F24"/>
    <w:rsid w:val="734D092E"/>
    <w:rsid w:val="741D6AA8"/>
    <w:rsid w:val="747B287D"/>
    <w:rsid w:val="74980E3C"/>
    <w:rsid w:val="74F71921"/>
    <w:rsid w:val="753C2EB5"/>
    <w:rsid w:val="7553467E"/>
    <w:rsid w:val="75631015"/>
    <w:rsid w:val="75632737"/>
    <w:rsid w:val="76B86A05"/>
    <w:rsid w:val="7726029C"/>
    <w:rsid w:val="779F004E"/>
    <w:rsid w:val="77C96E79"/>
    <w:rsid w:val="78016613"/>
    <w:rsid w:val="78646965"/>
    <w:rsid w:val="78A23952"/>
    <w:rsid w:val="78E55F35"/>
    <w:rsid w:val="795A422D"/>
    <w:rsid w:val="7AAA4D40"/>
    <w:rsid w:val="7AC34C4F"/>
    <w:rsid w:val="7B7B66DC"/>
    <w:rsid w:val="7BFC4543"/>
    <w:rsid w:val="7C37080D"/>
    <w:rsid w:val="7C40241F"/>
    <w:rsid w:val="7C683105"/>
    <w:rsid w:val="7CAA7279"/>
    <w:rsid w:val="7CCC3693"/>
    <w:rsid w:val="7D7D2BE0"/>
    <w:rsid w:val="7D985324"/>
    <w:rsid w:val="7DC963A8"/>
    <w:rsid w:val="7DFE2A11"/>
    <w:rsid w:val="7EB121D4"/>
    <w:rsid w:val="7ECC44F9"/>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ody Text"/>
    <w:basedOn w:val="1"/>
    <w:qFormat/>
    <w:uiPriority w:val="1"/>
    <w:pPr>
      <w:ind w:left="220" w:firstLine="479"/>
    </w:pPr>
    <w:rPr>
      <w:rFonts w:ascii="宋体" w:hAnsi="宋体" w:cs="宋体"/>
      <w:sz w:val="24"/>
      <w:lang w:val="zh-CN" w:bidi="zh-CN"/>
    </w:rPr>
  </w:style>
  <w:style w:type="paragraph" w:styleId="4">
    <w:name w:val="Plain Text"/>
    <w:basedOn w:val="1"/>
    <w:qFormat/>
    <w:uiPriority w:val="0"/>
    <w:pPr>
      <w:jc w:val="left"/>
    </w:pPr>
    <w:rPr>
      <w:rFonts w:ascii="MingLiU" w:hAnsi="Courier New" w:eastAsia="MingLiU"/>
      <w:sz w:val="24"/>
      <w:szCs w:val="20"/>
      <w:lang w:eastAsia="zh-TW"/>
    </w:rPr>
  </w:style>
  <w:style w:type="paragraph" w:styleId="5">
    <w:name w:val="Balloon Text"/>
    <w:basedOn w:val="1"/>
    <w:link w:val="25"/>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qFormat/>
    <w:uiPriority w:val="99"/>
    <w:pPr>
      <w:snapToGrid w:val="0"/>
      <w:jc w:val="left"/>
    </w:pPr>
    <w:rPr>
      <w:sz w:val="18"/>
      <w:szCs w:val="18"/>
    </w:rPr>
  </w:style>
  <w:style w:type="paragraph" w:styleId="9">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semiHidden/>
    <w:unhideWhenUsed/>
    <w:qFormat/>
    <w:uiPriority w:val="99"/>
    <w:pPr>
      <w:spacing w:beforeAutospacing="1" w:afterAutospacing="1"/>
      <w:jc w:val="left"/>
    </w:pPr>
    <w:rPr>
      <w:kern w:val="0"/>
      <w:sz w:val="24"/>
    </w:rPr>
  </w:style>
  <w:style w:type="paragraph" w:styleId="11">
    <w:name w:val="Title"/>
    <w:basedOn w:val="1"/>
    <w:next w:val="1"/>
    <w:link w:val="23"/>
    <w:qFormat/>
    <w:uiPriority w:val="0"/>
    <w:pPr>
      <w:spacing w:before="240" w:after="60"/>
      <w:jc w:val="center"/>
      <w:outlineLvl w:val="0"/>
    </w:pPr>
    <w:rPr>
      <w:rFonts w:ascii="Cambria" w:hAnsi="Cambria"/>
      <w:b/>
      <w:bCs/>
      <w:sz w:val="32"/>
      <w:szCs w:val="32"/>
    </w:rPr>
  </w:style>
  <w:style w:type="paragraph" w:styleId="12">
    <w:name w:val="annotation subject"/>
    <w:basedOn w:val="2"/>
    <w:next w:val="2"/>
    <w:link w:val="2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footnote reference"/>
    <w:qFormat/>
    <w:uiPriority w:val="99"/>
    <w:rPr>
      <w:vertAlign w:val="superscript"/>
    </w:rPr>
  </w:style>
  <w:style w:type="character" w:customStyle="1" w:styleId="21">
    <w:name w:val="页眉 字符"/>
    <w:basedOn w:val="15"/>
    <w:link w:val="7"/>
    <w:qFormat/>
    <w:uiPriority w:val="99"/>
    <w:rPr>
      <w:sz w:val="18"/>
      <w:szCs w:val="18"/>
    </w:rPr>
  </w:style>
  <w:style w:type="character" w:customStyle="1" w:styleId="22">
    <w:name w:val="页脚 字符"/>
    <w:basedOn w:val="15"/>
    <w:link w:val="6"/>
    <w:qFormat/>
    <w:uiPriority w:val="99"/>
    <w:rPr>
      <w:sz w:val="18"/>
      <w:szCs w:val="18"/>
    </w:rPr>
  </w:style>
  <w:style w:type="character" w:customStyle="1" w:styleId="23">
    <w:name w:val="标题 字符"/>
    <w:basedOn w:val="15"/>
    <w:link w:val="11"/>
    <w:qFormat/>
    <w:uiPriority w:val="0"/>
    <w:rPr>
      <w:rFonts w:ascii="Cambria" w:hAnsi="Cambria" w:eastAsia="宋体" w:cs="Times New Roman"/>
      <w:b/>
      <w:bCs/>
      <w:sz w:val="32"/>
      <w:szCs w:val="32"/>
    </w:rPr>
  </w:style>
  <w:style w:type="paragraph" w:styleId="24">
    <w:name w:val="List Paragraph"/>
    <w:basedOn w:val="1"/>
    <w:unhideWhenUsed/>
    <w:qFormat/>
    <w:uiPriority w:val="99"/>
    <w:pPr>
      <w:ind w:firstLine="420" w:firstLineChars="200"/>
    </w:pPr>
  </w:style>
  <w:style w:type="character" w:customStyle="1" w:styleId="25">
    <w:name w:val="批注框文本 字符"/>
    <w:basedOn w:val="15"/>
    <w:link w:val="5"/>
    <w:semiHidden/>
    <w:qFormat/>
    <w:uiPriority w:val="99"/>
    <w:rPr>
      <w:rFonts w:ascii="Times New Roman" w:hAnsi="Times New Roman" w:eastAsia="宋体" w:cs="Times New Roman"/>
      <w:kern w:val="2"/>
      <w:sz w:val="18"/>
      <w:szCs w:val="18"/>
    </w:rPr>
  </w:style>
  <w:style w:type="character" w:customStyle="1" w:styleId="26">
    <w:name w:val="批注文字 字符"/>
    <w:basedOn w:val="15"/>
    <w:link w:val="2"/>
    <w:semiHidden/>
    <w:qFormat/>
    <w:uiPriority w:val="99"/>
    <w:rPr>
      <w:rFonts w:ascii="Times New Roman" w:hAnsi="Times New Roman" w:eastAsia="宋体" w:cs="Times New Roman"/>
      <w:kern w:val="2"/>
      <w:sz w:val="21"/>
      <w:szCs w:val="24"/>
    </w:rPr>
  </w:style>
  <w:style w:type="character" w:customStyle="1" w:styleId="27">
    <w:name w:val="批注主题 字符"/>
    <w:basedOn w:val="26"/>
    <w:link w:val="12"/>
    <w:semiHidden/>
    <w:qFormat/>
    <w:uiPriority w:val="99"/>
    <w:rPr>
      <w:rFonts w:ascii="Times New Roman" w:hAnsi="Times New Roman" w:eastAsia="宋体" w:cs="Times New Roman"/>
      <w:b/>
      <w:bCs/>
      <w:kern w:val="2"/>
      <w:sz w:val="21"/>
      <w:szCs w:val="24"/>
    </w:rPr>
  </w:style>
  <w:style w:type="paragraph" w:customStyle="1" w:styleId="28">
    <w:name w:val="005正文"/>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9">
    <w:name w:val="HTML 预设格式 字符"/>
    <w:basedOn w:val="15"/>
    <w:link w:val="9"/>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98EF-3506-4A27-A3B2-2F6A24793EE9}">
  <ds:schemaRefs/>
</ds:datastoreItem>
</file>

<file path=docProps/app.xml><?xml version="1.0" encoding="utf-8"?>
<Properties xmlns="http://schemas.openxmlformats.org/officeDocument/2006/extended-properties" xmlns:vt="http://schemas.openxmlformats.org/officeDocument/2006/docPropsVTypes">
  <Template>Normal</Template>
  <Pages>3</Pages>
  <Words>1132</Words>
  <Characters>1158</Characters>
  <Lines>10</Lines>
  <Paragraphs>2</Paragraphs>
  <TotalTime>3</TotalTime>
  <ScaleCrop>false</ScaleCrop>
  <LinksUpToDate>false</LinksUpToDate>
  <CharactersWithSpaces>1372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2022-12-08T07:47:00Z</dcterms:created>
  <dc:creator>凌云光-丁文思</dc:creator>
  <cp:lastModifiedBy>包</cp:lastModifiedBy>
  <cp:lastPrinted>2022-07-14T03:06:00Z</cp:lastPrinted>
  <dcterms:modified xsi:type="dcterms:W3CDTF">2026-02-03T08:48:03Z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2CD84E9C91614684BE7E44E22CB50D4A</vt:lpwstr>
  </property>
  <property fmtid="{D5CDD505-2E9C-101B-9397-08002B2CF9AE}" pid="4" name="KSOTemplateDocerSaveRecord">
    <vt:lpwstr>eyJoZGlkIjoiZjU3NTEzYjdmZDRjOWIyZWQ0ZTBjMjdlYTU2M2M5NWUiLCJ1c2VySWQiOiI1MDAxMTg2MjEifQ==</vt:lpwstr>
  </property>
</Properties>
</file>