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sz w:val="20"/>
          <w:szCs w:val="20"/>
          <w:lang w:val="en-US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/>
        </w:rPr>
        <w:t xml:space="preserve">证券代码：688663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/>
        </w:rPr>
        <w:t xml:space="preserve">                                             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/>
        </w:rPr>
        <w:t>证券简称：新风光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EE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EE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EE0000"/>
          <w:sz w:val="44"/>
          <w:szCs w:val="44"/>
        </w:rPr>
        <w:t>新风光电子科技股份有限公司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EE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EE0000"/>
          <w:sz w:val="44"/>
          <w:szCs w:val="44"/>
        </w:rPr>
        <w:t>投资者关系活动记录表</w:t>
      </w:r>
    </w:p>
    <w:p>
      <w:pPr>
        <w:spacing w:before="51" w:after="32"/>
        <w:ind w:right="19"/>
        <w:jc w:val="righ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2026</w:t>
      </w:r>
      <w:r>
        <w:rPr>
          <w:rFonts w:hint="eastAsia" w:ascii="宋体" w:hAnsi="宋体" w:eastAsia="宋体" w:cs="宋体"/>
          <w:sz w:val="20"/>
          <w:szCs w:val="20"/>
        </w:rPr>
        <w:t>-001</w:t>
      </w:r>
    </w:p>
    <w:tbl>
      <w:tblPr>
        <w:tblStyle w:val="9"/>
        <w:tblW w:w="852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sym w:font="Wingdings 2" w:char="F052"/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>
            <w:pPr>
              <w:pStyle w:val="12"/>
              <w:tabs>
                <w:tab w:val="left" w:pos="2418"/>
              </w:tabs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>
            <w:pPr>
              <w:pStyle w:val="12"/>
              <w:tabs>
                <w:tab w:val="left" w:pos="2418"/>
              </w:tabs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>
            <w:pPr>
              <w:pStyle w:val="12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>
            <w:pPr>
              <w:pStyle w:val="12"/>
              <w:ind w:left="107"/>
              <w:rPr>
                <w:rFonts w:hint="eastAsia"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/>
              </w:rPr>
              <w:t>电话会议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line="560" w:lineRule="exact"/>
              <w:ind w:left="107" w:right="96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spacing w:before="100" w:beforeAutospacing="1" w:line="360" w:lineRule="auto"/>
              <w:jc w:val="both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/>
              </w:rPr>
              <w:t>天风证券、泰康资产管理有限责任公司、天弘基金管理有限公司、建信基金管理有限责任公司、摩根基金管理（中国）有限公司、招商证券、玄卜投资（上海）有限公司、青骊投资管理（上海）有限公司、国联民生、昆仑健康保险股份有限公司、上海聆泽私募基金管理有限公司、浙江益恒投资管理有限公司、上海东方证券资产管理有限公司、北京柏治投资管理有限公司、首创证券股份有限公司、中信证券股份有限公司、同泰基金管理有限公司、上海荣晟私募基金管理有限公司、北京格雷投资管理有限公司、天弘基金管理有限公司、浙江益恒投资管理有限公司、深圳熙山资本管理有限公司、华创证券有限责任公司、火眼投资管理有限公司、上海河清龙樾企业管理有限公司、上海泓盛资产管理有限公司、Willing Capital Management Limited、Pleiad Investment Advisors Limited、Value Partners Limited、上海道仁资产管理有限公司、北京鑫翰资本管理有限公司、上海彤泰私募基金管理有限公司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spacing w:before="100" w:beforeAutospacing="1" w:line="36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/>
              </w:rPr>
              <w:t>电话会议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spacing w:before="100" w:beforeAutospacing="1"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投关总监 李伍明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副总经理 张长元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 w:line="499" w:lineRule="auto"/>
              <w:ind w:left="107" w:right="96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>
            <w:pPr>
              <w:pStyle w:val="12"/>
              <w:spacing w:before="100" w:beforeAutospacing="1" w:line="360" w:lineRule="auto"/>
              <w:ind w:firstLine="410"/>
              <w:jc w:val="both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1.公司与华为在储能技术及方案上有哪些合作方向和技术共识</w:t>
            </w:r>
          </w:p>
          <w:p>
            <w:pPr>
              <w:pStyle w:val="12"/>
              <w:spacing w:before="100" w:beforeAutospacing="1" w:line="360" w:lineRule="auto"/>
              <w:ind w:firstLine="410"/>
              <w:jc w:val="both"/>
              <w:rPr>
                <w:rFonts w:hint="eastAsia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答：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双方在储能技术上的共识为：未来组串式和高压级联式将占据储能市场主流，因二者不存在簇并联问题，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具有更加方便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运维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，系统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效率更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高等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优势。合作方向包括技术交流与项目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：</w:t>
            </w:r>
          </w:p>
          <w:p>
            <w:pPr>
              <w:pStyle w:val="12"/>
              <w:spacing w:before="100" w:beforeAutospacing="1" w:line="360" w:lineRule="auto"/>
              <w:ind w:firstLine="410"/>
              <w:jc w:val="both"/>
              <w:rPr>
                <w:rFonts w:hint="eastAsia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技术层面，针对新型电力系统建设，在台区互联、光储充融合、构网型风机/光伏、直流耦合等领域开展交流，联合仿真验证储能加静止同步调相机（SSC）组合方案；项目层面，计划在山东某项目尝试构网型组串式储能方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lang w:val="en-US" w:eastAsia="zh-CN"/>
              </w:rPr>
              <w:t>加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静止同步调相机方案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。华为上海研究所仿真平台针对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联合仿真结果显示：储能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静调是较好组合，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可以满足各种工况的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支撑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，SSC在惯量支撑和一次调频，暂态电压支撑表现优异，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构网型储能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在过流能力，相角跳变，电压和频率支撑性能良好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；该组合在超发15%状态下仍能稳定支撑电网异常响应，未来将成为电网首选及优推方案。</w:t>
            </w:r>
          </w:p>
          <w:p>
            <w:pPr>
              <w:pStyle w:val="12"/>
              <w:spacing w:before="100" w:beforeAutospacing="1" w:line="360" w:lineRule="auto"/>
              <w:ind w:firstLine="410"/>
              <w:jc w:val="both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2.未来两年新风光的静止调相机、构网型储能等业务将如何推动业绩增长？具体有哪些业绩增长手段？</w:t>
            </w:r>
          </w:p>
          <w:p>
            <w:pPr>
              <w:pStyle w:val="12"/>
              <w:spacing w:before="100" w:beforeAutospacing="1" w:line="360" w:lineRule="auto"/>
              <w:ind w:firstLine="410"/>
              <w:jc w:val="both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答: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公司通过组织架构调整与产品整合布局业绩增长：（1）组织架构方面，将原智慧储能事业部调整为智慧电网事业部，整合储能、静调、应急电源、火储联调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一次调频、二次调频等产品，围绕电网新型电力系统及三北地区规划开展业务；（2）储能业务竞争力：核心在于PCS能力（响应能力、调频能力、过载能力）、电池管理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BMS和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EMS系统及电价预测能力，且3S系统均为自研；（3）政策与技术协同：结合1月30日114号文对储能的利好政策，长时储能（4小时以上、8小时）及液流电池发展将带来红利，公司已与国内多家液流电池企业合作并积累案例，涉及PCS和DCDC产品；（4）核心技术与生产优势：拥有高压级联技术、高压级联通讯同步性、功率单元控制协同等核心技术，多款产品生产制造共平台，利于交付与成本控制；（5）人力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资源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投入：今年至明年计划新增1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00余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名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一线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销售、80名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及工程人员，研发端加大投入并招聘优秀人才。</w:t>
            </w:r>
          </w:p>
          <w:p>
            <w:pPr>
              <w:pStyle w:val="12"/>
              <w:spacing w:before="100" w:beforeAutospacing="1" w:line="360" w:lineRule="auto"/>
              <w:ind w:firstLine="410"/>
              <w:jc w:val="both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3. “十五五”期间静止同步调相机的市场需求预计有多少台？单套静止调相机和构网型储能的预期价值量如何？</w:t>
            </w:r>
          </w:p>
          <w:p>
            <w:pPr>
              <w:pStyle w:val="12"/>
              <w:spacing w:before="100" w:beforeAutospacing="1" w:line="360" w:lineRule="auto"/>
              <w:ind w:firstLine="410"/>
              <w:jc w:val="both"/>
              <w:rPr>
                <w:rFonts w:hint="eastAsia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答：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“十五五”期间静止同步调相机的市场需求主要来自大基地及大通道、三北地区发电侧新能源并网集中点两大场景，二者占比约1:1。静止同步调相机市场需求预计约1,300-1,500台（含新能源业主需求，网内市场未完全统计）。静止同步调相机的行业标准设计以30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MVAR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和50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MVAR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规格居多；单台市场售价早期约5,000万元，目前因竞争加剧降至约3,500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-4,000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万元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一个项目批复数量基本为两台（也有一台或三台的情况）。构网型储能中高压级联式占比虽不大但呈快速增长趋势，其市场报价在0.7-0.9元/瓦时之间（大型储能200兆瓦时以上，价格随铜、有色金属和锂电池原材料价格波动）。此外，静止同步调相机生命周期约20年，运维成本高，后市场规模约为设备本身的十倍。</w:t>
            </w:r>
          </w:p>
          <w:p>
            <w:pPr>
              <w:pStyle w:val="12"/>
              <w:spacing w:before="100" w:beforeAutospacing="1" w:line="360" w:lineRule="auto"/>
              <w:ind w:firstLine="410"/>
              <w:jc w:val="both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4.公司SVG产品是否在配电网和主干网都有应用？公司在SVG领域的布局及未来重点产品是什么？</w:t>
            </w:r>
          </w:p>
          <w:p>
            <w:pPr>
              <w:pStyle w:val="12"/>
              <w:spacing w:before="100" w:beforeAutospacing="1" w:line="360" w:lineRule="auto"/>
              <w:ind w:firstLine="410"/>
              <w:jc w:val="both"/>
              <w:rPr>
                <w:rFonts w:hint="eastAsia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答：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公司SVG产品在配电网和主干网均有应用，是公司收入占比较大的成熟市场产品；公司未来重点推广的是静止同步调相机、构网型储能、构网型变流器，这些产品与SVG并非同一类别，是公司重点布局的发展方向。</w:t>
            </w:r>
          </w:p>
          <w:p>
            <w:pPr>
              <w:pStyle w:val="12"/>
              <w:spacing w:before="100" w:beforeAutospacing="1" w:line="360" w:lineRule="auto"/>
              <w:ind w:firstLine="410"/>
              <w:jc w:val="both"/>
              <w:rPr>
                <w:rFonts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5.整套静止同步调相机加构网系统的毛利率情况如何？</w:t>
            </w:r>
          </w:p>
          <w:p>
            <w:pPr>
              <w:pStyle w:val="12"/>
              <w:spacing w:before="100" w:beforeAutospacing="1" w:line="360" w:lineRule="auto"/>
              <w:ind w:firstLine="410"/>
              <w:jc w:val="both"/>
              <w:rPr>
                <w:rFonts w:hint="eastAsia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/>
              </w:rPr>
              <w:t>答：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静止同步调相机的毛利率比现有SVG产品会高一些。构网型储能方面，当前储能产业链竞争不理性，电池封装成本坚挺吃掉了PCS毛利空间，但随着原材料价格稳定、行业理性回归，PCS作为电力电子变换器件的技术含量和附加值将体现，毛利率会回归正常水平。此外，公司在储能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lang w:val="en-US"/>
              </w:rPr>
              <w:t>域部分业务源于PCS直接销售及3S集成销售，该部分收入和毛利相对储能项目更优，市场上不少知名储能企业选择相关产品。</w:t>
            </w:r>
          </w:p>
          <w:p>
            <w:pPr>
              <w:pStyle w:val="4"/>
              <w:numPr>
                <w:ilvl w:val="0"/>
                <w:numId w:val="0"/>
              </w:numPr>
              <w:ind w:firstLine="402" w:firstLineChars="2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6.公司SVG市场份额情况及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静止同步调相机竞争格局如何？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2" w:firstLineChars="200"/>
              <w:textAlignment w:val="auto"/>
              <w:rPr>
                <w:rFonts w:hint="eastAsia" w:ascii="宋体" w:hAnsi="宋体" w:eastAsia="宋体" w:cs="宋体"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答：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公司SVG产品在网外市场市占率稳定在25%左右，在行业内处于头部地位，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且于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年获得SVG制造业单项冠军；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静止同步调相机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产品目前处于市场布局、试点验证阶段，竞争格局尚未完全形成。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spacing w:before="100" w:beforeAutospacing="1"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spacing w:before="100" w:beforeAutospacing="1" w:line="360" w:lineRule="auto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>
            <w:pPr>
              <w:pStyle w:val="12"/>
              <w:spacing w:before="1"/>
              <w:ind w:left="107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>
            <w:pPr>
              <w:pStyle w:val="12"/>
              <w:spacing w:before="100" w:beforeAutospacing="1"/>
              <w:ind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6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6618"/>
    <w:rsid w:val="000877AB"/>
    <w:rsid w:val="000B7C08"/>
    <w:rsid w:val="000D12CF"/>
    <w:rsid w:val="000D2D88"/>
    <w:rsid w:val="000E4B20"/>
    <w:rsid w:val="0011418F"/>
    <w:rsid w:val="001475C3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17BA6"/>
    <w:rsid w:val="00366FAD"/>
    <w:rsid w:val="0037105B"/>
    <w:rsid w:val="00375312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4B0F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A45AA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451F0"/>
    <w:rsid w:val="00764128"/>
    <w:rsid w:val="007824B8"/>
    <w:rsid w:val="007910DD"/>
    <w:rsid w:val="007A3EC1"/>
    <w:rsid w:val="007B3368"/>
    <w:rsid w:val="007D0A69"/>
    <w:rsid w:val="007D6DC4"/>
    <w:rsid w:val="007F039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2042E"/>
    <w:rsid w:val="00960964"/>
    <w:rsid w:val="00965E4D"/>
    <w:rsid w:val="009B1D5C"/>
    <w:rsid w:val="009C2E31"/>
    <w:rsid w:val="009E1955"/>
    <w:rsid w:val="00A047B3"/>
    <w:rsid w:val="00A20372"/>
    <w:rsid w:val="00A527AA"/>
    <w:rsid w:val="00A5684D"/>
    <w:rsid w:val="00A75C61"/>
    <w:rsid w:val="00A9601B"/>
    <w:rsid w:val="00AD100E"/>
    <w:rsid w:val="00AE1222"/>
    <w:rsid w:val="00AE1E36"/>
    <w:rsid w:val="00AE7D13"/>
    <w:rsid w:val="00AF74AA"/>
    <w:rsid w:val="00B03C2F"/>
    <w:rsid w:val="00B15064"/>
    <w:rsid w:val="00B340A3"/>
    <w:rsid w:val="00B34FB5"/>
    <w:rsid w:val="00B410F5"/>
    <w:rsid w:val="00B6280C"/>
    <w:rsid w:val="00B671A4"/>
    <w:rsid w:val="00B72CD4"/>
    <w:rsid w:val="00B85B00"/>
    <w:rsid w:val="00BF132F"/>
    <w:rsid w:val="00C13878"/>
    <w:rsid w:val="00C22633"/>
    <w:rsid w:val="00C77967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5F97F25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38177B2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726991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5DA0D8D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5DD93610"/>
    <w:rsid w:val="603269D2"/>
    <w:rsid w:val="61A52BCA"/>
    <w:rsid w:val="6456565D"/>
    <w:rsid w:val="67095496"/>
    <w:rsid w:val="67ED7463"/>
    <w:rsid w:val="681A546A"/>
    <w:rsid w:val="683442E1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01D4965"/>
    <w:rsid w:val="70D5752D"/>
    <w:rsid w:val="72446028"/>
    <w:rsid w:val="73076EC0"/>
    <w:rsid w:val="74210CA6"/>
    <w:rsid w:val="746F4E76"/>
    <w:rsid w:val="76430096"/>
    <w:rsid w:val="788C25F5"/>
    <w:rsid w:val="79811D81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160" w:line="278" w:lineRule="auto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18">
    <w:name w:val="First Paragraph"/>
    <w:basedOn w:val="4"/>
    <w:next w:val="4"/>
    <w:qFormat/>
    <w:uiPriority w:val="0"/>
  </w:style>
  <w:style w:type="paragraph" w:customStyle="1" w:styleId="19">
    <w:name w:val="样式1"/>
    <w:basedOn w:val="1"/>
    <w:qFormat/>
    <w:uiPriority w:val="0"/>
    <w:pPr>
      <w:spacing w:line="360" w:lineRule="auto"/>
    </w:pPr>
    <w:rPr>
      <w:rFonts w:hint="eastAsia" w:cs="宋体" w:asciiTheme="minorHAnsi" w:hAnsiTheme="minorHAnsi" w:eastAsiaTheme="minorEastAsi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2101</Words>
  <Characters>2288</Characters>
  <Lines>16</Lines>
  <Paragraphs>4</Paragraphs>
  <TotalTime>25</TotalTime>
  <ScaleCrop>false</ScaleCrop>
  <LinksUpToDate>false</LinksUpToDate>
  <CharactersWithSpaces>2357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2025-11-04T08:09:00Z</dcterms:created>
  <dc:creator>jie.huang</dc:creator>
  <cp:lastModifiedBy>Lenovo</cp:lastModifiedBy>
  <dcterms:modified xsi:type="dcterms:W3CDTF">2026-02-03T09:44:36Z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E6A5E38441D34EB3B474DAEAF627A545_13</vt:lpwstr>
  </property>
  <property fmtid="{D5CDD505-2E9C-101B-9397-08002B2CF9AE}" pid="4" name="KSOTemplateDocerSaveRecord">
    <vt:lpwstr>eyJoZGlkIjoiMTE4MTY3ZTQ5ODhmZmE1ZmNlNjEzMzE2YmIzZDUwNTUiLCJ1c2VySWQiOiIzNTMyMjEyNDIifQ==</vt:lpwstr>
  </property>
</Properties>
</file>