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941B8" w14:textId="77777777" w:rsidR="00004524" w:rsidRDefault="00000000">
      <w:pPr>
        <w:jc w:val="center"/>
        <w:rPr>
          <w:b/>
          <w:bCs/>
          <w:sz w:val="28"/>
          <w:szCs w:val="28"/>
        </w:rPr>
      </w:pPr>
      <w:r>
        <w:rPr>
          <w:rFonts w:hint="eastAsia"/>
          <w:b/>
          <w:bCs/>
          <w:sz w:val="28"/>
          <w:szCs w:val="28"/>
        </w:rPr>
        <w:t>重庆西山科技股份有限公司</w:t>
      </w:r>
    </w:p>
    <w:p w14:paraId="5DFAF5E6" w14:textId="77777777" w:rsidR="00004524" w:rsidRDefault="00000000">
      <w:pPr>
        <w:jc w:val="center"/>
        <w:rPr>
          <w:b/>
          <w:bCs/>
          <w:sz w:val="28"/>
          <w:szCs w:val="28"/>
        </w:rPr>
      </w:pPr>
      <w:r>
        <w:rPr>
          <w:rFonts w:hint="eastAsia"/>
          <w:b/>
          <w:bCs/>
          <w:sz w:val="28"/>
          <w:szCs w:val="28"/>
        </w:rPr>
        <w:t>投资者关系活动记录表</w:t>
      </w:r>
    </w:p>
    <w:p w14:paraId="7FB87262" w14:textId="719083D6" w:rsidR="00004524" w:rsidRDefault="00000000">
      <w:pPr>
        <w:ind w:firstLineChars="100" w:firstLine="241"/>
        <w:rPr>
          <w:b/>
          <w:bCs/>
          <w:szCs w:val="24"/>
        </w:rPr>
      </w:pPr>
      <w:r>
        <w:rPr>
          <w:rFonts w:hint="eastAsia"/>
          <w:b/>
          <w:bCs/>
          <w:szCs w:val="24"/>
        </w:rPr>
        <w:t>证券简称：西山科技</w:t>
      </w:r>
      <w:r>
        <w:rPr>
          <w:rFonts w:hint="eastAsia"/>
          <w:b/>
          <w:bCs/>
          <w:szCs w:val="24"/>
        </w:rPr>
        <w:t xml:space="preserve"> </w:t>
      </w:r>
      <w:r>
        <w:rPr>
          <w:b/>
          <w:bCs/>
          <w:szCs w:val="24"/>
        </w:rPr>
        <w:t xml:space="preserve">       </w:t>
      </w:r>
      <w:r>
        <w:rPr>
          <w:rFonts w:hint="eastAsia"/>
          <w:b/>
          <w:bCs/>
          <w:szCs w:val="24"/>
        </w:rPr>
        <w:t>证券代码：</w:t>
      </w:r>
      <w:r>
        <w:rPr>
          <w:rFonts w:hint="eastAsia"/>
          <w:b/>
          <w:bCs/>
          <w:szCs w:val="24"/>
        </w:rPr>
        <w:t>6</w:t>
      </w:r>
      <w:r>
        <w:rPr>
          <w:b/>
          <w:bCs/>
          <w:szCs w:val="24"/>
        </w:rPr>
        <w:t>88576</w:t>
      </w:r>
      <w:r>
        <w:rPr>
          <w:rFonts w:hint="eastAsia"/>
          <w:b/>
          <w:bCs/>
          <w:szCs w:val="24"/>
        </w:rPr>
        <w:t xml:space="preserve"> </w:t>
      </w:r>
      <w:r>
        <w:rPr>
          <w:b/>
          <w:bCs/>
          <w:szCs w:val="24"/>
        </w:rPr>
        <w:t xml:space="preserve">        </w:t>
      </w:r>
      <w:r>
        <w:rPr>
          <w:rFonts w:hint="eastAsia"/>
          <w:b/>
          <w:bCs/>
          <w:szCs w:val="24"/>
        </w:rPr>
        <w:t>编号：</w:t>
      </w:r>
      <w:r>
        <w:rPr>
          <w:rFonts w:hint="eastAsia"/>
          <w:b/>
          <w:bCs/>
          <w:szCs w:val="24"/>
        </w:rPr>
        <w:t>2</w:t>
      </w:r>
      <w:r>
        <w:rPr>
          <w:b/>
          <w:bCs/>
          <w:szCs w:val="24"/>
        </w:rPr>
        <w:t>02</w:t>
      </w:r>
      <w:r w:rsidR="00031D08">
        <w:rPr>
          <w:rFonts w:hint="eastAsia"/>
          <w:b/>
          <w:bCs/>
          <w:szCs w:val="24"/>
        </w:rPr>
        <w:t>6</w:t>
      </w:r>
      <w:r>
        <w:rPr>
          <w:b/>
          <w:bCs/>
          <w:szCs w:val="24"/>
        </w:rPr>
        <w:t>-00</w:t>
      </w:r>
      <w:r w:rsidR="00B93E8A">
        <w:rPr>
          <w:rFonts w:hint="eastAsia"/>
          <w:b/>
          <w:bCs/>
          <w:szCs w:val="24"/>
        </w:rPr>
        <w:t>2</w:t>
      </w:r>
    </w:p>
    <w:tbl>
      <w:tblPr>
        <w:tblStyle w:val="a9"/>
        <w:tblW w:w="0" w:type="auto"/>
        <w:tblLook w:val="04A0" w:firstRow="1" w:lastRow="0" w:firstColumn="1" w:lastColumn="0" w:noHBand="0" w:noVBand="1"/>
      </w:tblPr>
      <w:tblGrid>
        <w:gridCol w:w="2405"/>
        <w:gridCol w:w="5891"/>
      </w:tblGrid>
      <w:tr w:rsidR="00004524" w14:paraId="0C5AA1B6" w14:textId="77777777">
        <w:tc>
          <w:tcPr>
            <w:tcW w:w="2405" w:type="dxa"/>
          </w:tcPr>
          <w:p w14:paraId="62092724" w14:textId="77777777" w:rsidR="00004524" w:rsidRDefault="00004524">
            <w:pPr>
              <w:jc w:val="center"/>
              <w:rPr>
                <w:b/>
                <w:bCs/>
                <w:szCs w:val="24"/>
              </w:rPr>
            </w:pPr>
          </w:p>
          <w:p w14:paraId="142F6E91" w14:textId="77777777" w:rsidR="00004524" w:rsidRDefault="00004524">
            <w:pPr>
              <w:jc w:val="center"/>
              <w:rPr>
                <w:b/>
                <w:bCs/>
                <w:szCs w:val="24"/>
              </w:rPr>
            </w:pPr>
          </w:p>
          <w:p w14:paraId="7AB16605" w14:textId="77777777" w:rsidR="00004524" w:rsidRDefault="00000000">
            <w:pPr>
              <w:jc w:val="center"/>
              <w:rPr>
                <w:b/>
                <w:bCs/>
                <w:szCs w:val="24"/>
              </w:rPr>
            </w:pPr>
            <w:r>
              <w:rPr>
                <w:rFonts w:hint="eastAsia"/>
                <w:b/>
                <w:bCs/>
                <w:szCs w:val="24"/>
              </w:rPr>
              <w:t>投资者关系活动</w:t>
            </w:r>
          </w:p>
          <w:p w14:paraId="02A3DA9C" w14:textId="77777777" w:rsidR="00004524" w:rsidRDefault="00000000">
            <w:pPr>
              <w:jc w:val="center"/>
              <w:rPr>
                <w:b/>
                <w:bCs/>
                <w:szCs w:val="24"/>
              </w:rPr>
            </w:pPr>
            <w:r>
              <w:rPr>
                <w:rFonts w:hint="eastAsia"/>
                <w:b/>
                <w:bCs/>
                <w:szCs w:val="24"/>
              </w:rPr>
              <w:t>类别</w:t>
            </w:r>
          </w:p>
        </w:tc>
        <w:tc>
          <w:tcPr>
            <w:tcW w:w="5891" w:type="dxa"/>
          </w:tcPr>
          <w:p w14:paraId="630651D6" w14:textId="1A41EEC8" w:rsidR="00004524" w:rsidRDefault="00D16B42">
            <w:pPr>
              <w:spacing w:line="360" w:lineRule="auto"/>
              <w:rPr>
                <w:rFonts w:ascii="宋体" w:hAnsi="宋体" w:hint="eastAsia"/>
                <w:szCs w:val="24"/>
              </w:rPr>
            </w:pPr>
            <w:r>
              <w:rPr>
                <w:rFonts w:ascii="Wingdings 2" w:eastAsiaTheme="minorEastAsia" w:hAnsi="Wingdings 2" w:cs="Wingdings 2"/>
                <w:kern w:val="0"/>
                <w:szCs w:val="24"/>
              </w:rPr>
              <w:t></w:t>
            </w:r>
            <w:r w:rsidR="006E4169">
              <w:rPr>
                <w:rFonts w:ascii="宋体" w:hAnsi="宋体" w:hint="eastAsia"/>
                <w:szCs w:val="24"/>
              </w:rPr>
              <w:t xml:space="preserve">特定对象调研 </w:t>
            </w:r>
            <w:r w:rsidR="006E4169">
              <w:rPr>
                <w:rFonts w:ascii="宋体" w:hAnsi="宋体"/>
                <w:szCs w:val="24"/>
              </w:rPr>
              <w:t xml:space="preserve">   </w:t>
            </w:r>
            <w:bookmarkStart w:id="0" w:name="OLE_LINK1"/>
            <w:r w:rsidR="006E4169">
              <w:rPr>
                <w:rFonts w:ascii="宋体" w:hAnsi="宋体" w:hint="eastAsia"/>
                <w:szCs w:val="24"/>
              </w:rPr>
              <w:t>□</w:t>
            </w:r>
            <w:bookmarkEnd w:id="0"/>
            <w:r w:rsidR="006E4169">
              <w:rPr>
                <w:rFonts w:ascii="宋体" w:hAnsi="宋体" w:hint="eastAsia"/>
                <w:szCs w:val="24"/>
              </w:rPr>
              <w:t>分析师会议</w:t>
            </w:r>
          </w:p>
          <w:p w14:paraId="047E5D4F" w14:textId="1936DF60" w:rsidR="00004524" w:rsidRDefault="00000000">
            <w:pPr>
              <w:spacing w:line="360" w:lineRule="auto"/>
              <w:rPr>
                <w:rFonts w:ascii="宋体" w:hAnsi="宋体" w:hint="eastAsia"/>
                <w:szCs w:val="24"/>
              </w:rPr>
            </w:pPr>
            <w:r>
              <w:rPr>
                <w:rFonts w:ascii="宋体" w:hAnsi="宋体" w:hint="eastAsia"/>
                <w:szCs w:val="24"/>
              </w:rPr>
              <w:t xml:space="preserve">□媒体采访 </w:t>
            </w:r>
            <w:r>
              <w:rPr>
                <w:rFonts w:ascii="宋体" w:hAnsi="宋体"/>
                <w:szCs w:val="24"/>
              </w:rPr>
              <w:t xml:space="preserve">       </w:t>
            </w:r>
            <w:r w:rsidR="00031D08">
              <w:rPr>
                <w:rFonts w:ascii="宋体" w:hAnsi="宋体" w:hint="eastAsia"/>
                <w:szCs w:val="24"/>
              </w:rPr>
              <w:t>□</w:t>
            </w:r>
            <w:r>
              <w:rPr>
                <w:rFonts w:ascii="宋体" w:hAnsi="宋体" w:hint="eastAsia"/>
                <w:szCs w:val="24"/>
              </w:rPr>
              <w:t>业绩说明会</w:t>
            </w:r>
          </w:p>
          <w:p w14:paraId="7ECE4CA7" w14:textId="75CA4043" w:rsidR="00004524" w:rsidRDefault="00000000">
            <w:pPr>
              <w:spacing w:line="360" w:lineRule="auto"/>
              <w:rPr>
                <w:rFonts w:ascii="宋体" w:hAnsi="宋体" w:hint="eastAsia"/>
                <w:szCs w:val="24"/>
              </w:rPr>
            </w:pPr>
            <w:r>
              <w:rPr>
                <w:rFonts w:ascii="宋体" w:hAnsi="宋体" w:hint="eastAsia"/>
                <w:szCs w:val="24"/>
              </w:rPr>
              <w:t xml:space="preserve">□新闻发布会 </w:t>
            </w:r>
            <w:r>
              <w:rPr>
                <w:rFonts w:ascii="宋体" w:hAnsi="宋体"/>
                <w:szCs w:val="24"/>
              </w:rPr>
              <w:t xml:space="preserve">     </w:t>
            </w:r>
            <w:r w:rsidR="00FE4A41">
              <w:rPr>
                <w:rFonts w:ascii="Wingdings 2" w:eastAsiaTheme="minorEastAsia" w:hAnsi="Wingdings 2" w:cs="Wingdings 2"/>
                <w:kern w:val="0"/>
                <w:szCs w:val="24"/>
              </w:rPr>
              <w:t></w:t>
            </w:r>
            <w:r>
              <w:rPr>
                <w:rFonts w:ascii="宋体" w:hAnsi="宋体" w:hint="eastAsia"/>
                <w:szCs w:val="24"/>
              </w:rPr>
              <w:t>路演活动</w:t>
            </w:r>
          </w:p>
          <w:p w14:paraId="4B5FA245" w14:textId="624374AF" w:rsidR="00004524" w:rsidRDefault="00000000">
            <w:pPr>
              <w:spacing w:line="360" w:lineRule="auto"/>
              <w:rPr>
                <w:rFonts w:ascii="宋体" w:hAnsi="宋体" w:hint="eastAsia"/>
                <w:szCs w:val="24"/>
              </w:rPr>
            </w:pPr>
            <w:r>
              <w:rPr>
                <w:rFonts w:ascii="宋体" w:hAnsi="宋体" w:hint="eastAsia"/>
                <w:szCs w:val="24"/>
              </w:rPr>
              <w:t xml:space="preserve">□现场参观 </w:t>
            </w:r>
            <w:r>
              <w:rPr>
                <w:rFonts w:ascii="宋体" w:hAnsi="宋体"/>
                <w:szCs w:val="24"/>
              </w:rPr>
              <w:t xml:space="preserve"> </w:t>
            </w:r>
            <w:r>
              <w:rPr>
                <w:rFonts w:ascii="宋体" w:hAnsi="宋体" w:hint="eastAsia"/>
                <w:szCs w:val="24"/>
              </w:rPr>
              <w:t xml:space="preserve"> </w:t>
            </w:r>
            <w:r>
              <w:rPr>
                <w:rFonts w:ascii="宋体" w:hAnsi="宋体"/>
                <w:szCs w:val="24"/>
              </w:rPr>
              <w:t xml:space="preserve">     </w:t>
            </w:r>
            <w:r w:rsidR="00746BEB">
              <w:rPr>
                <w:rFonts w:ascii="Wingdings 2" w:eastAsiaTheme="minorEastAsia" w:hAnsi="Wingdings 2" w:cs="Wingdings 2"/>
                <w:kern w:val="0"/>
                <w:szCs w:val="24"/>
              </w:rPr>
              <w:t></w:t>
            </w:r>
            <w:r>
              <w:rPr>
                <w:rFonts w:ascii="Wingdings 2" w:hAnsi="Wingdings 2" w:cs="Wingdings 2" w:hint="eastAsia"/>
                <w:szCs w:val="24"/>
              </w:rPr>
              <w:t>电话会议</w:t>
            </w:r>
          </w:p>
          <w:p w14:paraId="2EE117CB" w14:textId="559B0BA6" w:rsidR="00004524" w:rsidRDefault="00FE4A41">
            <w:pPr>
              <w:spacing w:line="360" w:lineRule="auto"/>
              <w:rPr>
                <w:rFonts w:ascii="宋体" w:hAnsi="宋体" w:hint="eastAsia"/>
                <w:szCs w:val="24"/>
              </w:rPr>
            </w:pPr>
            <w:r>
              <w:rPr>
                <w:rFonts w:ascii="Wingdings 2" w:eastAsiaTheme="minorEastAsia" w:hAnsi="Wingdings 2" w:cs="Wingdings 2"/>
                <w:kern w:val="0"/>
                <w:szCs w:val="24"/>
              </w:rPr>
              <w:t></w:t>
            </w:r>
            <w:r>
              <w:rPr>
                <w:rFonts w:ascii="宋体" w:hAnsi="宋体" w:hint="eastAsia"/>
                <w:szCs w:val="24"/>
              </w:rPr>
              <w:t xml:space="preserve">券商策略会 </w:t>
            </w:r>
            <w:r>
              <w:rPr>
                <w:rFonts w:ascii="宋体" w:hAnsi="宋体"/>
                <w:szCs w:val="24"/>
              </w:rPr>
              <w:t xml:space="preserve">     </w:t>
            </w:r>
            <w:r w:rsidR="00D16B42">
              <w:rPr>
                <w:rFonts w:ascii="宋体" w:hAnsi="宋体" w:hint="eastAsia"/>
                <w:szCs w:val="24"/>
              </w:rPr>
              <w:t>□</w:t>
            </w:r>
            <w:r w:rsidR="009E2AF5">
              <w:rPr>
                <w:rFonts w:ascii="宋体" w:hAnsi="宋体" w:hint="eastAsia"/>
                <w:szCs w:val="24"/>
              </w:rPr>
              <w:t>其他</w:t>
            </w:r>
          </w:p>
        </w:tc>
      </w:tr>
      <w:tr w:rsidR="00004524" w14:paraId="5522B39E" w14:textId="77777777">
        <w:tc>
          <w:tcPr>
            <w:tcW w:w="2405" w:type="dxa"/>
            <w:vAlign w:val="center"/>
          </w:tcPr>
          <w:p w14:paraId="0BFA8A3A" w14:textId="77777777" w:rsidR="00004524" w:rsidRDefault="00000000">
            <w:pPr>
              <w:jc w:val="center"/>
              <w:rPr>
                <w:b/>
                <w:bCs/>
                <w:szCs w:val="24"/>
              </w:rPr>
            </w:pPr>
            <w:r>
              <w:rPr>
                <w:rFonts w:hint="eastAsia"/>
                <w:b/>
                <w:bCs/>
                <w:szCs w:val="24"/>
              </w:rPr>
              <w:t>参与单位名称</w:t>
            </w:r>
          </w:p>
        </w:tc>
        <w:tc>
          <w:tcPr>
            <w:tcW w:w="5891" w:type="dxa"/>
            <w:vAlign w:val="center"/>
          </w:tcPr>
          <w:p w14:paraId="25959502" w14:textId="77777777" w:rsidR="00004524" w:rsidRDefault="00004524">
            <w:pPr>
              <w:jc w:val="center"/>
              <w:rPr>
                <w:szCs w:val="24"/>
              </w:rPr>
            </w:pPr>
          </w:p>
          <w:p w14:paraId="45322CF7" w14:textId="77777777" w:rsidR="00C16AC4" w:rsidRDefault="00746BEB" w:rsidP="00F33338">
            <w:pPr>
              <w:rPr>
                <w:szCs w:val="24"/>
              </w:rPr>
            </w:pPr>
            <w:r>
              <w:rPr>
                <w:rFonts w:hint="eastAsia"/>
                <w:szCs w:val="24"/>
              </w:rPr>
              <w:t>2026</w:t>
            </w:r>
            <w:r>
              <w:rPr>
                <w:rFonts w:hint="eastAsia"/>
                <w:szCs w:val="24"/>
              </w:rPr>
              <w:t>年</w:t>
            </w:r>
            <w:r>
              <w:rPr>
                <w:rFonts w:hint="eastAsia"/>
                <w:szCs w:val="24"/>
              </w:rPr>
              <w:t>1</w:t>
            </w:r>
            <w:r>
              <w:rPr>
                <w:rFonts w:hint="eastAsia"/>
                <w:szCs w:val="24"/>
              </w:rPr>
              <w:t>月</w:t>
            </w:r>
            <w:r w:rsidR="00FE4A41">
              <w:rPr>
                <w:rFonts w:hint="eastAsia"/>
                <w:szCs w:val="24"/>
              </w:rPr>
              <w:t>21</w:t>
            </w:r>
            <w:r>
              <w:rPr>
                <w:rFonts w:hint="eastAsia"/>
                <w:szCs w:val="24"/>
              </w:rPr>
              <w:t>日</w:t>
            </w:r>
          </w:p>
          <w:p w14:paraId="1B64631B" w14:textId="539E448E" w:rsidR="00D16B42" w:rsidRDefault="00C16AC4" w:rsidP="00F33338">
            <w:pPr>
              <w:rPr>
                <w:szCs w:val="24"/>
              </w:rPr>
            </w:pPr>
            <w:r>
              <w:rPr>
                <w:rFonts w:hint="eastAsia"/>
                <w:szCs w:val="24"/>
              </w:rPr>
              <w:t>广发基金</w:t>
            </w:r>
            <w:r w:rsidRPr="0086618D">
              <w:rPr>
                <w:rFonts w:hint="eastAsia"/>
                <w:szCs w:val="24"/>
              </w:rPr>
              <w:t>、国联民生证券</w:t>
            </w:r>
            <w:r>
              <w:rPr>
                <w:rFonts w:hint="eastAsia"/>
                <w:szCs w:val="24"/>
              </w:rPr>
              <w:t>、平安养老、</w:t>
            </w:r>
            <w:r w:rsidRPr="0086618D">
              <w:rPr>
                <w:rFonts w:hint="eastAsia"/>
                <w:szCs w:val="24"/>
              </w:rPr>
              <w:t>信达澳亚基金</w:t>
            </w:r>
            <w:r>
              <w:rPr>
                <w:rFonts w:hint="eastAsia"/>
                <w:szCs w:val="24"/>
              </w:rPr>
              <w:t>、</w:t>
            </w:r>
            <w:r w:rsidR="00A953F1" w:rsidRPr="00A953F1">
              <w:rPr>
                <w:rFonts w:hint="eastAsia"/>
                <w:szCs w:val="24"/>
              </w:rPr>
              <w:t>博时基金</w:t>
            </w:r>
            <w:r w:rsidR="00A953F1">
              <w:rPr>
                <w:rFonts w:hint="eastAsia"/>
                <w:szCs w:val="24"/>
              </w:rPr>
              <w:t>、南方基金、招商基金、</w:t>
            </w:r>
            <w:r w:rsidR="00A953F1" w:rsidRPr="00A953F1">
              <w:rPr>
                <w:rFonts w:hint="eastAsia"/>
                <w:szCs w:val="24"/>
              </w:rPr>
              <w:t>中欧基金</w:t>
            </w:r>
            <w:r w:rsidR="00A953F1">
              <w:rPr>
                <w:rFonts w:hint="eastAsia"/>
                <w:szCs w:val="24"/>
              </w:rPr>
              <w:t>、鹏华基金、</w:t>
            </w:r>
            <w:r w:rsidR="00A953F1" w:rsidRPr="00A953F1">
              <w:rPr>
                <w:rFonts w:hint="eastAsia"/>
                <w:szCs w:val="24"/>
              </w:rPr>
              <w:t>景顺长城基金</w:t>
            </w:r>
            <w:r w:rsidR="00A953F1">
              <w:rPr>
                <w:rFonts w:hint="eastAsia"/>
                <w:szCs w:val="24"/>
              </w:rPr>
              <w:t>、</w:t>
            </w:r>
            <w:r w:rsidR="00A953F1" w:rsidRPr="00A953F1">
              <w:rPr>
                <w:rFonts w:hint="eastAsia"/>
                <w:szCs w:val="24"/>
              </w:rPr>
              <w:t>兴业基金</w:t>
            </w:r>
            <w:r w:rsidR="00A953F1">
              <w:rPr>
                <w:rFonts w:hint="eastAsia"/>
                <w:szCs w:val="24"/>
              </w:rPr>
              <w:t>、</w:t>
            </w:r>
            <w:r w:rsidR="00A953F1" w:rsidRPr="00A953F1">
              <w:rPr>
                <w:rFonts w:hint="eastAsia"/>
                <w:szCs w:val="24"/>
              </w:rPr>
              <w:t>宏利基金</w:t>
            </w:r>
            <w:r w:rsidR="00A953F1">
              <w:rPr>
                <w:rFonts w:hint="eastAsia"/>
                <w:szCs w:val="24"/>
              </w:rPr>
              <w:t>、</w:t>
            </w:r>
            <w:r w:rsidR="00A953F1" w:rsidRPr="00A953F1">
              <w:rPr>
                <w:rFonts w:hint="eastAsia"/>
                <w:szCs w:val="24"/>
              </w:rPr>
              <w:t>华宝基金</w:t>
            </w:r>
            <w:r w:rsidR="00A953F1">
              <w:rPr>
                <w:rFonts w:hint="eastAsia"/>
                <w:szCs w:val="24"/>
              </w:rPr>
              <w:t>、大家资产、</w:t>
            </w:r>
            <w:r w:rsidR="00A953F1" w:rsidRPr="00A953F1">
              <w:rPr>
                <w:rFonts w:hint="eastAsia"/>
                <w:szCs w:val="24"/>
              </w:rPr>
              <w:t>平安基金</w:t>
            </w:r>
            <w:r w:rsidR="00A953F1">
              <w:rPr>
                <w:rFonts w:hint="eastAsia"/>
                <w:szCs w:val="24"/>
              </w:rPr>
              <w:t>、大成基金、</w:t>
            </w:r>
            <w:r w:rsidR="00A953F1" w:rsidRPr="00A953F1">
              <w:rPr>
                <w:rFonts w:hint="eastAsia"/>
                <w:szCs w:val="24"/>
              </w:rPr>
              <w:t>宝盈基金</w:t>
            </w:r>
            <w:r w:rsidR="00A953F1">
              <w:rPr>
                <w:rFonts w:hint="eastAsia"/>
                <w:szCs w:val="24"/>
              </w:rPr>
              <w:t>、</w:t>
            </w:r>
            <w:r w:rsidR="00A953F1" w:rsidRPr="00A953F1">
              <w:rPr>
                <w:rFonts w:hint="eastAsia"/>
                <w:szCs w:val="24"/>
              </w:rPr>
              <w:t>建信养老</w:t>
            </w:r>
            <w:r w:rsidR="00A953F1">
              <w:rPr>
                <w:rFonts w:hint="eastAsia"/>
                <w:szCs w:val="24"/>
              </w:rPr>
              <w:t>、</w:t>
            </w:r>
            <w:r w:rsidR="00A953F1" w:rsidRPr="00A953F1">
              <w:rPr>
                <w:rFonts w:hint="eastAsia"/>
                <w:szCs w:val="24"/>
              </w:rPr>
              <w:t>天弘基金</w:t>
            </w:r>
            <w:r w:rsidR="00A953F1">
              <w:rPr>
                <w:rFonts w:hint="eastAsia"/>
                <w:szCs w:val="24"/>
              </w:rPr>
              <w:t>、</w:t>
            </w:r>
            <w:r w:rsidR="00A953F1" w:rsidRPr="00A953F1">
              <w:rPr>
                <w:rFonts w:hint="eastAsia"/>
                <w:szCs w:val="24"/>
              </w:rPr>
              <w:t>国寿安保基金</w:t>
            </w:r>
            <w:r w:rsidR="00A953F1">
              <w:rPr>
                <w:rFonts w:hint="eastAsia"/>
                <w:szCs w:val="24"/>
              </w:rPr>
              <w:t>、</w:t>
            </w:r>
            <w:r w:rsidR="00A953F1" w:rsidRPr="00A953F1">
              <w:rPr>
                <w:rFonts w:hint="eastAsia"/>
                <w:szCs w:val="24"/>
              </w:rPr>
              <w:t>德邦基金</w:t>
            </w:r>
            <w:r w:rsidR="00A953F1">
              <w:rPr>
                <w:rFonts w:hint="eastAsia"/>
                <w:szCs w:val="24"/>
              </w:rPr>
              <w:t>、</w:t>
            </w:r>
            <w:r w:rsidR="00A953F1" w:rsidRPr="00A953F1">
              <w:rPr>
                <w:rFonts w:hint="eastAsia"/>
                <w:szCs w:val="24"/>
              </w:rPr>
              <w:t>鹏扬基金</w:t>
            </w:r>
            <w:r w:rsidR="00A953F1">
              <w:rPr>
                <w:rFonts w:hint="eastAsia"/>
                <w:szCs w:val="24"/>
              </w:rPr>
              <w:t>、</w:t>
            </w:r>
            <w:r w:rsidR="00A953F1" w:rsidRPr="00A953F1">
              <w:rPr>
                <w:rFonts w:hint="eastAsia"/>
                <w:szCs w:val="24"/>
              </w:rPr>
              <w:t>信诚人寿</w:t>
            </w:r>
            <w:r w:rsidR="00A953F1">
              <w:rPr>
                <w:rFonts w:hint="eastAsia"/>
                <w:szCs w:val="24"/>
              </w:rPr>
              <w:t>、</w:t>
            </w:r>
            <w:r w:rsidR="00A953F1" w:rsidRPr="00A953F1">
              <w:rPr>
                <w:rFonts w:hint="eastAsia"/>
                <w:szCs w:val="24"/>
              </w:rPr>
              <w:t>鲸鸿私募</w:t>
            </w:r>
            <w:r w:rsidR="00A953F1">
              <w:rPr>
                <w:rFonts w:hint="eastAsia"/>
                <w:szCs w:val="24"/>
              </w:rPr>
              <w:t>、</w:t>
            </w:r>
            <w:r w:rsidR="00A953F1" w:rsidRPr="00A953F1">
              <w:rPr>
                <w:rFonts w:hint="eastAsia"/>
                <w:szCs w:val="24"/>
              </w:rPr>
              <w:t>国联基金</w:t>
            </w:r>
            <w:r w:rsidR="00A953F1">
              <w:rPr>
                <w:rFonts w:hint="eastAsia"/>
                <w:szCs w:val="24"/>
              </w:rPr>
              <w:t>、</w:t>
            </w:r>
            <w:r w:rsidR="00A953F1" w:rsidRPr="00A953F1">
              <w:rPr>
                <w:rFonts w:hint="eastAsia"/>
                <w:szCs w:val="24"/>
              </w:rPr>
              <w:t>磐耀资本</w:t>
            </w:r>
            <w:r w:rsidR="00A953F1">
              <w:rPr>
                <w:rFonts w:hint="eastAsia"/>
                <w:szCs w:val="24"/>
              </w:rPr>
              <w:t>、</w:t>
            </w:r>
            <w:r w:rsidR="00A953F1" w:rsidRPr="00A953F1">
              <w:rPr>
                <w:rFonts w:hint="eastAsia"/>
                <w:szCs w:val="24"/>
              </w:rPr>
              <w:t>国华兴益</w:t>
            </w:r>
            <w:r w:rsidR="00A953F1">
              <w:rPr>
                <w:rFonts w:hint="eastAsia"/>
                <w:szCs w:val="24"/>
              </w:rPr>
              <w:t>、</w:t>
            </w:r>
            <w:r w:rsidR="00A953F1" w:rsidRPr="00A953F1">
              <w:rPr>
                <w:rFonts w:hint="eastAsia"/>
                <w:szCs w:val="24"/>
              </w:rPr>
              <w:t>信诚人寿</w:t>
            </w:r>
            <w:r w:rsidR="00A953F1">
              <w:rPr>
                <w:rFonts w:hint="eastAsia"/>
                <w:szCs w:val="24"/>
              </w:rPr>
              <w:t>、</w:t>
            </w:r>
            <w:r w:rsidR="00A953F1" w:rsidRPr="00A953F1">
              <w:rPr>
                <w:rFonts w:hint="eastAsia"/>
                <w:szCs w:val="24"/>
              </w:rPr>
              <w:t>同犇投资</w:t>
            </w:r>
            <w:r w:rsidR="00A953F1">
              <w:rPr>
                <w:rFonts w:hint="eastAsia"/>
                <w:szCs w:val="24"/>
              </w:rPr>
              <w:t>、</w:t>
            </w:r>
            <w:r w:rsidR="00A953F1" w:rsidRPr="00A953F1">
              <w:rPr>
                <w:rFonts w:hint="eastAsia"/>
                <w:szCs w:val="24"/>
              </w:rPr>
              <w:t>华创资管</w:t>
            </w:r>
            <w:r w:rsidR="00A953F1">
              <w:rPr>
                <w:rFonts w:hint="eastAsia"/>
                <w:szCs w:val="24"/>
              </w:rPr>
              <w:t>、</w:t>
            </w:r>
            <w:r w:rsidR="00A953F1" w:rsidRPr="00A953F1">
              <w:rPr>
                <w:rFonts w:hint="eastAsia"/>
                <w:szCs w:val="24"/>
              </w:rPr>
              <w:t>创金合信基金</w:t>
            </w:r>
            <w:r w:rsidR="00A953F1">
              <w:rPr>
                <w:rFonts w:hint="eastAsia"/>
                <w:szCs w:val="24"/>
              </w:rPr>
              <w:t>、</w:t>
            </w:r>
            <w:r w:rsidR="00A953F1" w:rsidRPr="00A953F1">
              <w:rPr>
                <w:rFonts w:hint="eastAsia"/>
                <w:szCs w:val="24"/>
              </w:rPr>
              <w:t>南土资产</w:t>
            </w:r>
            <w:r w:rsidR="00A953F1">
              <w:rPr>
                <w:rFonts w:hint="eastAsia"/>
                <w:szCs w:val="24"/>
              </w:rPr>
              <w:t>、</w:t>
            </w:r>
            <w:r w:rsidR="00A953F1" w:rsidRPr="00A953F1">
              <w:rPr>
                <w:rFonts w:hint="eastAsia"/>
                <w:szCs w:val="24"/>
              </w:rPr>
              <w:t>招银理财</w:t>
            </w:r>
            <w:r w:rsidR="00A953F1">
              <w:rPr>
                <w:rFonts w:hint="eastAsia"/>
                <w:szCs w:val="24"/>
              </w:rPr>
              <w:t>、</w:t>
            </w:r>
            <w:r w:rsidR="00A953F1" w:rsidRPr="00A953F1">
              <w:rPr>
                <w:rFonts w:hint="eastAsia"/>
                <w:szCs w:val="24"/>
              </w:rPr>
              <w:t>鑫元基金</w:t>
            </w:r>
            <w:r w:rsidR="00A953F1">
              <w:rPr>
                <w:rFonts w:hint="eastAsia"/>
                <w:szCs w:val="24"/>
              </w:rPr>
              <w:t>、</w:t>
            </w:r>
            <w:r w:rsidR="00A953F1" w:rsidRPr="00A953F1">
              <w:rPr>
                <w:rFonts w:hint="eastAsia"/>
                <w:szCs w:val="24"/>
              </w:rPr>
              <w:t>兴合基金</w:t>
            </w:r>
            <w:r w:rsidR="00A953F1">
              <w:rPr>
                <w:rFonts w:hint="eastAsia"/>
                <w:szCs w:val="24"/>
              </w:rPr>
              <w:t>、</w:t>
            </w:r>
            <w:r w:rsidR="00A953F1" w:rsidRPr="00A953F1">
              <w:rPr>
                <w:rFonts w:hint="eastAsia"/>
                <w:szCs w:val="24"/>
              </w:rPr>
              <w:t>东海基金</w:t>
            </w:r>
            <w:r w:rsidR="00A953F1">
              <w:rPr>
                <w:rFonts w:hint="eastAsia"/>
                <w:szCs w:val="24"/>
              </w:rPr>
              <w:t>、</w:t>
            </w:r>
            <w:r w:rsidR="00A953F1" w:rsidRPr="00A953F1">
              <w:rPr>
                <w:rFonts w:hint="eastAsia"/>
                <w:szCs w:val="24"/>
              </w:rPr>
              <w:t>华夏未来</w:t>
            </w:r>
            <w:r w:rsidR="00A953F1">
              <w:rPr>
                <w:rFonts w:hint="eastAsia"/>
                <w:szCs w:val="24"/>
              </w:rPr>
              <w:t>、</w:t>
            </w:r>
            <w:r w:rsidR="00A953F1" w:rsidRPr="00A953F1">
              <w:rPr>
                <w:rFonts w:hint="eastAsia"/>
                <w:szCs w:val="24"/>
              </w:rPr>
              <w:t>众安保险</w:t>
            </w:r>
            <w:r w:rsidR="00A953F1">
              <w:rPr>
                <w:rFonts w:hint="eastAsia"/>
                <w:szCs w:val="24"/>
              </w:rPr>
              <w:t>、</w:t>
            </w:r>
            <w:r w:rsidR="00A953F1" w:rsidRPr="00A953F1">
              <w:rPr>
                <w:rFonts w:hint="eastAsia"/>
                <w:szCs w:val="24"/>
              </w:rPr>
              <w:t>兴银基金</w:t>
            </w:r>
            <w:r w:rsidR="00A953F1">
              <w:rPr>
                <w:rFonts w:hint="eastAsia"/>
                <w:szCs w:val="24"/>
              </w:rPr>
              <w:t>、</w:t>
            </w:r>
            <w:r w:rsidR="00A953F1" w:rsidRPr="00A953F1">
              <w:rPr>
                <w:szCs w:val="24"/>
              </w:rPr>
              <w:t>IDG Capital</w:t>
            </w:r>
            <w:r w:rsidR="00A953F1">
              <w:rPr>
                <w:rFonts w:hint="eastAsia"/>
                <w:szCs w:val="24"/>
              </w:rPr>
              <w:t>、</w:t>
            </w:r>
            <w:r w:rsidR="00A953F1" w:rsidRPr="00A953F1">
              <w:rPr>
                <w:rFonts w:hint="eastAsia"/>
                <w:szCs w:val="24"/>
              </w:rPr>
              <w:t>蜂巢基金</w:t>
            </w:r>
            <w:r w:rsidR="00A953F1">
              <w:rPr>
                <w:rFonts w:hint="eastAsia"/>
                <w:szCs w:val="24"/>
              </w:rPr>
              <w:t>、</w:t>
            </w:r>
            <w:r w:rsidR="00A953F1" w:rsidRPr="00A953F1">
              <w:rPr>
                <w:rFonts w:hint="eastAsia"/>
                <w:szCs w:val="24"/>
              </w:rPr>
              <w:t>淳厚基金</w:t>
            </w:r>
            <w:r w:rsidR="00A953F1">
              <w:rPr>
                <w:rFonts w:hint="eastAsia"/>
                <w:szCs w:val="24"/>
              </w:rPr>
              <w:t>、</w:t>
            </w:r>
            <w:r w:rsidR="00A953F1" w:rsidRPr="00A953F1">
              <w:rPr>
                <w:rFonts w:hint="eastAsia"/>
                <w:szCs w:val="24"/>
              </w:rPr>
              <w:t>光大永明基金</w:t>
            </w:r>
            <w:r w:rsidR="00A953F1">
              <w:rPr>
                <w:rFonts w:hint="eastAsia"/>
                <w:szCs w:val="24"/>
              </w:rPr>
              <w:t>、</w:t>
            </w:r>
            <w:r w:rsidR="00A953F1" w:rsidRPr="00A953F1">
              <w:rPr>
                <w:rFonts w:hint="eastAsia"/>
                <w:szCs w:val="24"/>
              </w:rPr>
              <w:t>国君资管</w:t>
            </w:r>
            <w:r w:rsidR="00A953F1">
              <w:rPr>
                <w:rFonts w:hint="eastAsia"/>
                <w:szCs w:val="24"/>
              </w:rPr>
              <w:t>、</w:t>
            </w:r>
            <w:r w:rsidR="00A953F1" w:rsidRPr="00A953F1">
              <w:rPr>
                <w:rFonts w:hint="eastAsia"/>
                <w:szCs w:val="24"/>
              </w:rPr>
              <w:t>浙商资管</w:t>
            </w:r>
          </w:p>
          <w:p w14:paraId="750BFC88" w14:textId="77777777" w:rsidR="00C16AC4" w:rsidRDefault="00746BEB" w:rsidP="00F33338">
            <w:pPr>
              <w:rPr>
                <w:szCs w:val="24"/>
              </w:rPr>
            </w:pPr>
            <w:r>
              <w:rPr>
                <w:rFonts w:hint="eastAsia"/>
                <w:szCs w:val="24"/>
              </w:rPr>
              <w:t>2026</w:t>
            </w:r>
            <w:r>
              <w:rPr>
                <w:rFonts w:hint="eastAsia"/>
                <w:szCs w:val="24"/>
              </w:rPr>
              <w:t>年</w:t>
            </w:r>
            <w:r>
              <w:rPr>
                <w:rFonts w:hint="eastAsia"/>
                <w:szCs w:val="24"/>
              </w:rPr>
              <w:t>1</w:t>
            </w:r>
            <w:r w:rsidR="00FE4A41">
              <w:rPr>
                <w:rFonts w:hint="eastAsia"/>
                <w:szCs w:val="24"/>
              </w:rPr>
              <w:t>月</w:t>
            </w:r>
            <w:r w:rsidR="00FE4A41">
              <w:rPr>
                <w:rFonts w:hint="eastAsia"/>
                <w:szCs w:val="24"/>
              </w:rPr>
              <w:t>22</w:t>
            </w:r>
            <w:r>
              <w:rPr>
                <w:rFonts w:hint="eastAsia"/>
                <w:szCs w:val="24"/>
              </w:rPr>
              <w:t>日</w:t>
            </w:r>
          </w:p>
          <w:p w14:paraId="5AE59818" w14:textId="3ABD18DA" w:rsidR="00746BEB" w:rsidRDefault="00FE4A41" w:rsidP="00F33338">
            <w:pPr>
              <w:rPr>
                <w:szCs w:val="24"/>
              </w:rPr>
            </w:pPr>
            <w:r>
              <w:rPr>
                <w:rFonts w:hint="eastAsia"/>
                <w:szCs w:val="24"/>
              </w:rPr>
              <w:t>建信养老、交银</w:t>
            </w:r>
            <w:r w:rsidR="0086618D">
              <w:rPr>
                <w:rFonts w:hint="eastAsia"/>
                <w:szCs w:val="24"/>
              </w:rPr>
              <w:t>施罗德</w:t>
            </w:r>
            <w:r>
              <w:rPr>
                <w:rFonts w:hint="eastAsia"/>
                <w:szCs w:val="24"/>
              </w:rPr>
              <w:t>基金、</w:t>
            </w:r>
            <w:r w:rsidR="0086618D">
              <w:rPr>
                <w:rFonts w:hint="eastAsia"/>
                <w:szCs w:val="24"/>
              </w:rPr>
              <w:t>金信基金</w:t>
            </w:r>
          </w:p>
          <w:p w14:paraId="571B787F" w14:textId="77777777" w:rsidR="00C16AC4" w:rsidRDefault="00FE4A41" w:rsidP="00FE4A41">
            <w:pPr>
              <w:rPr>
                <w:szCs w:val="24"/>
              </w:rPr>
            </w:pPr>
            <w:r>
              <w:rPr>
                <w:rFonts w:hint="eastAsia"/>
                <w:szCs w:val="24"/>
              </w:rPr>
              <w:t>2026</w:t>
            </w:r>
            <w:r>
              <w:rPr>
                <w:rFonts w:hint="eastAsia"/>
                <w:szCs w:val="24"/>
              </w:rPr>
              <w:t>年</w:t>
            </w:r>
            <w:r>
              <w:rPr>
                <w:rFonts w:hint="eastAsia"/>
                <w:szCs w:val="24"/>
              </w:rPr>
              <w:t>1</w:t>
            </w:r>
            <w:r>
              <w:rPr>
                <w:rFonts w:hint="eastAsia"/>
                <w:szCs w:val="24"/>
              </w:rPr>
              <w:t>月</w:t>
            </w:r>
            <w:r>
              <w:rPr>
                <w:rFonts w:hint="eastAsia"/>
                <w:szCs w:val="24"/>
              </w:rPr>
              <w:t>23</w:t>
            </w:r>
            <w:r>
              <w:rPr>
                <w:rFonts w:hint="eastAsia"/>
                <w:szCs w:val="24"/>
              </w:rPr>
              <w:t>日</w:t>
            </w:r>
          </w:p>
          <w:p w14:paraId="49CDFF16" w14:textId="34DE8184" w:rsidR="00FE4A41" w:rsidRDefault="00FE4A41" w:rsidP="00FE4A41">
            <w:pPr>
              <w:rPr>
                <w:szCs w:val="24"/>
              </w:rPr>
            </w:pPr>
            <w:r>
              <w:rPr>
                <w:rFonts w:hint="eastAsia"/>
                <w:szCs w:val="24"/>
              </w:rPr>
              <w:t>华安证券、中邮基金、华福证券、天弘基金</w:t>
            </w:r>
          </w:p>
          <w:p w14:paraId="31800D4F" w14:textId="77777777" w:rsidR="00C16AC4" w:rsidRDefault="00FE4A41" w:rsidP="00FE4A41">
            <w:pPr>
              <w:rPr>
                <w:szCs w:val="24"/>
              </w:rPr>
            </w:pPr>
            <w:r>
              <w:rPr>
                <w:rFonts w:hint="eastAsia"/>
                <w:szCs w:val="24"/>
              </w:rPr>
              <w:t>2026</w:t>
            </w:r>
            <w:r>
              <w:rPr>
                <w:rFonts w:hint="eastAsia"/>
                <w:szCs w:val="24"/>
              </w:rPr>
              <w:t>年</w:t>
            </w:r>
            <w:r>
              <w:rPr>
                <w:rFonts w:hint="eastAsia"/>
                <w:szCs w:val="24"/>
              </w:rPr>
              <w:t>1</w:t>
            </w:r>
            <w:r>
              <w:rPr>
                <w:rFonts w:hint="eastAsia"/>
                <w:szCs w:val="24"/>
              </w:rPr>
              <w:t>月</w:t>
            </w:r>
            <w:r>
              <w:rPr>
                <w:rFonts w:hint="eastAsia"/>
                <w:szCs w:val="24"/>
              </w:rPr>
              <w:t>26</w:t>
            </w:r>
            <w:r>
              <w:rPr>
                <w:rFonts w:hint="eastAsia"/>
                <w:szCs w:val="24"/>
              </w:rPr>
              <w:t>日</w:t>
            </w:r>
          </w:p>
          <w:p w14:paraId="7EBFD843" w14:textId="31E2C7FD" w:rsidR="00FE4A41" w:rsidRDefault="00FE4A41" w:rsidP="00FE4A41">
            <w:pPr>
              <w:rPr>
                <w:szCs w:val="24"/>
              </w:rPr>
            </w:pPr>
            <w:r>
              <w:rPr>
                <w:rFonts w:hint="eastAsia"/>
                <w:szCs w:val="24"/>
              </w:rPr>
              <w:t>宏利基金、农银汇理、</w:t>
            </w:r>
            <w:r w:rsidR="0012629F">
              <w:rPr>
                <w:rFonts w:hint="eastAsia"/>
                <w:szCs w:val="24"/>
              </w:rPr>
              <w:t>广发基金、</w:t>
            </w:r>
            <w:r>
              <w:rPr>
                <w:rFonts w:hint="eastAsia"/>
                <w:szCs w:val="24"/>
              </w:rPr>
              <w:t>华泰柏瑞、平安证券</w:t>
            </w:r>
          </w:p>
          <w:p w14:paraId="6F373467" w14:textId="77777777" w:rsidR="00C16AC4" w:rsidRDefault="00FE4A41" w:rsidP="00FE4A41">
            <w:pPr>
              <w:rPr>
                <w:szCs w:val="24"/>
              </w:rPr>
            </w:pPr>
            <w:r>
              <w:rPr>
                <w:rFonts w:hint="eastAsia"/>
                <w:szCs w:val="24"/>
              </w:rPr>
              <w:t>2026</w:t>
            </w:r>
            <w:r>
              <w:rPr>
                <w:rFonts w:hint="eastAsia"/>
                <w:szCs w:val="24"/>
              </w:rPr>
              <w:t>年</w:t>
            </w:r>
            <w:r>
              <w:rPr>
                <w:rFonts w:hint="eastAsia"/>
                <w:szCs w:val="24"/>
              </w:rPr>
              <w:t>1</w:t>
            </w:r>
            <w:r>
              <w:rPr>
                <w:rFonts w:hint="eastAsia"/>
                <w:szCs w:val="24"/>
              </w:rPr>
              <w:t>月</w:t>
            </w:r>
            <w:r>
              <w:rPr>
                <w:rFonts w:hint="eastAsia"/>
                <w:szCs w:val="24"/>
              </w:rPr>
              <w:t>27</w:t>
            </w:r>
            <w:r>
              <w:rPr>
                <w:rFonts w:hint="eastAsia"/>
                <w:szCs w:val="24"/>
              </w:rPr>
              <w:t>日</w:t>
            </w:r>
          </w:p>
          <w:p w14:paraId="0E8BF037" w14:textId="6C3EA5D7" w:rsidR="00B80E4C" w:rsidRDefault="00F30944" w:rsidP="00FE4A41">
            <w:pPr>
              <w:rPr>
                <w:szCs w:val="24"/>
              </w:rPr>
            </w:pPr>
            <w:r>
              <w:rPr>
                <w:rFonts w:hint="eastAsia"/>
                <w:szCs w:val="24"/>
              </w:rPr>
              <w:t>建信基金、</w:t>
            </w:r>
            <w:r w:rsidR="00FE4A41">
              <w:rPr>
                <w:rFonts w:hint="eastAsia"/>
                <w:szCs w:val="24"/>
              </w:rPr>
              <w:t>长江证券、长城基金、</w:t>
            </w:r>
            <w:r w:rsidR="00C16AC4">
              <w:rPr>
                <w:rFonts w:hint="eastAsia"/>
                <w:szCs w:val="24"/>
              </w:rPr>
              <w:t>汇添富、北京明德投资</w:t>
            </w:r>
            <w:r w:rsidR="00FE4A41">
              <w:rPr>
                <w:rFonts w:hint="eastAsia"/>
                <w:szCs w:val="24"/>
              </w:rPr>
              <w:t>、信达澳亚</w:t>
            </w:r>
            <w:r w:rsidR="00C16AC4">
              <w:rPr>
                <w:rFonts w:hint="eastAsia"/>
                <w:szCs w:val="24"/>
              </w:rPr>
              <w:t>基金</w:t>
            </w:r>
            <w:r w:rsidR="00FE4A41">
              <w:rPr>
                <w:rFonts w:hint="eastAsia"/>
                <w:szCs w:val="24"/>
              </w:rPr>
              <w:t>、财通基金</w:t>
            </w:r>
          </w:p>
          <w:p w14:paraId="516CBEE6" w14:textId="65B50CFD" w:rsidR="00C16AC4" w:rsidRDefault="00FE4A41" w:rsidP="00FE4A41">
            <w:pPr>
              <w:rPr>
                <w:szCs w:val="24"/>
              </w:rPr>
            </w:pPr>
            <w:r>
              <w:rPr>
                <w:rFonts w:hint="eastAsia"/>
                <w:szCs w:val="24"/>
              </w:rPr>
              <w:t>2026</w:t>
            </w:r>
            <w:r>
              <w:rPr>
                <w:rFonts w:hint="eastAsia"/>
                <w:szCs w:val="24"/>
              </w:rPr>
              <w:t>年</w:t>
            </w:r>
            <w:r>
              <w:rPr>
                <w:rFonts w:hint="eastAsia"/>
                <w:szCs w:val="24"/>
              </w:rPr>
              <w:t>1</w:t>
            </w:r>
            <w:r>
              <w:rPr>
                <w:rFonts w:hint="eastAsia"/>
                <w:szCs w:val="24"/>
              </w:rPr>
              <w:t>月</w:t>
            </w:r>
            <w:r>
              <w:rPr>
                <w:rFonts w:hint="eastAsia"/>
                <w:szCs w:val="24"/>
              </w:rPr>
              <w:t>2</w:t>
            </w:r>
            <w:r w:rsidR="00C16AC4">
              <w:rPr>
                <w:rFonts w:hint="eastAsia"/>
                <w:szCs w:val="24"/>
              </w:rPr>
              <w:t>9</w:t>
            </w:r>
            <w:r>
              <w:rPr>
                <w:rFonts w:hint="eastAsia"/>
                <w:szCs w:val="24"/>
              </w:rPr>
              <w:t>日</w:t>
            </w:r>
          </w:p>
          <w:p w14:paraId="440E9BA4" w14:textId="29D9CEFB" w:rsidR="00FE4A41" w:rsidRDefault="00F30944" w:rsidP="00FE4A41">
            <w:pPr>
              <w:rPr>
                <w:szCs w:val="24"/>
              </w:rPr>
            </w:pPr>
            <w:r>
              <w:rPr>
                <w:rFonts w:hint="eastAsia"/>
                <w:szCs w:val="24"/>
              </w:rPr>
              <w:t>国泰基金、永赢基金</w:t>
            </w:r>
            <w:r w:rsidRPr="00E1270C">
              <w:rPr>
                <w:rFonts w:hint="eastAsia"/>
                <w:szCs w:val="24"/>
              </w:rPr>
              <w:t>、长信基金</w:t>
            </w:r>
            <w:r>
              <w:rPr>
                <w:rFonts w:hint="eastAsia"/>
                <w:szCs w:val="24"/>
              </w:rPr>
              <w:t>、中欧基金、</w:t>
            </w:r>
            <w:r w:rsidR="00C16AC4" w:rsidRPr="00E1270C">
              <w:rPr>
                <w:rFonts w:hint="eastAsia"/>
                <w:szCs w:val="24"/>
              </w:rPr>
              <w:t>中金</w:t>
            </w:r>
            <w:r>
              <w:rPr>
                <w:rFonts w:hint="eastAsia"/>
                <w:szCs w:val="24"/>
              </w:rPr>
              <w:t>公司</w:t>
            </w:r>
            <w:r w:rsidR="00FE4A41" w:rsidRPr="00E1270C">
              <w:rPr>
                <w:rFonts w:hint="eastAsia"/>
                <w:szCs w:val="24"/>
              </w:rPr>
              <w:t>、</w:t>
            </w:r>
            <w:r w:rsidR="00C16AC4" w:rsidRPr="00E1270C">
              <w:rPr>
                <w:rFonts w:hint="eastAsia"/>
                <w:szCs w:val="24"/>
              </w:rPr>
              <w:t>嘉实基金、深积资产、阳光资产、海创基金、兆信基金</w:t>
            </w:r>
          </w:p>
          <w:p w14:paraId="306216BE" w14:textId="5824CFA8" w:rsidR="00FE4A41" w:rsidRDefault="00FE4A41" w:rsidP="00F33338">
            <w:pPr>
              <w:rPr>
                <w:szCs w:val="24"/>
              </w:rPr>
            </w:pPr>
            <w:r>
              <w:rPr>
                <w:rFonts w:hint="eastAsia"/>
                <w:szCs w:val="24"/>
              </w:rPr>
              <w:t>2026</w:t>
            </w:r>
            <w:r>
              <w:rPr>
                <w:rFonts w:hint="eastAsia"/>
                <w:szCs w:val="24"/>
              </w:rPr>
              <w:t>年</w:t>
            </w:r>
            <w:r>
              <w:rPr>
                <w:rFonts w:hint="eastAsia"/>
                <w:szCs w:val="24"/>
              </w:rPr>
              <w:t>1</w:t>
            </w:r>
            <w:r>
              <w:rPr>
                <w:rFonts w:hint="eastAsia"/>
                <w:szCs w:val="24"/>
              </w:rPr>
              <w:t>月</w:t>
            </w:r>
            <w:r w:rsidR="00C16AC4">
              <w:rPr>
                <w:rFonts w:hint="eastAsia"/>
                <w:szCs w:val="24"/>
              </w:rPr>
              <w:t>30</w:t>
            </w:r>
            <w:r>
              <w:rPr>
                <w:rFonts w:hint="eastAsia"/>
                <w:szCs w:val="24"/>
              </w:rPr>
              <w:t>日</w:t>
            </w:r>
          </w:p>
          <w:p w14:paraId="709BC62C" w14:textId="30BDB4AB" w:rsidR="00C16AC4" w:rsidRPr="00FE4A41" w:rsidRDefault="0049609D" w:rsidP="00F33338">
            <w:pPr>
              <w:rPr>
                <w:szCs w:val="24"/>
              </w:rPr>
            </w:pPr>
            <w:r>
              <w:rPr>
                <w:rFonts w:hint="eastAsia"/>
                <w:szCs w:val="24"/>
              </w:rPr>
              <w:t>融通基金、</w:t>
            </w:r>
            <w:r w:rsidR="00F30944">
              <w:rPr>
                <w:rFonts w:hint="eastAsia"/>
                <w:szCs w:val="24"/>
              </w:rPr>
              <w:t>中庚基金、</w:t>
            </w:r>
            <w:r>
              <w:rPr>
                <w:rFonts w:hint="eastAsia"/>
                <w:szCs w:val="24"/>
              </w:rPr>
              <w:t>德邦基金</w:t>
            </w:r>
            <w:r w:rsidR="00F30944">
              <w:rPr>
                <w:rFonts w:hint="eastAsia"/>
                <w:szCs w:val="24"/>
              </w:rPr>
              <w:t>、华宝基金、工银安盛基金</w:t>
            </w:r>
          </w:p>
          <w:p w14:paraId="7E1A61B1" w14:textId="3595FA41" w:rsidR="00F33338" w:rsidRPr="00D16B42" w:rsidRDefault="00F33338" w:rsidP="00F33338">
            <w:pPr>
              <w:rPr>
                <w:szCs w:val="24"/>
              </w:rPr>
            </w:pPr>
          </w:p>
        </w:tc>
      </w:tr>
      <w:tr w:rsidR="00004524" w14:paraId="6ABD1EA2" w14:textId="77777777">
        <w:tc>
          <w:tcPr>
            <w:tcW w:w="2405" w:type="dxa"/>
            <w:vAlign w:val="center"/>
          </w:tcPr>
          <w:p w14:paraId="2F519907" w14:textId="77777777" w:rsidR="00004524" w:rsidRDefault="00000000">
            <w:pPr>
              <w:jc w:val="center"/>
              <w:rPr>
                <w:b/>
                <w:bCs/>
                <w:szCs w:val="24"/>
              </w:rPr>
            </w:pPr>
            <w:r>
              <w:rPr>
                <w:rFonts w:hint="eastAsia"/>
                <w:b/>
                <w:bCs/>
                <w:szCs w:val="24"/>
              </w:rPr>
              <w:t>时间</w:t>
            </w:r>
          </w:p>
        </w:tc>
        <w:tc>
          <w:tcPr>
            <w:tcW w:w="5891" w:type="dxa"/>
            <w:vAlign w:val="center"/>
          </w:tcPr>
          <w:p w14:paraId="68687935" w14:textId="77777777" w:rsidR="00004524" w:rsidRDefault="00004524">
            <w:pPr>
              <w:jc w:val="left"/>
              <w:rPr>
                <w:szCs w:val="24"/>
              </w:rPr>
            </w:pPr>
          </w:p>
          <w:p w14:paraId="39691858" w14:textId="16726457" w:rsidR="006E4169" w:rsidRPr="006E4169" w:rsidRDefault="00D94600" w:rsidP="006E4169">
            <w:pPr>
              <w:jc w:val="left"/>
              <w:rPr>
                <w:szCs w:val="24"/>
              </w:rPr>
            </w:pPr>
            <w:r>
              <w:rPr>
                <w:rFonts w:hint="eastAsia"/>
                <w:szCs w:val="24"/>
              </w:rPr>
              <w:t>202</w:t>
            </w:r>
            <w:r w:rsidR="00031D08">
              <w:rPr>
                <w:rFonts w:hint="eastAsia"/>
                <w:szCs w:val="24"/>
              </w:rPr>
              <w:t>6</w:t>
            </w:r>
            <w:r>
              <w:rPr>
                <w:rFonts w:hint="eastAsia"/>
                <w:szCs w:val="24"/>
              </w:rPr>
              <w:t>年</w:t>
            </w:r>
            <w:r w:rsidR="00031D08">
              <w:rPr>
                <w:rFonts w:hint="eastAsia"/>
                <w:szCs w:val="24"/>
              </w:rPr>
              <w:t>1</w:t>
            </w:r>
            <w:r>
              <w:rPr>
                <w:rFonts w:hint="eastAsia"/>
                <w:szCs w:val="24"/>
              </w:rPr>
              <w:t>月</w:t>
            </w:r>
            <w:r w:rsidR="00FE4A41">
              <w:rPr>
                <w:rFonts w:hint="eastAsia"/>
                <w:szCs w:val="24"/>
              </w:rPr>
              <w:t>21-30</w:t>
            </w:r>
            <w:r>
              <w:rPr>
                <w:rFonts w:hint="eastAsia"/>
                <w:szCs w:val="24"/>
              </w:rPr>
              <w:t>日</w:t>
            </w:r>
            <w:r w:rsidR="00746BEB">
              <w:rPr>
                <w:rFonts w:hint="eastAsia"/>
                <w:szCs w:val="24"/>
              </w:rPr>
              <w:t xml:space="preserve"> </w:t>
            </w:r>
          </w:p>
          <w:p w14:paraId="6D18C7FD" w14:textId="77777777" w:rsidR="00004524" w:rsidRPr="006E4169" w:rsidRDefault="00004524">
            <w:pPr>
              <w:rPr>
                <w:szCs w:val="24"/>
              </w:rPr>
            </w:pPr>
          </w:p>
        </w:tc>
      </w:tr>
      <w:tr w:rsidR="00004524" w14:paraId="2394B039" w14:textId="77777777">
        <w:tc>
          <w:tcPr>
            <w:tcW w:w="2405" w:type="dxa"/>
            <w:vAlign w:val="center"/>
          </w:tcPr>
          <w:p w14:paraId="744D1214" w14:textId="77777777" w:rsidR="00004524" w:rsidRDefault="00000000">
            <w:pPr>
              <w:jc w:val="center"/>
              <w:rPr>
                <w:b/>
                <w:bCs/>
                <w:szCs w:val="24"/>
              </w:rPr>
            </w:pPr>
            <w:r>
              <w:rPr>
                <w:rFonts w:hint="eastAsia"/>
                <w:b/>
                <w:bCs/>
                <w:szCs w:val="24"/>
              </w:rPr>
              <w:t>地点</w:t>
            </w:r>
          </w:p>
        </w:tc>
        <w:tc>
          <w:tcPr>
            <w:tcW w:w="5891" w:type="dxa"/>
            <w:vAlign w:val="center"/>
          </w:tcPr>
          <w:p w14:paraId="4BBB7251" w14:textId="77777777" w:rsidR="00004524" w:rsidRDefault="00004524">
            <w:pPr>
              <w:jc w:val="center"/>
              <w:rPr>
                <w:szCs w:val="24"/>
              </w:rPr>
            </w:pPr>
          </w:p>
          <w:p w14:paraId="46EB0C60" w14:textId="3BD222B7" w:rsidR="00004524" w:rsidRDefault="00FE4A41" w:rsidP="00D16B42">
            <w:pPr>
              <w:rPr>
                <w:szCs w:val="24"/>
              </w:rPr>
            </w:pPr>
            <w:r>
              <w:rPr>
                <w:rFonts w:hint="eastAsia"/>
                <w:szCs w:val="24"/>
              </w:rPr>
              <w:lastRenderedPageBreak/>
              <w:t>重庆市、上海市</w:t>
            </w:r>
            <w:r w:rsidR="004E6731">
              <w:rPr>
                <w:rFonts w:hint="eastAsia"/>
                <w:szCs w:val="24"/>
              </w:rPr>
              <w:t>、线上会议</w:t>
            </w:r>
          </w:p>
          <w:p w14:paraId="0E21039F" w14:textId="2381D8B4" w:rsidR="00D16B42" w:rsidRDefault="00D16B42" w:rsidP="00D16B42">
            <w:pPr>
              <w:rPr>
                <w:szCs w:val="24"/>
              </w:rPr>
            </w:pPr>
          </w:p>
        </w:tc>
      </w:tr>
      <w:tr w:rsidR="00004524" w14:paraId="1B0D3146" w14:textId="77777777">
        <w:tc>
          <w:tcPr>
            <w:tcW w:w="2405" w:type="dxa"/>
            <w:vAlign w:val="center"/>
          </w:tcPr>
          <w:p w14:paraId="1A393CCC" w14:textId="77777777" w:rsidR="00004524" w:rsidRDefault="00000000">
            <w:pPr>
              <w:jc w:val="center"/>
              <w:rPr>
                <w:b/>
                <w:bCs/>
                <w:szCs w:val="24"/>
              </w:rPr>
            </w:pPr>
            <w:r>
              <w:rPr>
                <w:rFonts w:hint="eastAsia"/>
                <w:b/>
                <w:bCs/>
                <w:szCs w:val="24"/>
              </w:rPr>
              <w:lastRenderedPageBreak/>
              <w:t>接待人员</w:t>
            </w:r>
          </w:p>
        </w:tc>
        <w:tc>
          <w:tcPr>
            <w:tcW w:w="5891" w:type="dxa"/>
          </w:tcPr>
          <w:p w14:paraId="20DE1988" w14:textId="77777777" w:rsidR="00004524" w:rsidRDefault="00004524">
            <w:pPr>
              <w:rPr>
                <w:szCs w:val="24"/>
              </w:rPr>
            </w:pPr>
          </w:p>
          <w:p w14:paraId="42F60B82" w14:textId="4C407172" w:rsidR="00031D08" w:rsidRPr="00031D08" w:rsidRDefault="00031D08">
            <w:pPr>
              <w:rPr>
                <w:szCs w:val="24"/>
              </w:rPr>
            </w:pPr>
            <w:r>
              <w:rPr>
                <w:rFonts w:hint="eastAsia"/>
                <w:szCs w:val="24"/>
              </w:rPr>
              <w:t>董事长助理</w:t>
            </w:r>
            <w:r>
              <w:rPr>
                <w:rFonts w:hint="eastAsia"/>
                <w:szCs w:val="24"/>
              </w:rPr>
              <w:t xml:space="preserve"> </w:t>
            </w:r>
            <w:r>
              <w:rPr>
                <w:rFonts w:hint="eastAsia"/>
                <w:szCs w:val="24"/>
              </w:rPr>
              <w:t>巴锴</w:t>
            </w:r>
          </w:p>
          <w:p w14:paraId="4D3DF20F" w14:textId="77777777" w:rsidR="00004524" w:rsidRDefault="00000000">
            <w:pPr>
              <w:rPr>
                <w:szCs w:val="24"/>
              </w:rPr>
            </w:pPr>
            <w:r>
              <w:rPr>
                <w:rFonts w:hint="eastAsia"/>
                <w:szCs w:val="24"/>
              </w:rPr>
              <w:t>证券事务经理</w:t>
            </w:r>
            <w:r>
              <w:rPr>
                <w:rFonts w:hint="eastAsia"/>
                <w:szCs w:val="24"/>
              </w:rPr>
              <w:t xml:space="preserve"> </w:t>
            </w:r>
            <w:r>
              <w:rPr>
                <w:rFonts w:hint="eastAsia"/>
                <w:szCs w:val="24"/>
              </w:rPr>
              <w:t>李政阳</w:t>
            </w:r>
          </w:p>
          <w:p w14:paraId="5C7BF906" w14:textId="77777777" w:rsidR="00004524" w:rsidRDefault="00004524" w:rsidP="008E0307">
            <w:pPr>
              <w:rPr>
                <w:szCs w:val="24"/>
              </w:rPr>
            </w:pPr>
          </w:p>
        </w:tc>
      </w:tr>
      <w:tr w:rsidR="00004524" w14:paraId="1FF7EEF0" w14:textId="77777777">
        <w:tc>
          <w:tcPr>
            <w:tcW w:w="2405" w:type="dxa"/>
            <w:vAlign w:val="center"/>
          </w:tcPr>
          <w:p w14:paraId="642818F4" w14:textId="77777777" w:rsidR="00004524" w:rsidRDefault="00000000">
            <w:pPr>
              <w:jc w:val="center"/>
              <w:rPr>
                <w:b/>
                <w:bCs/>
                <w:szCs w:val="24"/>
              </w:rPr>
            </w:pPr>
            <w:r>
              <w:rPr>
                <w:rFonts w:hint="eastAsia"/>
                <w:b/>
                <w:bCs/>
                <w:szCs w:val="24"/>
              </w:rPr>
              <w:t>投资者关系活动主要内容介绍</w:t>
            </w:r>
          </w:p>
        </w:tc>
        <w:tc>
          <w:tcPr>
            <w:tcW w:w="5891" w:type="dxa"/>
          </w:tcPr>
          <w:p w14:paraId="36AD3EF7" w14:textId="77777777" w:rsidR="00880820" w:rsidRDefault="00880820" w:rsidP="008E1EF8">
            <w:pPr>
              <w:rPr>
                <w:szCs w:val="24"/>
              </w:rPr>
            </w:pPr>
          </w:p>
          <w:p w14:paraId="7617D407" w14:textId="11223823" w:rsidR="00842ACC" w:rsidRPr="00CC7519" w:rsidRDefault="00880820" w:rsidP="00842ACC">
            <w:pPr>
              <w:rPr>
                <w:b/>
                <w:bCs/>
                <w:szCs w:val="24"/>
                <w:u w:val="single"/>
              </w:rPr>
            </w:pPr>
            <w:r w:rsidRPr="00CC7519">
              <w:rPr>
                <w:rFonts w:hint="eastAsia"/>
                <w:b/>
                <w:bCs/>
                <w:szCs w:val="24"/>
                <w:u w:val="single"/>
              </w:rPr>
              <w:t>问题一：</w:t>
            </w:r>
            <w:r w:rsidR="000720DF" w:rsidRPr="00CC7519">
              <w:rPr>
                <w:b/>
                <w:bCs/>
                <w:szCs w:val="24"/>
                <w:u w:val="single"/>
              </w:rPr>
              <w:t>《手术与治疗辅助操作类医疗服务价格项目立项指南（试行）》</w:t>
            </w:r>
            <w:r w:rsidR="000720DF" w:rsidRPr="00CC7519">
              <w:rPr>
                <w:rFonts w:hint="eastAsia"/>
                <w:b/>
                <w:bCs/>
                <w:szCs w:val="24"/>
                <w:u w:val="single"/>
              </w:rPr>
              <w:t>对公司的</w:t>
            </w:r>
            <w:r w:rsidR="00EF6F35" w:rsidRPr="00CC7519">
              <w:rPr>
                <w:rFonts w:hint="eastAsia"/>
                <w:b/>
                <w:bCs/>
                <w:szCs w:val="24"/>
                <w:u w:val="single"/>
              </w:rPr>
              <w:t>影响</w:t>
            </w:r>
            <w:r w:rsidR="00076C89" w:rsidRPr="00CC7519">
              <w:rPr>
                <w:rFonts w:hint="eastAsia"/>
                <w:b/>
                <w:bCs/>
                <w:szCs w:val="24"/>
                <w:u w:val="single"/>
              </w:rPr>
              <w:t>？</w:t>
            </w:r>
          </w:p>
          <w:p w14:paraId="5D175D7B" w14:textId="1B64F5B5" w:rsidR="00CC7519" w:rsidRPr="00E1270C" w:rsidRDefault="00CC7519" w:rsidP="00842ACC">
            <w:pPr>
              <w:ind w:firstLineChars="200" w:firstLine="480"/>
              <w:rPr>
                <w:szCs w:val="24"/>
              </w:rPr>
            </w:pPr>
            <w:r w:rsidRPr="00CC7519">
              <w:rPr>
                <w:szCs w:val="24"/>
              </w:rPr>
              <w:t>指南聚焦医疗技术前沿成果，围绕</w:t>
            </w:r>
            <w:r w:rsidRPr="00CC7519">
              <w:rPr>
                <w:szCs w:val="24"/>
              </w:rPr>
              <w:t>3D</w:t>
            </w:r>
            <w:r w:rsidRPr="00CC7519">
              <w:rPr>
                <w:szCs w:val="24"/>
              </w:rPr>
              <w:t>打印、示踪增强成像、能量器械、术中影像引导、机械臂与远程手术等医疗科技创新成果进行统一价格立项，规范形成</w:t>
            </w:r>
            <w:r w:rsidRPr="00CC7519">
              <w:rPr>
                <w:szCs w:val="24"/>
              </w:rPr>
              <w:t>37</w:t>
            </w:r>
            <w:r w:rsidRPr="00CC7519">
              <w:rPr>
                <w:szCs w:val="24"/>
              </w:rPr>
              <w:t>项价格项目。这与公司</w:t>
            </w:r>
            <w:r w:rsidRPr="00CC7519">
              <w:rPr>
                <w:szCs w:val="24"/>
              </w:rPr>
              <w:t>"</w:t>
            </w:r>
            <w:r w:rsidRPr="00CC7519">
              <w:rPr>
                <w:szCs w:val="24"/>
              </w:rPr>
              <w:t>微</w:t>
            </w:r>
            <w:r w:rsidRPr="00E1270C">
              <w:rPr>
                <w:szCs w:val="24"/>
              </w:rPr>
              <w:t>创手术工具整体方案提供者</w:t>
            </w:r>
            <w:r w:rsidRPr="00E1270C">
              <w:rPr>
                <w:szCs w:val="24"/>
              </w:rPr>
              <w:t>"</w:t>
            </w:r>
            <w:r w:rsidRPr="00E1270C">
              <w:rPr>
                <w:szCs w:val="24"/>
              </w:rPr>
              <w:t>的战略定位高度契合，公司产品线涵盖手术动力装置、内窥镜系统、能量手术设备等，正是该指南</w:t>
            </w:r>
            <w:r w:rsidRPr="00E1270C">
              <w:rPr>
                <w:rFonts w:hint="eastAsia"/>
                <w:szCs w:val="24"/>
              </w:rPr>
              <w:t>中第</w:t>
            </w:r>
            <w:r w:rsidRPr="00E1270C">
              <w:rPr>
                <w:szCs w:val="24"/>
              </w:rPr>
              <w:t>1</w:t>
            </w:r>
            <w:r w:rsidR="00066408">
              <w:rPr>
                <w:rFonts w:hint="eastAsia"/>
                <w:szCs w:val="24"/>
              </w:rPr>
              <w:t>2</w:t>
            </w:r>
            <w:r w:rsidRPr="00E1270C">
              <w:rPr>
                <w:rFonts w:hint="eastAsia"/>
                <w:szCs w:val="24"/>
              </w:rPr>
              <w:t>项、第</w:t>
            </w:r>
            <w:r w:rsidRPr="00E1270C">
              <w:rPr>
                <w:szCs w:val="24"/>
              </w:rPr>
              <w:t>15</w:t>
            </w:r>
            <w:r w:rsidRPr="00E1270C">
              <w:rPr>
                <w:rFonts w:hint="eastAsia"/>
                <w:szCs w:val="24"/>
              </w:rPr>
              <w:t>项、第</w:t>
            </w:r>
            <w:r w:rsidRPr="00E1270C">
              <w:rPr>
                <w:szCs w:val="24"/>
              </w:rPr>
              <w:t>20</w:t>
            </w:r>
            <w:r w:rsidRPr="00E1270C">
              <w:rPr>
                <w:rFonts w:hint="eastAsia"/>
                <w:szCs w:val="24"/>
              </w:rPr>
              <w:t>项、第</w:t>
            </w:r>
            <w:r w:rsidRPr="00E1270C">
              <w:rPr>
                <w:szCs w:val="24"/>
              </w:rPr>
              <w:t>23</w:t>
            </w:r>
            <w:r w:rsidRPr="00E1270C">
              <w:rPr>
                <w:rFonts w:hint="eastAsia"/>
                <w:szCs w:val="24"/>
              </w:rPr>
              <w:t>项</w:t>
            </w:r>
            <w:r w:rsidRPr="00E1270C">
              <w:rPr>
                <w:szCs w:val="24"/>
              </w:rPr>
              <w:t>重点支持的技术领域。</w:t>
            </w:r>
          </w:p>
          <w:p w14:paraId="4ECCF16E" w14:textId="10CC6661" w:rsidR="00CC7519" w:rsidRPr="00E1270C" w:rsidRDefault="00DA755C" w:rsidP="00842ACC">
            <w:pPr>
              <w:ind w:firstLineChars="200" w:firstLine="480"/>
              <w:rPr>
                <w:szCs w:val="24"/>
              </w:rPr>
            </w:pPr>
            <w:r w:rsidRPr="00E1270C">
              <w:rPr>
                <w:rFonts w:hint="eastAsia"/>
                <w:szCs w:val="24"/>
              </w:rPr>
              <w:t>具体来看，</w:t>
            </w:r>
            <w:r w:rsidR="00CC7519" w:rsidRPr="00E1270C">
              <w:rPr>
                <w:szCs w:val="24"/>
              </w:rPr>
              <w:t>指南对</w:t>
            </w:r>
            <w:r w:rsidR="00CC7519" w:rsidRPr="00E1270C">
              <w:rPr>
                <w:rFonts w:hint="eastAsia"/>
                <w:szCs w:val="24"/>
              </w:rPr>
              <w:t>手术动力装置及</w:t>
            </w:r>
            <w:r w:rsidR="00CC7519" w:rsidRPr="00E1270C">
              <w:rPr>
                <w:szCs w:val="24"/>
              </w:rPr>
              <w:t>能量</w:t>
            </w:r>
            <w:r w:rsidR="00CC7519" w:rsidRPr="00E1270C">
              <w:rPr>
                <w:rFonts w:hint="eastAsia"/>
                <w:szCs w:val="24"/>
              </w:rPr>
              <w:t>手术器械</w:t>
            </w:r>
            <w:r w:rsidR="00CC7519" w:rsidRPr="00E1270C">
              <w:rPr>
                <w:szCs w:val="24"/>
              </w:rPr>
              <w:t>（如超声刀、射频刀、等离子刀等）的收费政策进行了规范，有助于规范</w:t>
            </w:r>
            <w:r w:rsidR="00A257D7">
              <w:rPr>
                <w:rFonts w:hint="eastAsia"/>
                <w:szCs w:val="24"/>
              </w:rPr>
              <w:t>相关耗材</w:t>
            </w:r>
            <w:r w:rsidR="007E4DEE" w:rsidRPr="00E1270C">
              <w:rPr>
                <w:rFonts w:hint="eastAsia"/>
                <w:szCs w:val="24"/>
              </w:rPr>
              <w:t>的使用及</w:t>
            </w:r>
            <w:r w:rsidR="00CC7519" w:rsidRPr="00E1270C">
              <w:rPr>
                <w:szCs w:val="24"/>
              </w:rPr>
              <w:t>收费行为，为公司</w:t>
            </w:r>
            <w:r w:rsidR="00CC7519" w:rsidRPr="00E1270C">
              <w:rPr>
                <w:rFonts w:hint="eastAsia"/>
                <w:szCs w:val="24"/>
              </w:rPr>
              <w:t>手术动力装置及能量手术设备相关耗材的使用</w:t>
            </w:r>
            <w:r w:rsidR="00CC7519" w:rsidRPr="00E1270C">
              <w:rPr>
                <w:szCs w:val="24"/>
              </w:rPr>
              <w:t>创造更加</w:t>
            </w:r>
            <w:r w:rsidR="00CC7519" w:rsidRPr="00E1270C">
              <w:rPr>
                <w:rFonts w:hint="eastAsia"/>
                <w:szCs w:val="24"/>
              </w:rPr>
              <w:t>积极</w:t>
            </w:r>
            <w:r w:rsidR="00CC7519" w:rsidRPr="00E1270C">
              <w:rPr>
                <w:szCs w:val="24"/>
              </w:rPr>
              <w:t>的市场环境。</w:t>
            </w:r>
          </w:p>
          <w:p w14:paraId="573B8DB6" w14:textId="00BF73D6" w:rsidR="00CC7519" w:rsidRPr="00E1270C" w:rsidRDefault="00D074C0" w:rsidP="00842ACC">
            <w:pPr>
              <w:ind w:firstLineChars="200" w:firstLine="480"/>
              <w:rPr>
                <w:szCs w:val="24"/>
              </w:rPr>
            </w:pPr>
            <w:r w:rsidRPr="00E1270C">
              <w:rPr>
                <w:rFonts w:hint="eastAsia"/>
                <w:szCs w:val="24"/>
              </w:rPr>
              <w:t>公司将</w:t>
            </w:r>
            <w:r w:rsidRPr="00E1270C">
              <w:rPr>
                <w:szCs w:val="24"/>
              </w:rPr>
              <w:t>继续</w:t>
            </w:r>
            <w:r w:rsidRPr="00E1270C">
              <w:rPr>
                <w:rFonts w:hint="eastAsia"/>
                <w:szCs w:val="24"/>
              </w:rPr>
              <w:t>深化耗材化战略，</w:t>
            </w:r>
            <w:r w:rsidRPr="00E1270C">
              <w:rPr>
                <w:szCs w:val="24"/>
              </w:rPr>
              <w:t>着力推动手术动力装置的持续普及应用及其刀头的耗材化</w:t>
            </w:r>
            <w:r w:rsidRPr="00E1270C">
              <w:rPr>
                <w:rFonts w:hint="eastAsia"/>
                <w:szCs w:val="24"/>
              </w:rPr>
              <w:t>。</w:t>
            </w:r>
          </w:p>
          <w:p w14:paraId="4ADA3D3D" w14:textId="77777777" w:rsidR="00842ACC" w:rsidRPr="00E1270C" w:rsidRDefault="00842ACC" w:rsidP="00842ACC">
            <w:pPr>
              <w:ind w:firstLineChars="200" w:firstLine="480"/>
              <w:rPr>
                <w:szCs w:val="24"/>
              </w:rPr>
            </w:pPr>
          </w:p>
          <w:p w14:paraId="490F55A8" w14:textId="59A9FE0D" w:rsidR="00C57746" w:rsidRPr="00E1270C" w:rsidRDefault="00F3095F" w:rsidP="00C57746">
            <w:pPr>
              <w:rPr>
                <w:b/>
                <w:bCs/>
                <w:szCs w:val="24"/>
                <w:u w:val="single"/>
              </w:rPr>
            </w:pPr>
            <w:r w:rsidRPr="00E1270C">
              <w:rPr>
                <w:rFonts w:hint="eastAsia"/>
                <w:b/>
                <w:bCs/>
                <w:szCs w:val="24"/>
                <w:u w:val="single"/>
              </w:rPr>
              <w:t>问题二：</w:t>
            </w:r>
            <w:r w:rsidR="00C57746" w:rsidRPr="00E1270C">
              <w:rPr>
                <w:rFonts w:hint="eastAsia"/>
                <w:b/>
                <w:bCs/>
                <w:szCs w:val="24"/>
                <w:u w:val="single"/>
              </w:rPr>
              <w:t>公司</w:t>
            </w:r>
            <w:r w:rsidR="00E14352" w:rsidRPr="00E1270C">
              <w:rPr>
                <w:rFonts w:hint="eastAsia"/>
                <w:b/>
                <w:bCs/>
                <w:szCs w:val="24"/>
                <w:u w:val="single"/>
              </w:rPr>
              <w:t>2026</w:t>
            </w:r>
            <w:r w:rsidR="00E14352" w:rsidRPr="00E1270C">
              <w:rPr>
                <w:rFonts w:hint="eastAsia"/>
                <w:b/>
                <w:bCs/>
                <w:szCs w:val="24"/>
                <w:u w:val="single"/>
              </w:rPr>
              <w:t>年</w:t>
            </w:r>
            <w:r w:rsidR="00C53899" w:rsidRPr="00E1270C">
              <w:rPr>
                <w:rFonts w:hint="eastAsia"/>
                <w:b/>
                <w:bCs/>
                <w:szCs w:val="24"/>
                <w:u w:val="single"/>
              </w:rPr>
              <w:t>投并购及产业合作</w:t>
            </w:r>
            <w:r w:rsidR="00E14352" w:rsidRPr="00E1270C">
              <w:rPr>
                <w:rFonts w:hint="eastAsia"/>
                <w:b/>
                <w:bCs/>
                <w:szCs w:val="24"/>
                <w:u w:val="single"/>
              </w:rPr>
              <w:t>计划？</w:t>
            </w:r>
          </w:p>
          <w:p w14:paraId="51B8F857" w14:textId="1D98228E" w:rsidR="00F5756F" w:rsidRPr="00E1270C" w:rsidRDefault="00F5756F" w:rsidP="0087616F">
            <w:pPr>
              <w:ind w:firstLineChars="200" w:firstLine="480"/>
              <w:rPr>
                <w:szCs w:val="24"/>
              </w:rPr>
            </w:pPr>
            <w:r w:rsidRPr="00E1270C">
              <w:rPr>
                <w:szCs w:val="24"/>
              </w:rPr>
              <w:t>公司在</w:t>
            </w:r>
            <w:r w:rsidRPr="00E1270C">
              <w:rPr>
                <w:szCs w:val="24"/>
              </w:rPr>
              <w:t>2026</w:t>
            </w:r>
            <w:r w:rsidRPr="00E1270C">
              <w:rPr>
                <w:szCs w:val="24"/>
              </w:rPr>
              <w:t>年将加大战略合作及并购力度</w:t>
            </w:r>
            <w:r w:rsidRPr="00E1270C">
              <w:rPr>
                <w:rFonts w:hint="eastAsia"/>
                <w:szCs w:val="24"/>
              </w:rPr>
              <w:t>，</w:t>
            </w:r>
            <w:r w:rsidRPr="00E1270C">
              <w:rPr>
                <w:szCs w:val="24"/>
              </w:rPr>
              <w:t>在坚持</w:t>
            </w:r>
            <w:r w:rsidRPr="00E1270C">
              <w:rPr>
                <w:szCs w:val="24"/>
              </w:rPr>
              <w:t>"</w:t>
            </w:r>
            <w:r w:rsidRPr="00E1270C">
              <w:rPr>
                <w:szCs w:val="24"/>
              </w:rPr>
              <w:t>微创手术工具整体方案提供者</w:t>
            </w:r>
            <w:r w:rsidRPr="00E1270C">
              <w:rPr>
                <w:szCs w:val="24"/>
              </w:rPr>
              <w:t>"</w:t>
            </w:r>
            <w:r w:rsidRPr="00E1270C">
              <w:rPr>
                <w:szCs w:val="24"/>
              </w:rPr>
              <w:t>战略定位的前提下，发挥公司在微创手术工具、微电机等领域的核心优势，通过探讨合适的方式进行业务拓展。</w:t>
            </w:r>
          </w:p>
          <w:p w14:paraId="31FD859A" w14:textId="65FB30FF" w:rsidR="00F5756F" w:rsidRPr="00E1270C" w:rsidRDefault="00F5756F" w:rsidP="00F5756F">
            <w:pPr>
              <w:ind w:firstLineChars="200" w:firstLine="480"/>
              <w:rPr>
                <w:szCs w:val="24"/>
              </w:rPr>
            </w:pPr>
            <w:r w:rsidRPr="00E1270C">
              <w:rPr>
                <w:rFonts w:hint="eastAsia"/>
                <w:szCs w:val="24"/>
              </w:rPr>
              <w:t>具体来看：</w:t>
            </w:r>
          </w:p>
          <w:p w14:paraId="6EEB04D3" w14:textId="056E7A08" w:rsidR="00F5756F" w:rsidRPr="00E1270C" w:rsidRDefault="00F5756F" w:rsidP="00F5756F">
            <w:pPr>
              <w:ind w:firstLineChars="200" w:firstLine="480"/>
            </w:pPr>
            <w:r w:rsidRPr="00E1270C">
              <w:rPr>
                <w:rFonts w:hint="eastAsia"/>
                <w:szCs w:val="24"/>
              </w:rPr>
              <w:t>一是</w:t>
            </w:r>
            <w:r w:rsidRPr="00E1270C">
              <w:rPr>
                <w:rFonts w:hint="eastAsia"/>
              </w:rPr>
              <w:t>围绕微创手术器械大方向，通过并购扩充产品线</w:t>
            </w:r>
            <w:r w:rsidR="00856294" w:rsidRPr="00E1270C">
              <w:rPr>
                <w:rFonts w:hint="eastAsia"/>
              </w:rPr>
              <w:t>或者销售渠道</w:t>
            </w:r>
            <w:r w:rsidRPr="00E1270C">
              <w:rPr>
                <w:rFonts w:hint="eastAsia"/>
              </w:rPr>
              <w:t>；</w:t>
            </w:r>
          </w:p>
          <w:p w14:paraId="5312EC8D" w14:textId="4AB6EDB8" w:rsidR="00856294" w:rsidRPr="00E1270C" w:rsidRDefault="00F5756F" w:rsidP="00856294">
            <w:pPr>
              <w:ind w:firstLineChars="200" w:firstLine="480"/>
            </w:pPr>
            <w:r w:rsidRPr="00E1270C">
              <w:rPr>
                <w:rFonts w:hint="eastAsia"/>
              </w:rPr>
              <w:t>二是依托于公司现有优势核心技术，</w:t>
            </w:r>
            <w:r w:rsidRPr="00E1270C">
              <w:rPr>
                <w:szCs w:val="24"/>
              </w:rPr>
              <w:t>关注具备前瞻技术、明确研发路径及高商业化潜力的项目，紧跟如神经外科领域的神经调控技术、医疗机器人等前沿方向，</w:t>
            </w:r>
            <w:r w:rsidRPr="00E1270C">
              <w:rPr>
                <w:rFonts w:hint="eastAsia"/>
              </w:rPr>
              <w:t>通过产业合作、并购等方式切入其它高成长赛道，打开成长天花板。</w:t>
            </w:r>
          </w:p>
          <w:p w14:paraId="74B94F38" w14:textId="4915B48E" w:rsidR="00F5756F" w:rsidRPr="00E1270C" w:rsidRDefault="00F5756F" w:rsidP="0087616F">
            <w:pPr>
              <w:ind w:firstLineChars="200" w:firstLine="480"/>
              <w:rPr>
                <w:szCs w:val="24"/>
              </w:rPr>
            </w:pPr>
            <w:r w:rsidRPr="00E1270C">
              <w:rPr>
                <w:szCs w:val="24"/>
              </w:rPr>
              <w:t>这一战略是公司</w:t>
            </w:r>
            <w:r w:rsidRPr="00E1270C">
              <w:rPr>
                <w:szCs w:val="24"/>
              </w:rPr>
              <w:t>"</w:t>
            </w:r>
            <w:r w:rsidRPr="00E1270C">
              <w:rPr>
                <w:szCs w:val="24"/>
              </w:rPr>
              <w:t>内生发展</w:t>
            </w:r>
            <w:r w:rsidRPr="00E1270C">
              <w:rPr>
                <w:szCs w:val="24"/>
              </w:rPr>
              <w:t>"+"</w:t>
            </w:r>
            <w:r w:rsidRPr="00E1270C">
              <w:rPr>
                <w:szCs w:val="24"/>
              </w:rPr>
              <w:t>外延发展</w:t>
            </w:r>
            <w:r w:rsidRPr="00E1270C">
              <w:rPr>
                <w:szCs w:val="24"/>
              </w:rPr>
              <w:t>"</w:t>
            </w:r>
            <w:r w:rsidRPr="00E1270C">
              <w:rPr>
                <w:szCs w:val="24"/>
              </w:rPr>
              <w:t>双路增长策</w:t>
            </w:r>
            <w:r w:rsidRPr="009551BA">
              <w:rPr>
                <w:szCs w:val="24"/>
              </w:rPr>
              <w:t>略的重要组成部分，旨在通过战略合作及并购实现业务拓展和增长。公司将</w:t>
            </w:r>
            <w:r w:rsidR="009A0F79" w:rsidRPr="009551BA">
              <w:rPr>
                <w:rFonts w:hint="eastAsia"/>
                <w:szCs w:val="24"/>
              </w:rPr>
              <w:t>优先选择已具备稳定营收及利润、资质积淀、成熟渠道以及客户资源的标的，</w:t>
            </w:r>
            <w:r w:rsidRPr="009551BA">
              <w:rPr>
                <w:szCs w:val="24"/>
              </w:rPr>
              <w:t>在</w:t>
            </w:r>
            <w:r w:rsidRPr="009551BA">
              <w:rPr>
                <w:szCs w:val="24"/>
              </w:rPr>
              <w:t>"</w:t>
            </w:r>
            <w:r w:rsidRPr="009551BA">
              <w:rPr>
                <w:szCs w:val="24"/>
              </w:rPr>
              <w:t>创新驱动</w:t>
            </w:r>
            <w:r w:rsidRPr="009551BA">
              <w:rPr>
                <w:szCs w:val="24"/>
              </w:rPr>
              <w:t>"+"</w:t>
            </w:r>
            <w:r w:rsidRPr="009551BA">
              <w:rPr>
                <w:szCs w:val="24"/>
              </w:rPr>
              <w:t>资本驱动</w:t>
            </w:r>
            <w:r w:rsidRPr="009551BA">
              <w:rPr>
                <w:szCs w:val="24"/>
              </w:rPr>
              <w:t>"</w:t>
            </w:r>
            <w:r w:rsidRPr="009551BA">
              <w:rPr>
                <w:szCs w:val="24"/>
              </w:rPr>
              <w:t>的双轮驱动策略基础上，开启新的增长模式。</w:t>
            </w:r>
          </w:p>
          <w:p w14:paraId="53158454" w14:textId="77777777" w:rsidR="000720DF" w:rsidRPr="00E1270C" w:rsidRDefault="000720DF" w:rsidP="00C57746">
            <w:pPr>
              <w:ind w:firstLineChars="200" w:firstLine="480"/>
              <w:rPr>
                <w:szCs w:val="24"/>
              </w:rPr>
            </w:pPr>
          </w:p>
          <w:p w14:paraId="0A9A543C" w14:textId="66CA8DA0" w:rsidR="000720DF" w:rsidRPr="00E1270C" w:rsidRDefault="000720DF" w:rsidP="000720DF">
            <w:pPr>
              <w:rPr>
                <w:b/>
                <w:bCs/>
                <w:szCs w:val="24"/>
                <w:u w:val="single"/>
              </w:rPr>
            </w:pPr>
            <w:r w:rsidRPr="00E1270C">
              <w:rPr>
                <w:rFonts w:hint="eastAsia"/>
                <w:b/>
                <w:bCs/>
                <w:szCs w:val="24"/>
                <w:u w:val="single"/>
              </w:rPr>
              <w:lastRenderedPageBreak/>
              <w:t>问题三：请介绍下对国际市场的未来展望和战略定位</w:t>
            </w:r>
            <w:r w:rsidRPr="00E1270C">
              <w:rPr>
                <w:rFonts w:hint="eastAsia"/>
                <w:b/>
                <w:bCs/>
                <w:szCs w:val="24"/>
                <w:u w:val="single"/>
              </w:rPr>
              <w:t>?</w:t>
            </w:r>
          </w:p>
          <w:p w14:paraId="0537C2E2" w14:textId="36922771" w:rsidR="00A20DA1" w:rsidRDefault="000C5CD6" w:rsidP="000720DF">
            <w:pPr>
              <w:ind w:firstLineChars="200" w:firstLine="480"/>
              <w:rPr>
                <w:szCs w:val="24"/>
              </w:rPr>
            </w:pPr>
            <w:r w:rsidRPr="00E1270C">
              <w:rPr>
                <w:szCs w:val="24"/>
              </w:rPr>
              <w:t>在国际市场拓展方面，公司持续加大国际注册与推广投入，产品已覆盖全球</w:t>
            </w:r>
            <w:r w:rsidRPr="00E1270C">
              <w:rPr>
                <w:szCs w:val="24"/>
              </w:rPr>
              <w:t>46</w:t>
            </w:r>
            <w:r w:rsidRPr="00E1270C">
              <w:rPr>
                <w:szCs w:val="24"/>
              </w:rPr>
              <w:t>个国家和地区。</w:t>
            </w:r>
            <w:r w:rsidRPr="00E1270C">
              <w:rPr>
                <w:szCs w:val="24"/>
              </w:rPr>
              <w:t>2025</w:t>
            </w:r>
            <w:r w:rsidRPr="00E1270C">
              <w:rPr>
                <w:szCs w:val="24"/>
              </w:rPr>
              <w:t>年</w:t>
            </w:r>
            <w:r w:rsidR="00A20DA1">
              <w:rPr>
                <w:rFonts w:hint="eastAsia"/>
                <w:szCs w:val="24"/>
              </w:rPr>
              <w:t>下半年</w:t>
            </w:r>
            <w:r w:rsidRPr="00E1270C">
              <w:rPr>
                <w:szCs w:val="24"/>
              </w:rPr>
              <w:t>，公司手术动力装置产品成功获得欧盟</w:t>
            </w:r>
            <w:r w:rsidRPr="00E1270C">
              <w:rPr>
                <w:szCs w:val="24"/>
              </w:rPr>
              <w:t>CE-MDR</w:t>
            </w:r>
            <w:r w:rsidRPr="00E1270C">
              <w:rPr>
                <w:szCs w:val="24"/>
              </w:rPr>
              <w:t>认证，这一重要资质将对未来国际产品准入及销售产生显著的积极影响。</w:t>
            </w:r>
            <w:r w:rsidR="00E1270C" w:rsidRPr="00E1270C">
              <w:rPr>
                <w:rFonts w:hint="eastAsia"/>
                <w:szCs w:val="24"/>
              </w:rPr>
              <w:t>公司也将</w:t>
            </w:r>
            <w:r w:rsidR="00E1270C" w:rsidRPr="00E1270C">
              <w:rPr>
                <w:szCs w:val="24"/>
              </w:rPr>
              <w:t>依托手术动力装置取得</w:t>
            </w:r>
            <w:r w:rsidR="00E1270C" w:rsidRPr="00E1270C">
              <w:rPr>
                <w:szCs w:val="24"/>
              </w:rPr>
              <w:t>CE</w:t>
            </w:r>
            <w:r w:rsidR="00E1270C" w:rsidRPr="00E1270C">
              <w:rPr>
                <w:szCs w:val="24"/>
              </w:rPr>
              <w:t>认证</w:t>
            </w:r>
            <w:r w:rsidR="00A20DA1">
              <w:rPr>
                <w:rFonts w:hint="eastAsia"/>
                <w:szCs w:val="24"/>
              </w:rPr>
              <w:t>的经验</w:t>
            </w:r>
            <w:r w:rsidR="00E1270C" w:rsidRPr="00E1270C">
              <w:rPr>
                <w:szCs w:val="24"/>
              </w:rPr>
              <w:t>，加速推进内窥镜、等离子等多产品</w:t>
            </w:r>
            <w:r w:rsidR="00A20DA1">
              <w:rPr>
                <w:rFonts w:hint="eastAsia"/>
                <w:szCs w:val="24"/>
              </w:rPr>
              <w:t>的</w:t>
            </w:r>
            <w:r w:rsidR="00E1270C" w:rsidRPr="00E1270C">
              <w:rPr>
                <w:szCs w:val="24"/>
              </w:rPr>
              <w:t>注册，</w:t>
            </w:r>
            <w:r w:rsidR="00A20DA1">
              <w:rPr>
                <w:rFonts w:hint="eastAsia"/>
                <w:szCs w:val="24"/>
              </w:rPr>
              <w:t>以及</w:t>
            </w:r>
            <w:r w:rsidR="0059197E">
              <w:rPr>
                <w:rFonts w:hint="eastAsia"/>
                <w:szCs w:val="24"/>
              </w:rPr>
              <w:t>手术动力装置、能量手术设备与内窥镜</w:t>
            </w:r>
            <w:r w:rsidR="00A20DA1">
              <w:rPr>
                <w:rFonts w:hint="eastAsia"/>
                <w:szCs w:val="24"/>
              </w:rPr>
              <w:t>相关产品在全球的注册</w:t>
            </w:r>
            <w:r w:rsidR="0059197E">
              <w:rPr>
                <w:rFonts w:hint="eastAsia"/>
                <w:szCs w:val="24"/>
              </w:rPr>
              <w:t>及</w:t>
            </w:r>
            <w:r w:rsidR="00A20DA1">
              <w:rPr>
                <w:rFonts w:hint="eastAsia"/>
                <w:szCs w:val="24"/>
              </w:rPr>
              <w:t>准入。</w:t>
            </w:r>
          </w:p>
          <w:p w14:paraId="5B48F8D1" w14:textId="40102748" w:rsidR="000C5CD6" w:rsidRPr="00E1270C" w:rsidRDefault="00E1270C" w:rsidP="00E1270C">
            <w:pPr>
              <w:ind w:firstLineChars="200" w:firstLine="480"/>
              <w:rPr>
                <w:szCs w:val="24"/>
              </w:rPr>
            </w:pPr>
            <w:r w:rsidRPr="00E1270C">
              <w:rPr>
                <w:rFonts w:hint="eastAsia"/>
                <w:szCs w:val="24"/>
              </w:rPr>
              <w:t>此外，</w:t>
            </w:r>
            <w:r w:rsidR="000C5CD6" w:rsidRPr="00E1270C">
              <w:rPr>
                <w:szCs w:val="24"/>
              </w:rPr>
              <w:t>公司通过筛选目标国家具备</w:t>
            </w:r>
            <w:r w:rsidR="0019508F">
              <w:rPr>
                <w:rFonts w:hint="eastAsia"/>
                <w:szCs w:val="24"/>
              </w:rPr>
              <w:t>公司现有优势科室</w:t>
            </w:r>
            <w:r w:rsidR="0019508F">
              <w:rPr>
                <w:rFonts w:hint="eastAsia"/>
                <w:szCs w:val="24"/>
              </w:rPr>
              <w:t>的</w:t>
            </w:r>
            <w:r w:rsidR="000C5CD6" w:rsidRPr="00E1270C">
              <w:rPr>
                <w:szCs w:val="24"/>
              </w:rPr>
              <w:t>区域资源与</w:t>
            </w:r>
            <w:r w:rsidR="00577D93">
              <w:rPr>
                <w:rFonts w:hint="eastAsia"/>
                <w:szCs w:val="24"/>
              </w:rPr>
              <w:t>渠道</w:t>
            </w:r>
            <w:r w:rsidR="000C5CD6" w:rsidRPr="00E1270C">
              <w:rPr>
                <w:szCs w:val="24"/>
              </w:rPr>
              <w:t>的经销商建立合作，授权其负责当地市场的推广、渠道建设及终端医院的销售拓展，同时公司会为经销商提供必要的产品培训与业务指导，以保障国际业务的稳健增长。综上所述，公司通过夯实产品技术基础、获取关键国际认证、构建全球经销网络以及清晰的战略路径，为国际市场的长远发展奠定了坚实基础。</w:t>
            </w:r>
            <w:r w:rsidRPr="00E1270C">
              <w:rPr>
                <w:szCs w:val="24"/>
              </w:rPr>
              <w:t>公司致力于寻找专业、优质、合适的国际合作伙伴，通过强强联合提升市场拓展的宽度和效率，海外市场的发展前景值得期待。</w:t>
            </w:r>
          </w:p>
          <w:p w14:paraId="00A57FE4" w14:textId="77777777" w:rsidR="00F3095F" w:rsidRPr="00E1270C" w:rsidRDefault="00F3095F" w:rsidP="00F3095F">
            <w:pPr>
              <w:ind w:firstLineChars="200" w:firstLine="480"/>
              <w:rPr>
                <w:szCs w:val="24"/>
              </w:rPr>
            </w:pPr>
          </w:p>
          <w:p w14:paraId="05BD0FB8" w14:textId="77777777" w:rsidR="00EF6F35" w:rsidRPr="00E1270C" w:rsidRDefault="00EF6F35" w:rsidP="00EF6F35">
            <w:pPr>
              <w:rPr>
                <w:b/>
                <w:bCs/>
                <w:szCs w:val="24"/>
                <w:u w:val="single"/>
              </w:rPr>
            </w:pPr>
            <w:r w:rsidRPr="00E1270C">
              <w:rPr>
                <w:rFonts w:hint="eastAsia"/>
                <w:b/>
                <w:bCs/>
                <w:szCs w:val="24"/>
                <w:u w:val="single"/>
              </w:rPr>
              <w:t>问题四：请更新一下目前公司主要产品带量采购的情况，</w:t>
            </w:r>
            <w:r w:rsidRPr="00E1270C">
              <w:rPr>
                <w:rFonts w:hint="eastAsia"/>
                <w:b/>
                <w:bCs/>
                <w:szCs w:val="24"/>
                <w:u w:val="single"/>
              </w:rPr>
              <w:t>2026</w:t>
            </w:r>
            <w:r w:rsidRPr="00E1270C">
              <w:rPr>
                <w:rFonts w:hint="eastAsia"/>
                <w:b/>
                <w:bCs/>
                <w:szCs w:val="24"/>
                <w:u w:val="single"/>
              </w:rPr>
              <w:t>年有没有其他产品带量采购的可能？</w:t>
            </w:r>
          </w:p>
          <w:p w14:paraId="4110CC20" w14:textId="177E3C37" w:rsidR="00EF6F35" w:rsidRPr="00E1270C" w:rsidRDefault="00EF6F35" w:rsidP="00EF6F35">
            <w:pPr>
              <w:ind w:firstLineChars="200" w:firstLine="480"/>
              <w:rPr>
                <w:szCs w:val="24"/>
              </w:rPr>
            </w:pPr>
            <w:r w:rsidRPr="00E1270C">
              <w:rPr>
                <w:szCs w:val="24"/>
              </w:rPr>
              <w:t>截至</w:t>
            </w:r>
            <w:r w:rsidRPr="00E1270C">
              <w:rPr>
                <w:szCs w:val="24"/>
              </w:rPr>
              <w:t>2025</w:t>
            </w:r>
            <w:r w:rsidRPr="00E1270C">
              <w:rPr>
                <w:szCs w:val="24"/>
              </w:rPr>
              <w:t>年末，公司各类产品的带量采购进展如下：手术动力装置中的一次性使用乳房旋切活检针已经中选乳房旋切针全国联采项目（项目编号：</w:t>
            </w:r>
            <w:r w:rsidRPr="00E1270C">
              <w:rPr>
                <w:szCs w:val="24"/>
              </w:rPr>
              <w:t>ZJHCCG-2024-01</w:t>
            </w:r>
            <w:r w:rsidRPr="00E1270C">
              <w:rPr>
                <w:szCs w:val="24"/>
              </w:rPr>
              <w:t>）。能量手术设备方面，一次性使用双极射频手术刀头已中选国家组织骨科脊柱类耗材集中带量采购（项目编号：</w:t>
            </w:r>
            <w:r w:rsidRPr="00E1270C">
              <w:rPr>
                <w:szCs w:val="24"/>
              </w:rPr>
              <w:t>GH-HD2022-1</w:t>
            </w:r>
            <w:r w:rsidRPr="00E1270C">
              <w:rPr>
                <w:szCs w:val="24"/>
              </w:rPr>
              <w:t>）；一次性使用等离子手术电极已中选安徽省一次性射频、等离子刀头等医用耗材集中带量采购（项目编</w:t>
            </w:r>
            <w:r w:rsidRPr="00066408">
              <w:rPr>
                <w:szCs w:val="24"/>
              </w:rPr>
              <w:t>号：</w:t>
            </w:r>
            <w:r w:rsidRPr="00066408">
              <w:rPr>
                <w:szCs w:val="24"/>
              </w:rPr>
              <w:t>AHYYCG-2023-01</w:t>
            </w:r>
            <w:r w:rsidRPr="00066408">
              <w:rPr>
                <w:szCs w:val="24"/>
              </w:rPr>
              <w:t>）；一次性使用超声软组织手术刀头已中选广东省等</w:t>
            </w:r>
            <w:r w:rsidRPr="00066408">
              <w:rPr>
                <w:szCs w:val="24"/>
              </w:rPr>
              <w:t>16</w:t>
            </w:r>
            <w:r w:rsidRPr="00066408">
              <w:rPr>
                <w:szCs w:val="24"/>
              </w:rPr>
              <w:t>个联盟地区医用耗材集中带量采购（项目编号：</w:t>
            </w:r>
            <w:r w:rsidRPr="00066408">
              <w:rPr>
                <w:szCs w:val="24"/>
              </w:rPr>
              <w:t>SZGGZYHCDL202401</w:t>
            </w:r>
            <w:r w:rsidRPr="00066408">
              <w:rPr>
                <w:szCs w:val="24"/>
              </w:rPr>
              <w:t>）</w:t>
            </w:r>
            <w:r w:rsidR="00066408" w:rsidRPr="00066408">
              <w:rPr>
                <w:rFonts w:hint="eastAsia"/>
                <w:szCs w:val="24"/>
              </w:rPr>
              <w:t>、</w:t>
            </w:r>
            <w:r w:rsidRPr="00066408">
              <w:rPr>
                <w:szCs w:val="24"/>
              </w:rPr>
              <w:t>川渝联盟超声刀头医用耗材带量联动采购（项目编号：</w:t>
            </w:r>
            <w:r w:rsidRPr="00066408">
              <w:rPr>
                <w:szCs w:val="24"/>
              </w:rPr>
              <w:t>CS-HCDL-2023-1</w:t>
            </w:r>
            <w:r w:rsidRPr="00066408">
              <w:rPr>
                <w:szCs w:val="24"/>
              </w:rPr>
              <w:t>）</w:t>
            </w:r>
            <w:r w:rsidR="00066408" w:rsidRPr="00066408">
              <w:rPr>
                <w:rFonts w:hint="eastAsia"/>
                <w:szCs w:val="24"/>
              </w:rPr>
              <w:t>以及</w:t>
            </w:r>
            <w:r w:rsidR="00066408" w:rsidRPr="00066408">
              <w:rPr>
                <w:szCs w:val="24"/>
              </w:rPr>
              <w:t>江苏省第七、八轮医用耗材接续采购</w:t>
            </w:r>
            <w:r w:rsidR="00066408" w:rsidRPr="00066408">
              <w:rPr>
                <w:rFonts w:hint="eastAsia"/>
                <w:szCs w:val="24"/>
              </w:rPr>
              <w:t>（</w:t>
            </w:r>
            <w:r w:rsidR="00066408" w:rsidRPr="00066408">
              <w:rPr>
                <w:szCs w:val="24"/>
              </w:rPr>
              <w:t>超声刀项目</w:t>
            </w:r>
            <w:r w:rsidR="00066408" w:rsidRPr="00066408">
              <w:rPr>
                <w:rFonts w:hint="eastAsia"/>
                <w:szCs w:val="24"/>
              </w:rPr>
              <w:t>）</w:t>
            </w:r>
            <w:r w:rsidRPr="00066408">
              <w:rPr>
                <w:szCs w:val="24"/>
              </w:rPr>
              <w:t>。</w:t>
            </w:r>
            <w:r w:rsidRPr="00E1270C">
              <w:rPr>
                <w:szCs w:val="24"/>
              </w:rPr>
              <w:t>公司的内窥镜系统产品截至</w:t>
            </w:r>
            <w:r w:rsidR="00A257D7">
              <w:rPr>
                <w:rFonts w:hint="eastAsia"/>
                <w:szCs w:val="24"/>
              </w:rPr>
              <w:t>目前</w:t>
            </w:r>
            <w:r w:rsidRPr="00E1270C">
              <w:rPr>
                <w:szCs w:val="24"/>
              </w:rPr>
              <w:t>尚未纳入国家或各省市的集中带量采购名单。</w:t>
            </w:r>
          </w:p>
          <w:p w14:paraId="1B5834EB" w14:textId="26AB61E9" w:rsidR="00F3095F" w:rsidRDefault="00EF6F35" w:rsidP="000720DF">
            <w:pPr>
              <w:ind w:firstLineChars="200" w:firstLine="480"/>
              <w:rPr>
                <w:szCs w:val="24"/>
              </w:rPr>
            </w:pPr>
            <w:r w:rsidRPr="00E1270C">
              <w:rPr>
                <w:rFonts w:hint="eastAsia"/>
                <w:szCs w:val="24"/>
              </w:rPr>
              <w:t>从公司的角度看，当前带量采购政策主要针对部分临床用量较大、采购金额较高、临床使用较成熟、市场竞争较充分、同质化水平较高的高值医用耗材，除目前已实施带量</w:t>
            </w:r>
            <w:r w:rsidR="00402029">
              <w:rPr>
                <w:rFonts w:hint="eastAsia"/>
                <w:szCs w:val="24"/>
              </w:rPr>
              <w:t>采购</w:t>
            </w:r>
            <w:r w:rsidRPr="00E1270C">
              <w:rPr>
                <w:rFonts w:hint="eastAsia"/>
                <w:szCs w:val="24"/>
              </w:rPr>
              <w:t>的产品外，目前在公司营收中占比较大的其他类别产品</w:t>
            </w:r>
            <w:r w:rsidRPr="00E1270C">
              <w:rPr>
                <w:rFonts w:hint="eastAsia"/>
                <w:szCs w:val="24"/>
              </w:rPr>
              <w:t>2026</w:t>
            </w:r>
            <w:r w:rsidRPr="00E1270C">
              <w:rPr>
                <w:rFonts w:hint="eastAsia"/>
                <w:szCs w:val="24"/>
              </w:rPr>
              <w:t>年带量采购条件尚不成熟。不过，</w:t>
            </w:r>
            <w:r w:rsidRPr="00E1270C">
              <w:rPr>
                <w:szCs w:val="24"/>
              </w:rPr>
              <w:t>随着国家带量采购政策的持续推动</w:t>
            </w:r>
            <w:r w:rsidRPr="00E1270C">
              <w:rPr>
                <w:rFonts w:hint="eastAsia"/>
                <w:szCs w:val="24"/>
              </w:rPr>
              <w:t>，</w:t>
            </w:r>
            <w:r w:rsidRPr="00E1270C">
              <w:rPr>
                <w:szCs w:val="24"/>
              </w:rPr>
              <w:t>未来公司产品被纳入执行带量采购的范围可能继续扩大</w:t>
            </w:r>
            <w:r w:rsidRPr="00E1270C">
              <w:rPr>
                <w:rFonts w:hint="eastAsia"/>
                <w:szCs w:val="24"/>
              </w:rPr>
              <w:t>，</w:t>
            </w:r>
            <w:r w:rsidRPr="00E1270C">
              <w:rPr>
                <w:szCs w:val="24"/>
              </w:rPr>
              <w:t>这是一个行业性</w:t>
            </w:r>
            <w:r w:rsidRPr="00E1270C">
              <w:rPr>
                <w:szCs w:val="24"/>
              </w:rPr>
              <w:lastRenderedPageBreak/>
              <w:t>的趋势判断。</w:t>
            </w:r>
            <w:r w:rsidRPr="00E1270C">
              <w:rPr>
                <w:rFonts w:hint="eastAsia"/>
                <w:szCs w:val="24"/>
              </w:rPr>
              <w:t>鉴于</w:t>
            </w:r>
            <w:r w:rsidRPr="00E1270C">
              <w:rPr>
                <w:szCs w:val="24"/>
              </w:rPr>
              <w:t>带量采购的具体实施由国家和省级医保部门主导，公司将持续关注相关政策动态，</w:t>
            </w:r>
            <w:r w:rsidRPr="00E1270C">
              <w:rPr>
                <w:rFonts w:hint="eastAsia"/>
                <w:szCs w:val="24"/>
              </w:rPr>
              <w:t>及时应对，</w:t>
            </w:r>
            <w:r w:rsidRPr="00E1270C">
              <w:rPr>
                <w:szCs w:val="24"/>
              </w:rPr>
              <w:t>并依照</w:t>
            </w:r>
            <w:bookmarkStart w:id="1" w:name="OLE_LINK3"/>
            <w:r w:rsidRPr="00E1270C">
              <w:rPr>
                <w:szCs w:val="24"/>
              </w:rPr>
              <w:t>规定及时履行信息披露义务</w:t>
            </w:r>
            <w:bookmarkEnd w:id="1"/>
            <w:r w:rsidRPr="00E1270C">
              <w:rPr>
                <w:szCs w:val="24"/>
              </w:rPr>
              <w:t>。</w:t>
            </w:r>
          </w:p>
          <w:p w14:paraId="2ECA3FA2" w14:textId="3CB14D8C" w:rsidR="005F3A58" w:rsidRPr="00A76355" w:rsidRDefault="005F3A58" w:rsidP="000720DF">
            <w:pPr>
              <w:ind w:firstLineChars="200" w:firstLine="480"/>
              <w:rPr>
                <w:szCs w:val="24"/>
              </w:rPr>
            </w:pPr>
          </w:p>
        </w:tc>
      </w:tr>
      <w:tr w:rsidR="00004524" w14:paraId="05D59383" w14:textId="77777777">
        <w:tc>
          <w:tcPr>
            <w:tcW w:w="2405" w:type="dxa"/>
          </w:tcPr>
          <w:p w14:paraId="059632CD" w14:textId="77777777" w:rsidR="00004524" w:rsidRDefault="00004524">
            <w:pPr>
              <w:jc w:val="center"/>
              <w:rPr>
                <w:b/>
                <w:bCs/>
                <w:szCs w:val="24"/>
              </w:rPr>
            </w:pPr>
          </w:p>
          <w:p w14:paraId="6E278C21" w14:textId="77777777" w:rsidR="00004524" w:rsidRDefault="00000000">
            <w:pPr>
              <w:jc w:val="center"/>
              <w:rPr>
                <w:b/>
                <w:bCs/>
                <w:szCs w:val="24"/>
              </w:rPr>
            </w:pPr>
            <w:r>
              <w:rPr>
                <w:rFonts w:hint="eastAsia"/>
                <w:b/>
                <w:bCs/>
                <w:szCs w:val="24"/>
              </w:rPr>
              <w:t>附件清单（如有）</w:t>
            </w:r>
          </w:p>
        </w:tc>
        <w:tc>
          <w:tcPr>
            <w:tcW w:w="5891" w:type="dxa"/>
          </w:tcPr>
          <w:p w14:paraId="7E37CDE3" w14:textId="77777777" w:rsidR="00004524" w:rsidRDefault="00004524">
            <w:pPr>
              <w:jc w:val="center"/>
              <w:rPr>
                <w:szCs w:val="24"/>
              </w:rPr>
            </w:pPr>
          </w:p>
          <w:p w14:paraId="3DE28011" w14:textId="77777777" w:rsidR="00004524" w:rsidRDefault="00000000">
            <w:pPr>
              <w:jc w:val="left"/>
              <w:rPr>
                <w:szCs w:val="24"/>
              </w:rPr>
            </w:pPr>
            <w:r>
              <w:rPr>
                <w:rFonts w:hint="eastAsia"/>
                <w:szCs w:val="24"/>
              </w:rPr>
              <w:t>无</w:t>
            </w:r>
          </w:p>
          <w:p w14:paraId="3557D6BB" w14:textId="77777777" w:rsidR="00004524" w:rsidRDefault="00004524">
            <w:pPr>
              <w:jc w:val="center"/>
              <w:rPr>
                <w:szCs w:val="24"/>
              </w:rPr>
            </w:pPr>
          </w:p>
        </w:tc>
      </w:tr>
    </w:tbl>
    <w:p w14:paraId="6D88B851" w14:textId="77777777" w:rsidR="00004524" w:rsidRDefault="00004524">
      <w:pPr>
        <w:spacing w:line="360" w:lineRule="auto"/>
        <w:rPr>
          <w:szCs w:val="24"/>
        </w:rPr>
      </w:pPr>
    </w:p>
    <w:p w14:paraId="3113F051" w14:textId="75A8F600" w:rsidR="00004524" w:rsidRDefault="00004524">
      <w:pPr>
        <w:widowControl/>
        <w:jc w:val="left"/>
        <w:rPr>
          <w:szCs w:val="24"/>
        </w:rPr>
      </w:pPr>
    </w:p>
    <w:sectPr w:rsidR="000045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B17CD" w14:textId="77777777" w:rsidR="00BC079E" w:rsidRDefault="00BC079E" w:rsidP="00904B50">
      <w:r>
        <w:separator/>
      </w:r>
    </w:p>
  </w:endnote>
  <w:endnote w:type="continuationSeparator" w:id="0">
    <w:p w14:paraId="248E3BA7" w14:textId="77777777" w:rsidR="00BC079E" w:rsidRDefault="00BC079E" w:rsidP="0090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7DDED" w14:textId="77777777" w:rsidR="00BC079E" w:rsidRDefault="00BC079E" w:rsidP="00904B50">
      <w:r>
        <w:separator/>
      </w:r>
    </w:p>
  </w:footnote>
  <w:footnote w:type="continuationSeparator" w:id="0">
    <w:p w14:paraId="0E4FB37C" w14:textId="77777777" w:rsidR="00BC079E" w:rsidRDefault="00BC079E" w:rsidP="00904B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lkMDViZGM4MTk4OGNiOGMzYmIxODVhNDI5MTUwM2QifQ=="/>
  </w:docVars>
  <w:rsids>
    <w:rsidRoot w:val="00DC5E46"/>
    <w:rsid w:val="00004524"/>
    <w:rsid w:val="00017483"/>
    <w:rsid w:val="000271DD"/>
    <w:rsid w:val="0003116F"/>
    <w:rsid w:val="00031D08"/>
    <w:rsid w:val="0003407B"/>
    <w:rsid w:val="00037DC5"/>
    <w:rsid w:val="000478D3"/>
    <w:rsid w:val="0005049C"/>
    <w:rsid w:val="0005194A"/>
    <w:rsid w:val="00064B1C"/>
    <w:rsid w:val="00066408"/>
    <w:rsid w:val="000720DF"/>
    <w:rsid w:val="00076C89"/>
    <w:rsid w:val="000844BF"/>
    <w:rsid w:val="000973DD"/>
    <w:rsid w:val="000974A6"/>
    <w:rsid w:val="000A3EFF"/>
    <w:rsid w:val="000A546B"/>
    <w:rsid w:val="000B61FC"/>
    <w:rsid w:val="000C5CD6"/>
    <w:rsid w:val="000D2872"/>
    <w:rsid w:val="000E031D"/>
    <w:rsid w:val="000E1009"/>
    <w:rsid w:val="00100178"/>
    <w:rsid w:val="001041EB"/>
    <w:rsid w:val="0011088C"/>
    <w:rsid w:val="0012585B"/>
    <w:rsid w:val="0012629F"/>
    <w:rsid w:val="00131477"/>
    <w:rsid w:val="00133539"/>
    <w:rsid w:val="00171B17"/>
    <w:rsid w:val="0019508F"/>
    <w:rsid w:val="001971F2"/>
    <w:rsid w:val="001A4CFB"/>
    <w:rsid w:val="001D2CA8"/>
    <w:rsid w:val="001F0F88"/>
    <w:rsid w:val="001F79EE"/>
    <w:rsid w:val="00201F9B"/>
    <w:rsid w:val="0020500F"/>
    <w:rsid w:val="00205068"/>
    <w:rsid w:val="00205DC1"/>
    <w:rsid w:val="002067B2"/>
    <w:rsid w:val="00212A05"/>
    <w:rsid w:val="00216937"/>
    <w:rsid w:val="00220905"/>
    <w:rsid w:val="002366F1"/>
    <w:rsid w:val="00244EF2"/>
    <w:rsid w:val="00256604"/>
    <w:rsid w:val="00275786"/>
    <w:rsid w:val="00291F0B"/>
    <w:rsid w:val="00293A5E"/>
    <w:rsid w:val="00297953"/>
    <w:rsid w:val="002A57AF"/>
    <w:rsid w:val="002B133E"/>
    <w:rsid w:val="002C2856"/>
    <w:rsid w:val="002C3A9A"/>
    <w:rsid w:val="002D08F1"/>
    <w:rsid w:val="002F62B5"/>
    <w:rsid w:val="00313DE0"/>
    <w:rsid w:val="00315039"/>
    <w:rsid w:val="00316201"/>
    <w:rsid w:val="003232CC"/>
    <w:rsid w:val="00346FEC"/>
    <w:rsid w:val="0035146F"/>
    <w:rsid w:val="00357C54"/>
    <w:rsid w:val="0037279A"/>
    <w:rsid w:val="003A301F"/>
    <w:rsid w:val="003A3A46"/>
    <w:rsid w:val="003B7A8C"/>
    <w:rsid w:val="003C61AA"/>
    <w:rsid w:val="003D5C43"/>
    <w:rsid w:val="003E7FB7"/>
    <w:rsid w:val="003F399B"/>
    <w:rsid w:val="003F3C92"/>
    <w:rsid w:val="00402029"/>
    <w:rsid w:val="004046FF"/>
    <w:rsid w:val="004047AD"/>
    <w:rsid w:val="004055A8"/>
    <w:rsid w:val="004065F8"/>
    <w:rsid w:val="004110D7"/>
    <w:rsid w:val="00414489"/>
    <w:rsid w:val="004200CD"/>
    <w:rsid w:val="00425315"/>
    <w:rsid w:val="00461D04"/>
    <w:rsid w:val="004741B9"/>
    <w:rsid w:val="004754E9"/>
    <w:rsid w:val="004760DD"/>
    <w:rsid w:val="0049609D"/>
    <w:rsid w:val="004A6D56"/>
    <w:rsid w:val="004B52A3"/>
    <w:rsid w:val="004C11AA"/>
    <w:rsid w:val="004C6AE7"/>
    <w:rsid w:val="004E0E8A"/>
    <w:rsid w:val="004E1AE7"/>
    <w:rsid w:val="004E40CA"/>
    <w:rsid w:val="004E6731"/>
    <w:rsid w:val="004F2956"/>
    <w:rsid w:val="005125AD"/>
    <w:rsid w:val="00513BB5"/>
    <w:rsid w:val="00523F91"/>
    <w:rsid w:val="005316D5"/>
    <w:rsid w:val="00534A34"/>
    <w:rsid w:val="00555E9C"/>
    <w:rsid w:val="0055715C"/>
    <w:rsid w:val="00564D8B"/>
    <w:rsid w:val="00577D93"/>
    <w:rsid w:val="005821AD"/>
    <w:rsid w:val="005843FD"/>
    <w:rsid w:val="0059197E"/>
    <w:rsid w:val="005A45D9"/>
    <w:rsid w:val="005B7220"/>
    <w:rsid w:val="005D43FC"/>
    <w:rsid w:val="005D7CDB"/>
    <w:rsid w:val="005F3A58"/>
    <w:rsid w:val="005F6E9C"/>
    <w:rsid w:val="005F7577"/>
    <w:rsid w:val="005F7581"/>
    <w:rsid w:val="006150F1"/>
    <w:rsid w:val="006278AD"/>
    <w:rsid w:val="00657EB8"/>
    <w:rsid w:val="00664189"/>
    <w:rsid w:val="00681504"/>
    <w:rsid w:val="00691D59"/>
    <w:rsid w:val="006974F1"/>
    <w:rsid w:val="006E4169"/>
    <w:rsid w:val="006E673A"/>
    <w:rsid w:val="006E7476"/>
    <w:rsid w:val="006F0259"/>
    <w:rsid w:val="006F2D0F"/>
    <w:rsid w:val="0070790C"/>
    <w:rsid w:val="007241DB"/>
    <w:rsid w:val="007245D8"/>
    <w:rsid w:val="00730979"/>
    <w:rsid w:val="007328B1"/>
    <w:rsid w:val="00743C65"/>
    <w:rsid w:val="00746BEB"/>
    <w:rsid w:val="0074787D"/>
    <w:rsid w:val="0077083A"/>
    <w:rsid w:val="00773E29"/>
    <w:rsid w:val="007905AD"/>
    <w:rsid w:val="00792AF5"/>
    <w:rsid w:val="007C08DC"/>
    <w:rsid w:val="007C49DE"/>
    <w:rsid w:val="007E1237"/>
    <w:rsid w:val="007E4DEE"/>
    <w:rsid w:val="007F0387"/>
    <w:rsid w:val="00803E60"/>
    <w:rsid w:val="008058FB"/>
    <w:rsid w:val="00821AE4"/>
    <w:rsid w:val="00842ACC"/>
    <w:rsid w:val="00843D80"/>
    <w:rsid w:val="00856294"/>
    <w:rsid w:val="00864167"/>
    <w:rsid w:val="00865F4C"/>
    <w:rsid w:val="0086618D"/>
    <w:rsid w:val="008722D8"/>
    <w:rsid w:val="00873606"/>
    <w:rsid w:val="008750A5"/>
    <w:rsid w:val="008752A0"/>
    <w:rsid w:val="0087616F"/>
    <w:rsid w:val="00880820"/>
    <w:rsid w:val="00880942"/>
    <w:rsid w:val="008867DF"/>
    <w:rsid w:val="008917E0"/>
    <w:rsid w:val="008944C7"/>
    <w:rsid w:val="008956BF"/>
    <w:rsid w:val="008A268E"/>
    <w:rsid w:val="008B4EDB"/>
    <w:rsid w:val="008B6B60"/>
    <w:rsid w:val="008E003A"/>
    <w:rsid w:val="008E0307"/>
    <w:rsid w:val="008E1EF8"/>
    <w:rsid w:val="008F7FB7"/>
    <w:rsid w:val="009005DA"/>
    <w:rsid w:val="00904323"/>
    <w:rsid w:val="00904B50"/>
    <w:rsid w:val="009114D0"/>
    <w:rsid w:val="00914FEB"/>
    <w:rsid w:val="00946314"/>
    <w:rsid w:val="009551BA"/>
    <w:rsid w:val="00957288"/>
    <w:rsid w:val="009623F4"/>
    <w:rsid w:val="00967F9E"/>
    <w:rsid w:val="00976A43"/>
    <w:rsid w:val="0099173E"/>
    <w:rsid w:val="009A0F79"/>
    <w:rsid w:val="009A5E0E"/>
    <w:rsid w:val="009B2E74"/>
    <w:rsid w:val="009D5968"/>
    <w:rsid w:val="009E2AF5"/>
    <w:rsid w:val="009E5FCE"/>
    <w:rsid w:val="009F4679"/>
    <w:rsid w:val="00A04207"/>
    <w:rsid w:val="00A06F98"/>
    <w:rsid w:val="00A0769C"/>
    <w:rsid w:val="00A20A88"/>
    <w:rsid w:val="00A20DA1"/>
    <w:rsid w:val="00A257D7"/>
    <w:rsid w:val="00A300B7"/>
    <w:rsid w:val="00A30FB0"/>
    <w:rsid w:val="00A715D1"/>
    <w:rsid w:val="00A76355"/>
    <w:rsid w:val="00A77AEA"/>
    <w:rsid w:val="00A94C8D"/>
    <w:rsid w:val="00A953F1"/>
    <w:rsid w:val="00AA1D76"/>
    <w:rsid w:val="00AB10A7"/>
    <w:rsid w:val="00AB6E66"/>
    <w:rsid w:val="00AC48F7"/>
    <w:rsid w:val="00AC59D5"/>
    <w:rsid w:val="00AC6EDC"/>
    <w:rsid w:val="00AD40D4"/>
    <w:rsid w:val="00AE002F"/>
    <w:rsid w:val="00B3695E"/>
    <w:rsid w:val="00B47D73"/>
    <w:rsid w:val="00B617E1"/>
    <w:rsid w:val="00B71EE6"/>
    <w:rsid w:val="00B71EEE"/>
    <w:rsid w:val="00B80E4C"/>
    <w:rsid w:val="00B85161"/>
    <w:rsid w:val="00B86F6F"/>
    <w:rsid w:val="00B93511"/>
    <w:rsid w:val="00B93E8A"/>
    <w:rsid w:val="00BC079E"/>
    <w:rsid w:val="00BC1E84"/>
    <w:rsid w:val="00BD258D"/>
    <w:rsid w:val="00BD2B1A"/>
    <w:rsid w:val="00BD60DD"/>
    <w:rsid w:val="00BD7B7F"/>
    <w:rsid w:val="00BE0870"/>
    <w:rsid w:val="00BE4229"/>
    <w:rsid w:val="00BF4936"/>
    <w:rsid w:val="00C16AC4"/>
    <w:rsid w:val="00C500B5"/>
    <w:rsid w:val="00C5209D"/>
    <w:rsid w:val="00C53899"/>
    <w:rsid w:val="00C57746"/>
    <w:rsid w:val="00C62F97"/>
    <w:rsid w:val="00C86D22"/>
    <w:rsid w:val="00C91B94"/>
    <w:rsid w:val="00C945C3"/>
    <w:rsid w:val="00C96E74"/>
    <w:rsid w:val="00CA3BA0"/>
    <w:rsid w:val="00CA5804"/>
    <w:rsid w:val="00CA632A"/>
    <w:rsid w:val="00CA7165"/>
    <w:rsid w:val="00CB46D0"/>
    <w:rsid w:val="00CC7519"/>
    <w:rsid w:val="00CD2C41"/>
    <w:rsid w:val="00CE4D10"/>
    <w:rsid w:val="00CF4999"/>
    <w:rsid w:val="00D074C0"/>
    <w:rsid w:val="00D104DE"/>
    <w:rsid w:val="00D1380C"/>
    <w:rsid w:val="00D16B42"/>
    <w:rsid w:val="00D2176D"/>
    <w:rsid w:val="00D311EC"/>
    <w:rsid w:val="00D356E2"/>
    <w:rsid w:val="00D37751"/>
    <w:rsid w:val="00D40785"/>
    <w:rsid w:val="00D621D6"/>
    <w:rsid w:val="00D71F2F"/>
    <w:rsid w:val="00D74827"/>
    <w:rsid w:val="00D918D9"/>
    <w:rsid w:val="00D93C37"/>
    <w:rsid w:val="00D94600"/>
    <w:rsid w:val="00D95EBE"/>
    <w:rsid w:val="00DA082D"/>
    <w:rsid w:val="00DA60CA"/>
    <w:rsid w:val="00DA643A"/>
    <w:rsid w:val="00DA755C"/>
    <w:rsid w:val="00DB1A80"/>
    <w:rsid w:val="00DB6541"/>
    <w:rsid w:val="00DC0644"/>
    <w:rsid w:val="00DC321A"/>
    <w:rsid w:val="00DC3C6F"/>
    <w:rsid w:val="00DC5E46"/>
    <w:rsid w:val="00DE7097"/>
    <w:rsid w:val="00E02CAA"/>
    <w:rsid w:val="00E02F8B"/>
    <w:rsid w:val="00E0423C"/>
    <w:rsid w:val="00E1270C"/>
    <w:rsid w:val="00E14352"/>
    <w:rsid w:val="00E23EE3"/>
    <w:rsid w:val="00E25A38"/>
    <w:rsid w:val="00E339E5"/>
    <w:rsid w:val="00E35048"/>
    <w:rsid w:val="00E4389E"/>
    <w:rsid w:val="00E569A4"/>
    <w:rsid w:val="00E601CC"/>
    <w:rsid w:val="00E62DCB"/>
    <w:rsid w:val="00E64E0C"/>
    <w:rsid w:val="00E66C81"/>
    <w:rsid w:val="00E73F91"/>
    <w:rsid w:val="00E85841"/>
    <w:rsid w:val="00E8609D"/>
    <w:rsid w:val="00E9000F"/>
    <w:rsid w:val="00E91FE4"/>
    <w:rsid w:val="00E9334A"/>
    <w:rsid w:val="00E93A9D"/>
    <w:rsid w:val="00EA497B"/>
    <w:rsid w:val="00EB59D7"/>
    <w:rsid w:val="00EC5FC8"/>
    <w:rsid w:val="00ED1539"/>
    <w:rsid w:val="00EE421E"/>
    <w:rsid w:val="00EF6F35"/>
    <w:rsid w:val="00F01782"/>
    <w:rsid w:val="00F06A42"/>
    <w:rsid w:val="00F072DB"/>
    <w:rsid w:val="00F23674"/>
    <w:rsid w:val="00F30944"/>
    <w:rsid w:val="00F3095F"/>
    <w:rsid w:val="00F320D1"/>
    <w:rsid w:val="00F33338"/>
    <w:rsid w:val="00F40543"/>
    <w:rsid w:val="00F439A7"/>
    <w:rsid w:val="00F46569"/>
    <w:rsid w:val="00F571C4"/>
    <w:rsid w:val="00F5756F"/>
    <w:rsid w:val="00F61B22"/>
    <w:rsid w:val="00F733D2"/>
    <w:rsid w:val="00F90967"/>
    <w:rsid w:val="00FC6020"/>
    <w:rsid w:val="00FD63B1"/>
    <w:rsid w:val="00FE4A41"/>
    <w:rsid w:val="00FE5892"/>
    <w:rsid w:val="14411E19"/>
    <w:rsid w:val="25E847EB"/>
    <w:rsid w:val="3C6912E3"/>
    <w:rsid w:val="429232D3"/>
    <w:rsid w:val="49DD0F01"/>
    <w:rsid w:val="769A5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5E6AB"/>
  <w15:docId w15:val="{C5CE0648-56A8-4533-AAE5-9B33FBBC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rPr>
      <w:rFonts w:ascii="Times New Roman" w:eastAsia="宋体" w:hAnsi="Times New Roman"/>
      <w:sz w:val="18"/>
      <w:szCs w:val="18"/>
    </w:rPr>
  </w:style>
  <w:style w:type="character" w:customStyle="1" w:styleId="a8">
    <w:name w:val="页眉 字符"/>
    <w:basedOn w:val="a0"/>
    <w:link w:val="a7"/>
    <w:uiPriority w:val="99"/>
    <w:rPr>
      <w:rFonts w:ascii="Times New Roman" w:eastAsia="宋体" w:hAnsi="Times New Roman"/>
      <w:sz w:val="18"/>
      <w:szCs w:val="18"/>
    </w:rPr>
  </w:style>
  <w:style w:type="character" w:customStyle="1" w:styleId="a6">
    <w:name w:val="页脚 字符"/>
    <w:basedOn w:val="a0"/>
    <w:link w:val="a5"/>
    <w:uiPriority w:val="99"/>
    <w:rPr>
      <w:rFonts w:ascii="Times New Roman" w:eastAsia="宋体" w:hAnsi="Times New Roman"/>
      <w:sz w:val="18"/>
      <w:szCs w:val="18"/>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a">
    <w:name w:val="Revision"/>
    <w:hidden/>
    <w:uiPriority w:val="99"/>
    <w:unhideWhenUsed/>
    <w:rsid w:val="00904B50"/>
    <w:rPr>
      <w:rFonts w:cstheme="minorBidi"/>
      <w:kern w:val="2"/>
      <w:sz w:val="24"/>
      <w:szCs w:val="22"/>
    </w:rPr>
  </w:style>
  <w:style w:type="character" w:styleId="ab">
    <w:name w:val="annotation reference"/>
    <w:basedOn w:val="a0"/>
    <w:uiPriority w:val="99"/>
    <w:semiHidden/>
    <w:unhideWhenUsed/>
    <w:rsid w:val="008722D8"/>
    <w:rPr>
      <w:sz w:val="16"/>
      <w:szCs w:val="16"/>
    </w:rPr>
  </w:style>
  <w:style w:type="paragraph" w:styleId="ac">
    <w:name w:val="annotation text"/>
    <w:basedOn w:val="a"/>
    <w:link w:val="ad"/>
    <w:uiPriority w:val="99"/>
    <w:unhideWhenUsed/>
    <w:rsid w:val="008722D8"/>
    <w:rPr>
      <w:sz w:val="20"/>
      <w:szCs w:val="20"/>
    </w:rPr>
  </w:style>
  <w:style w:type="character" w:customStyle="1" w:styleId="ad">
    <w:name w:val="批注文字 字符"/>
    <w:basedOn w:val="a0"/>
    <w:link w:val="ac"/>
    <w:uiPriority w:val="99"/>
    <w:rsid w:val="008722D8"/>
    <w:rPr>
      <w:rFonts w:cstheme="minorBidi"/>
      <w:kern w:val="2"/>
    </w:rPr>
  </w:style>
  <w:style w:type="paragraph" w:styleId="ae">
    <w:name w:val="annotation subject"/>
    <w:basedOn w:val="ac"/>
    <w:next w:val="ac"/>
    <w:link w:val="af"/>
    <w:uiPriority w:val="99"/>
    <w:semiHidden/>
    <w:unhideWhenUsed/>
    <w:rsid w:val="008722D8"/>
    <w:rPr>
      <w:b/>
      <w:bCs/>
    </w:rPr>
  </w:style>
  <w:style w:type="character" w:customStyle="1" w:styleId="af">
    <w:name w:val="批注主题 字符"/>
    <w:basedOn w:val="ad"/>
    <w:link w:val="ae"/>
    <w:uiPriority w:val="99"/>
    <w:semiHidden/>
    <w:rsid w:val="008722D8"/>
    <w:rPr>
      <w:rFonts w:cstheme="minorBidi"/>
      <w:b/>
      <w:bCs/>
      <w:kern w:val="2"/>
    </w:rPr>
  </w:style>
  <w:style w:type="paragraph" w:styleId="af0">
    <w:name w:val="Normal (Web)"/>
    <w:basedOn w:val="a"/>
    <w:uiPriority w:val="99"/>
    <w:semiHidden/>
    <w:unhideWhenUsed/>
    <w:rsid w:val="00F5756F"/>
    <w:pPr>
      <w:widowControl/>
      <w:spacing w:before="100" w:beforeAutospacing="1" w:after="100" w:afterAutospacing="1"/>
      <w:jc w:val="left"/>
    </w:pPr>
    <w:rPr>
      <w:rFonts w:ascii="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631</TotalTime>
  <Pages>4</Pages>
  <Words>1261</Words>
  <Characters>1337</Characters>
  <Application>Microsoft Office Word</Application>
  <DocSecurity>0</DocSecurity>
  <Lines>83</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Matteo Li</cp:lastModifiedBy>
  <cp:revision>48</cp:revision>
  <dcterms:created xsi:type="dcterms:W3CDTF">2026-01-12T05:46:00Z</dcterms:created>
  <dcterms:modified xsi:type="dcterms:W3CDTF">2026-02-04T08:01:00Z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B0EC4A7864234BDDB1E311CE95BD474F_13</vt:lpwstr>
  </property>
</Properties>
</file>