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ascii="Times" w:hAnsi="Times" w:cs="Times New Roman"/>
          <w:bCs/>
          <w:sz w:val="24"/>
          <w:szCs w:val="24"/>
        </w:rPr>
      </w:pPr>
      <w:r>
        <w:rPr>
          <w:rFonts w:hint="eastAsia" w:ascii="Times" w:hAnsi="Times" w:cs="Times New Roman"/>
          <w:bCs/>
          <w:sz w:val="24"/>
          <w:szCs w:val="24"/>
        </w:rPr>
        <w:t>编号：</w:t>
      </w:r>
      <w:r>
        <w:rPr>
          <w:rFonts w:ascii="Times" w:hAnsi="Times" w:cs="Times New Roman"/>
          <w:bCs/>
          <w:sz w:val="24"/>
          <w:szCs w:val="24"/>
        </w:rPr>
        <w:t>2026-001</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1"/>
            <w:bookmarkStart w:id="2" w:name="OLE_LINK2"/>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rPr>
              <w:t>银华基金、上海德晟百川私募基金管理有限公司、招商资管、建信基金、东吴证券股份有限公司、易方达基金、国元证券、诺安基金、嘉实基金、华泰保兴基金、申银万国</w:t>
            </w:r>
            <w:r>
              <w:rPr>
                <w:rFonts w:hint="eastAsia" w:ascii="Times" w:hAnsi="Times" w:eastAsia="宋体" w:cs="宋体"/>
                <w:color w:val="000000"/>
                <w:kern w:val="0"/>
                <w:sz w:val="24"/>
                <w:szCs w:val="24"/>
                <w:lang w:val="en-US" w:eastAsia="zh-CN"/>
              </w:rPr>
              <w:t>研究</w:t>
            </w:r>
            <w:r>
              <w:rPr>
                <w:rFonts w:hint="eastAsia" w:ascii="Times" w:hAnsi="Times" w:eastAsia="宋体" w:cs="宋体"/>
                <w:color w:val="000000"/>
                <w:kern w:val="0"/>
                <w:sz w:val="24"/>
                <w:szCs w:val="24"/>
              </w:rPr>
              <w:t>、南方基金共</w:t>
            </w:r>
            <w:r>
              <w:rPr>
                <w:rFonts w:ascii="Times" w:hAnsi="Times" w:eastAsia="宋体" w:cs="宋体"/>
                <w:color w:val="000000"/>
                <w:kern w:val="0"/>
                <w:sz w:val="24"/>
                <w:szCs w:val="24"/>
              </w:rPr>
              <w:t>13</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440606F5">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6</w:t>
            </w:r>
            <w:r>
              <w:rPr>
                <w:rFonts w:hint="eastAsia" w:ascii="Times" w:hAnsi="Times" w:cs="Times New Roman"/>
                <w:bCs/>
                <w:iCs/>
                <w:color w:val="000000" w:themeColor="text1"/>
                <w:sz w:val="24"/>
                <w:szCs w:val="24"/>
                <w14:textFill>
                  <w14:solidFill>
                    <w14:schemeClr w14:val="tx1"/>
                  </w14:solidFill>
                </w14:textFill>
              </w:rPr>
              <w:t>年</w:t>
            </w:r>
            <w:r>
              <w:rPr>
                <w:rFonts w:ascii="Times" w:hAnsi="Times" w:cs="Times New Roman"/>
                <w:bCs/>
                <w:iCs/>
                <w:color w:val="000000" w:themeColor="text1"/>
                <w:sz w:val="24"/>
                <w:szCs w:val="24"/>
                <w14:textFill>
                  <w14:solidFill>
                    <w14:schemeClr w14:val="tx1"/>
                  </w14:solidFill>
                </w14:textFill>
              </w:rPr>
              <w:t>2</w:t>
            </w:r>
            <w:r>
              <w:rPr>
                <w:rFonts w:hint="eastAsia" w:ascii="Times" w:hAnsi="Times" w:cs="Times New Roman"/>
                <w:bCs/>
                <w:iCs/>
                <w:color w:val="000000" w:themeColor="text1"/>
                <w:sz w:val="24"/>
                <w:szCs w:val="24"/>
                <w14:textFill>
                  <w14:solidFill>
                    <w14:schemeClr w14:val="tx1"/>
                  </w14:solidFill>
                </w14:textFill>
              </w:rPr>
              <w:t>月</w:t>
            </w:r>
            <w:r>
              <w:rPr>
                <w:rFonts w:ascii="Times" w:hAnsi="Times" w:cs="Times New Roman"/>
                <w:bCs/>
                <w:iCs/>
                <w:color w:val="000000" w:themeColor="text1"/>
                <w:sz w:val="24"/>
                <w:szCs w:val="24"/>
                <w14:textFill>
                  <w14:solidFill>
                    <w14:schemeClr w14:val="tx1"/>
                  </w14:solidFill>
                </w14:textFill>
              </w:rPr>
              <w:t>3</w:t>
            </w:r>
            <w:r>
              <w:rPr>
                <w:rFonts w:hint="eastAsia" w:ascii="Times" w:hAnsi="Times" w:cs="Times New Roman"/>
                <w:bCs/>
                <w:iCs/>
                <w:color w:val="000000" w:themeColor="text1"/>
                <w:sz w:val="24"/>
                <w:szCs w:val="24"/>
                <w14:textFill>
                  <w14:solidFill>
                    <w14:schemeClr w14:val="tx1"/>
                  </w14:solidFill>
                </w14:textFill>
              </w:rPr>
              <w:t>日、4日、6日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5AF9DD86">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围绕物联网及人工智能应用不断推出具有竞争力的各类芯片、产品和解决方案，广泛应用于智能电网、智能家居、光伏新能源、综合能效管理、智能照明、智慧酒店等各种智慧物联应用领域。</w:t>
      </w:r>
    </w:p>
    <w:p w14:paraId="76EE01C0">
      <w:pPr>
        <w:spacing w:before="156" w:beforeLines="50" w:after="156" w:afterLines="50"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公司披露</w:t>
      </w:r>
      <w:r>
        <w:rPr>
          <w:rFonts w:hint="eastAsia" w:ascii="Times" w:hAnsi="Times" w:cs="Times New Roman"/>
          <w:iCs/>
          <w:color w:val="000000" w:themeColor="text1"/>
          <w:sz w:val="24"/>
          <w:szCs w:val="24"/>
          <w:lang w:val="en-US" w:eastAsia="zh-CN"/>
          <w14:textFill>
            <w14:solidFill>
              <w14:schemeClr w14:val="tx1"/>
            </w14:solidFill>
          </w14:textFill>
        </w:rPr>
        <w:t>了</w:t>
      </w:r>
      <w:r>
        <w:rPr>
          <w:rFonts w:hint="eastAsia" w:ascii="Times" w:hAnsi="Times" w:cs="Times New Roman"/>
          <w:iCs/>
          <w:color w:val="000000" w:themeColor="text1"/>
          <w:sz w:val="24"/>
          <w:szCs w:val="24"/>
          <w14:textFill>
            <w14:solidFill>
              <w14:schemeClr w14:val="tx1"/>
            </w14:solidFill>
          </w14:textFill>
        </w:rPr>
        <w:t>《202</w:t>
      </w:r>
      <w:r>
        <w:rPr>
          <w:rFonts w:ascii="Times" w:hAnsi="Times" w:cs="Times New Roman"/>
          <w:iCs/>
          <w:color w:val="000000" w:themeColor="text1"/>
          <w:sz w:val="24"/>
          <w:szCs w:val="24"/>
          <w14:textFill>
            <w14:solidFill>
              <w14:schemeClr w14:val="tx1"/>
            </w14:solidFill>
          </w14:textFill>
        </w:rPr>
        <w:t>5</w:t>
      </w:r>
      <w:r>
        <w:rPr>
          <w:rFonts w:hint="eastAsia" w:ascii="Times" w:hAnsi="Times" w:cs="Times New Roman"/>
          <w:iCs/>
          <w:color w:val="000000" w:themeColor="text1"/>
          <w:sz w:val="24"/>
          <w:szCs w:val="24"/>
          <w14:textFill>
            <w14:solidFill>
              <w14:schemeClr w14:val="tx1"/>
            </w14:solidFill>
          </w14:textFill>
        </w:rPr>
        <w:t>年年度业绩预告》，</w:t>
      </w:r>
      <w:r>
        <w:rPr>
          <w:rFonts w:hint="default" w:ascii="Times New Roman" w:hAnsi="Times New Roman" w:cs="Times New Roman"/>
          <w:color w:val="000000"/>
          <w:kern w:val="0"/>
          <w:sz w:val="24"/>
          <w:szCs w:val="24"/>
          <w:highlight w:val="none"/>
          <w:lang w:val="en-US" w:eastAsia="zh-CN"/>
        </w:rPr>
        <w:t>2025</w:t>
      </w:r>
      <w:r>
        <w:rPr>
          <w:rFonts w:hint="eastAsia" w:ascii="宋体" w:hAnsi="宋体" w:cs="宋体"/>
          <w:color w:val="000000"/>
          <w:kern w:val="0"/>
          <w:sz w:val="24"/>
          <w:szCs w:val="24"/>
          <w:highlight w:val="none"/>
          <w:lang w:val="en-US" w:eastAsia="zh-CN"/>
        </w:rPr>
        <w:t>年，受智能电网市场招标采购规模减少及节奏影响，公司电网板块经营业绩下降，</w:t>
      </w:r>
      <w:r>
        <w:rPr>
          <w:rFonts w:hint="eastAsia" w:ascii="Times" w:hAnsi="Times" w:cs="Times New Roman"/>
          <w:iCs/>
          <w:color w:val="000000" w:themeColor="text1"/>
          <w:sz w:val="24"/>
          <w:szCs w:val="24"/>
          <w14:textFill>
            <w14:solidFill>
              <w14:schemeClr w14:val="tx1"/>
            </w14:solidFill>
          </w14:textFill>
        </w:rPr>
        <w:t>预计2025年年度实现归属于母公司所有者的净利润人民币1,700万元至2,200万元</w:t>
      </w:r>
      <w:r>
        <w:rPr>
          <w:rFonts w:hint="eastAsia" w:ascii="宋体" w:hAnsi="宋体" w:cs="宋体"/>
          <w:color w:val="000000"/>
          <w:kern w:val="0"/>
          <w:sz w:val="24"/>
          <w:szCs w:val="24"/>
          <w:highlight w:val="none"/>
          <w:lang w:val="en-US" w:eastAsia="zh-CN"/>
        </w:rPr>
        <w:t>。同时，公司聚焦战略发展方向，加大芯片产品在非电网物联网领域应用布局，持续加大物联网相关研发投入，研发费用同比增加，公司归属于母公司所有者的净利润及扣除非经常性损益的净利润下滑。报告期内，非电网物联网相关营业收入增长超过</w:t>
      </w:r>
      <w:r>
        <w:rPr>
          <w:rFonts w:hint="default" w:ascii="Times New Roman" w:hAnsi="Times New Roman" w:cs="Times New Roman"/>
          <w:color w:val="000000"/>
          <w:kern w:val="0"/>
          <w:sz w:val="24"/>
          <w:szCs w:val="24"/>
          <w:highlight w:val="none"/>
          <w:lang w:val="en-US" w:eastAsia="zh-CN"/>
        </w:rPr>
        <w:t>30%</w:t>
      </w:r>
      <w:r>
        <w:rPr>
          <w:rFonts w:hint="eastAsia" w:ascii="宋体" w:hAnsi="宋体" w:cs="宋体"/>
          <w:color w:val="000000"/>
          <w:kern w:val="0"/>
          <w:sz w:val="24"/>
          <w:szCs w:val="24"/>
          <w:highlight w:val="none"/>
          <w:lang w:val="en-US" w:eastAsia="zh-CN"/>
        </w:rPr>
        <w:t>。</w:t>
      </w:r>
      <w:bookmarkStart w:id="3" w:name="_GoBack"/>
      <w:bookmarkEnd w:id="3"/>
    </w:p>
    <w:p w14:paraId="57F323CD">
      <w:pPr>
        <w:spacing w:before="156" w:beforeLines="50" w:after="156" w:afterLines="50"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二、解答投资者提问，主要提问及解答如下：</w:t>
      </w:r>
    </w:p>
    <w:p w14:paraId="517F66DD">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在电网市场，公司出售的芯片和模组产品占比及毛利率如何？招标价格是否平稳？</w:t>
      </w:r>
    </w:p>
    <w:p w14:paraId="09C63EFB">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答：公司主要以含自研芯片的模组形态向电网公司销售，毛利率及价格较为稳定。</w:t>
      </w:r>
    </w:p>
    <w:p w14:paraId="178A2906">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在电网领域，公司产品从单模升级为双模，理论上成本会有所增加，但公司毛利率稳中有升，具体是什么原因？</w:t>
      </w:r>
    </w:p>
    <w:p w14:paraId="07C53598">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公司毛利率的上升主要得益于公司加大产品研发力度，积极采取各种降本增效的措施，使得产品成本有所下降。同时，公司在双模产品的研发过程中充分考虑了成本因素，通过优化芯片以及方案有效地控制了成本，并对供应链进行了一系列的改进和优化，进一步加强了成本管控，这也是公司核心竞争力的体现。</w:t>
      </w:r>
    </w:p>
    <w:p w14:paraId="694E7E07">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公司有海外电表业务吗？</w:t>
      </w:r>
    </w:p>
    <w:p w14:paraId="7667C28B">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针对智能电网市场，公司推出面向海外AMI市场的高速载波芯片、高速双模芯片及方案，已陆续在客户中导入。公司积极开拓国际市场，聚焦海外电表、光伏、智能照明等市场，通过与国内外整机/系统出口企业合作，“搭船出海”。</w:t>
      </w:r>
    </w:p>
    <w:p w14:paraId="081435B3">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国网宣布“十五五”期间固定资产投资预计达到4万亿元，较“十四五”投资增长40%，这对公司有什么正面影响吗？</w:t>
      </w:r>
    </w:p>
    <w:p w14:paraId="2AF58F2D">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国家电网在“十五五”期间持续加大固定资产投资力度，将进一步推动电网数字化、智能化建设进程，带动相关市场规模增长。作为智能电网市场主要的芯片原厂供应商，公司迎来重要发展机遇，这一趋势有望从市场需求、技术升级等方面为公司注入发展动力。公司将继续紧密围绕智能电网“新型电力系统”建设方向，深度参与行业标准制定，持续强化在技术、产品和服务上的竞争优势。同时，公司将积极挖掘电网领域新兴产品需求，进一步强化技术领先地位，稳步提升市场份额。</w:t>
      </w:r>
    </w:p>
    <w:p w14:paraId="2F812C44">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酒店采用公司P</w:t>
      </w:r>
      <w:r>
        <w:rPr>
          <w:rFonts w:ascii="Times" w:hAnsi="Times" w:cs="Times New Roman"/>
          <w:b/>
          <w:iCs/>
          <w:color w:val="000000" w:themeColor="text1"/>
          <w:sz w:val="24"/>
          <w:szCs w:val="24"/>
          <w14:textFill>
            <w14:solidFill>
              <w14:schemeClr w14:val="tx1"/>
            </w14:solidFill>
          </w14:textFill>
        </w:rPr>
        <w:t>LC</w:t>
      </w:r>
      <w:r>
        <w:rPr>
          <w:rFonts w:hint="eastAsia" w:ascii="Times" w:hAnsi="Times" w:cs="Times New Roman"/>
          <w:b/>
          <w:iCs/>
          <w:color w:val="000000" w:themeColor="text1"/>
          <w:sz w:val="24"/>
          <w:szCs w:val="24"/>
          <w14:textFill>
            <w14:solidFill>
              <w14:schemeClr w14:val="tx1"/>
            </w14:solidFill>
          </w14:textFill>
        </w:rPr>
        <w:t>技术进行智能化改造，主要是节省酒店的施工成本吗？</w:t>
      </w:r>
    </w:p>
    <w:p w14:paraId="7ACA00B4">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在酒店智能化升级中，“布线复杂、施工复杂、互联互通、稳定性、后期维护等”一直是行业面临的痛点。与传统智能客控产品（有线、无线）相比，PLC技术在安装、维护、可靠性、响应速度和性价比等方面具备显著优势。公司PLC技术凭借基于电线、“有电线即可通信”，无需额外凿墙铺线、既适合前装又适合后装改造等特点，同时，又具有丰富的PLCP互联互通产品生态，较好化解上述痛点问题。</w:t>
      </w:r>
    </w:p>
    <w:p w14:paraId="01C89479">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公司对未来非电物联网领域的增长有什么展望？</w:t>
      </w:r>
    </w:p>
    <w:p w14:paraId="06F4880E">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公司积极布局非电物联网市场，大力开拓智能家居/全屋智能、智慧酒店、智慧光伏、智慧高铁等物联网市场应用。近年来，公司非电网物联网相关营业收入年增速超过30%，未来，公司将进一步深化非电网业务布局，推动其成为业务增长的重要支撑，为公司多赛道协同发展奠定坚实基础。</w:t>
      </w:r>
    </w:p>
    <w:p w14:paraId="477C360B">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公司是否会通过并购重组等方式扩品类或进入新赛道？</w:t>
      </w:r>
    </w:p>
    <w:p w14:paraId="2442A740">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公司可转债项目之一“科技储备资金项目”旨在投向新产品预研研发及产业化、拟重点布局的中长期技术研发与升级拓展、产业并购及整合等。公司持续关注着与公司技术、产品、业务等协同性好的优质资源。</w:t>
      </w:r>
    </w:p>
    <w:p w14:paraId="3186EBF5">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公司对可转债转股有什么打算？</w:t>
      </w:r>
    </w:p>
    <w:p w14:paraId="2016F52A">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答：公司将持续提升主业盈利能力，并通过加强投资者沟通传递长期价值，积极引导转股、维护投资者权益。</w:t>
      </w:r>
    </w:p>
    <w:p w14:paraId="782CC7B4">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63"/>
    </w:sdtPr>
    <w:sdtContent>
      <w:p w14:paraId="390BAFB6">
        <w:pPr>
          <w:pStyle w:val="7"/>
          <w:jc w:val="center"/>
        </w:pPr>
        <w:r>
          <w:fldChar w:fldCharType="begin"/>
        </w:r>
        <w:r>
          <w:instrText xml:space="preserve">PAGE   \* MERGEFORMAT</w:instrText>
        </w:r>
        <w:r>
          <w:fldChar w:fldCharType="separate"/>
        </w:r>
        <w:r>
          <w:rPr>
            <w:lang w:val="zh-CN"/>
          </w:rPr>
          <w:t>2</w:t>
        </w:r>
        <w:r>
          <w:rPr>
            <w:lang w:val="zh-CN"/>
          </w:rPr>
          <w:fldChar w:fldCharType="end"/>
        </w:r>
      </w:p>
    </w:sdtContent>
  </w:sdt>
  <w:p w14:paraId="25727E2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19"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8F6"/>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275"/>
    <w:rsid w:val="001556FE"/>
    <w:rsid w:val="001577D7"/>
    <w:rsid w:val="00160AE1"/>
    <w:rsid w:val="00160AF9"/>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2A1"/>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2AB"/>
    <w:rsid w:val="003F4878"/>
    <w:rsid w:val="003F490C"/>
    <w:rsid w:val="003F590F"/>
    <w:rsid w:val="003F5C47"/>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6BF1"/>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2A47"/>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6A0"/>
    <w:rsid w:val="00567A34"/>
    <w:rsid w:val="00567A9D"/>
    <w:rsid w:val="00567B24"/>
    <w:rsid w:val="00571355"/>
    <w:rsid w:val="00571F49"/>
    <w:rsid w:val="00572A6D"/>
    <w:rsid w:val="00572AE3"/>
    <w:rsid w:val="00574095"/>
    <w:rsid w:val="00574746"/>
    <w:rsid w:val="00575392"/>
    <w:rsid w:val="005754C7"/>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07B"/>
    <w:rsid w:val="006769AA"/>
    <w:rsid w:val="00677B0C"/>
    <w:rsid w:val="006803DA"/>
    <w:rsid w:val="0068133E"/>
    <w:rsid w:val="00682A6D"/>
    <w:rsid w:val="00683108"/>
    <w:rsid w:val="00685BAC"/>
    <w:rsid w:val="00686D70"/>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1D6E"/>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72F"/>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251C"/>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4CC"/>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B7E87"/>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797"/>
    <w:rsid w:val="00940BAC"/>
    <w:rsid w:val="00941808"/>
    <w:rsid w:val="00942951"/>
    <w:rsid w:val="00942AD6"/>
    <w:rsid w:val="00943DF3"/>
    <w:rsid w:val="00943E0C"/>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411"/>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A30"/>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07B84"/>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5689"/>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13E"/>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13C5"/>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5C99"/>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A6F"/>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3E58"/>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0809D3"/>
    <w:rsid w:val="012912FF"/>
    <w:rsid w:val="018C447E"/>
    <w:rsid w:val="01B6565D"/>
    <w:rsid w:val="01C50D4B"/>
    <w:rsid w:val="02226761"/>
    <w:rsid w:val="022343E1"/>
    <w:rsid w:val="02407B6D"/>
    <w:rsid w:val="037D4A4F"/>
    <w:rsid w:val="04174F18"/>
    <w:rsid w:val="04AE24FB"/>
    <w:rsid w:val="04E43F88"/>
    <w:rsid w:val="04FA39B3"/>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CC45FAD"/>
    <w:rsid w:val="0D67569D"/>
    <w:rsid w:val="0E4C1E3A"/>
    <w:rsid w:val="0F161477"/>
    <w:rsid w:val="0FB4161F"/>
    <w:rsid w:val="0FF86E1A"/>
    <w:rsid w:val="107E7600"/>
    <w:rsid w:val="10CA4DFE"/>
    <w:rsid w:val="112A47B8"/>
    <w:rsid w:val="1181633F"/>
    <w:rsid w:val="11AA7A82"/>
    <w:rsid w:val="12284BB9"/>
    <w:rsid w:val="129213B0"/>
    <w:rsid w:val="129465AA"/>
    <w:rsid w:val="13C8306A"/>
    <w:rsid w:val="13DA4EC3"/>
    <w:rsid w:val="141B5398"/>
    <w:rsid w:val="14D82694"/>
    <w:rsid w:val="15152076"/>
    <w:rsid w:val="16326631"/>
    <w:rsid w:val="169807C6"/>
    <w:rsid w:val="17176213"/>
    <w:rsid w:val="17824B3A"/>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8A407C"/>
    <w:rsid w:val="26E57CBC"/>
    <w:rsid w:val="27E53F9D"/>
    <w:rsid w:val="29093990"/>
    <w:rsid w:val="29323AD2"/>
    <w:rsid w:val="2B691627"/>
    <w:rsid w:val="2B716900"/>
    <w:rsid w:val="2BB414D2"/>
    <w:rsid w:val="2E5442C8"/>
    <w:rsid w:val="2E825B1B"/>
    <w:rsid w:val="2EB711FE"/>
    <w:rsid w:val="2F7F0E93"/>
    <w:rsid w:val="2FDE2B35"/>
    <w:rsid w:val="30C90297"/>
    <w:rsid w:val="31352C2E"/>
    <w:rsid w:val="31BD55E2"/>
    <w:rsid w:val="32242D99"/>
    <w:rsid w:val="323B0398"/>
    <w:rsid w:val="328E4D91"/>
    <w:rsid w:val="32A14DE2"/>
    <w:rsid w:val="32F36B07"/>
    <w:rsid w:val="331F3040"/>
    <w:rsid w:val="34AE7463"/>
    <w:rsid w:val="36FA7F88"/>
    <w:rsid w:val="37860D10"/>
    <w:rsid w:val="37EB016A"/>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8B6EE1"/>
    <w:rsid w:val="48CC544E"/>
    <w:rsid w:val="48F94BCF"/>
    <w:rsid w:val="49331971"/>
    <w:rsid w:val="496B47FF"/>
    <w:rsid w:val="49C3375D"/>
    <w:rsid w:val="4A636E05"/>
    <w:rsid w:val="4AC46B16"/>
    <w:rsid w:val="4C055FA4"/>
    <w:rsid w:val="4C9362E3"/>
    <w:rsid w:val="4CF7225E"/>
    <w:rsid w:val="4CFA1F6D"/>
    <w:rsid w:val="4D550B87"/>
    <w:rsid w:val="4DCD6482"/>
    <w:rsid w:val="4DCE7D56"/>
    <w:rsid w:val="4E1D1E4D"/>
    <w:rsid w:val="4E507D5B"/>
    <w:rsid w:val="4F174AC6"/>
    <w:rsid w:val="4FF13303"/>
    <w:rsid w:val="50121065"/>
    <w:rsid w:val="50377F99"/>
    <w:rsid w:val="50696F54"/>
    <w:rsid w:val="50F4551B"/>
    <w:rsid w:val="51A047A3"/>
    <w:rsid w:val="524F3C2C"/>
    <w:rsid w:val="526F66CB"/>
    <w:rsid w:val="52CD2FCE"/>
    <w:rsid w:val="53414851"/>
    <w:rsid w:val="53C13D3D"/>
    <w:rsid w:val="55B1434A"/>
    <w:rsid w:val="56397EB4"/>
    <w:rsid w:val="57DE433B"/>
    <w:rsid w:val="589A78F2"/>
    <w:rsid w:val="591202DA"/>
    <w:rsid w:val="59A727A3"/>
    <w:rsid w:val="59C81C62"/>
    <w:rsid w:val="59CE54CA"/>
    <w:rsid w:val="5A424B99"/>
    <w:rsid w:val="5ABC6E48"/>
    <w:rsid w:val="5B037DC6"/>
    <w:rsid w:val="5B292CE8"/>
    <w:rsid w:val="5B3B7AE2"/>
    <w:rsid w:val="5BA04F42"/>
    <w:rsid w:val="5BBD138A"/>
    <w:rsid w:val="5C636775"/>
    <w:rsid w:val="5D2E63E3"/>
    <w:rsid w:val="5D884A25"/>
    <w:rsid w:val="5E4F23A8"/>
    <w:rsid w:val="5EE00BB3"/>
    <w:rsid w:val="5F0B569B"/>
    <w:rsid w:val="5F917744"/>
    <w:rsid w:val="6002139A"/>
    <w:rsid w:val="61554209"/>
    <w:rsid w:val="61DA7FEB"/>
    <w:rsid w:val="622F71DA"/>
    <w:rsid w:val="625B36D1"/>
    <w:rsid w:val="6416019A"/>
    <w:rsid w:val="647F503A"/>
    <w:rsid w:val="648972BF"/>
    <w:rsid w:val="663B05C4"/>
    <w:rsid w:val="67116659"/>
    <w:rsid w:val="674E193A"/>
    <w:rsid w:val="681E6034"/>
    <w:rsid w:val="685428D3"/>
    <w:rsid w:val="688F2C21"/>
    <w:rsid w:val="6936122B"/>
    <w:rsid w:val="6A4610AD"/>
    <w:rsid w:val="6A5079C7"/>
    <w:rsid w:val="6A77122D"/>
    <w:rsid w:val="6AAF779C"/>
    <w:rsid w:val="6AC217F3"/>
    <w:rsid w:val="6B0F247B"/>
    <w:rsid w:val="6B843BFD"/>
    <w:rsid w:val="6B8C2174"/>
    <w:rsid w:val="6BAA75E1"/>
    <w:rsid w:val="6C297417"/>
    <w:rsid w:val="6C315445"/>
    <w:rsid w:val="6C9A56E0"/>
    <w:rsid w:val="6CEE17E4"/>
    <w:rsid w:val="6CFB0BE2"/>
    <w:rsid w:val="6D6217FE"/>
    <w:rsid w:val="6DAA2B61"/>
    <w:rsid w:val="6DDC3DAD"/>
    <w:rsid w:val="6DE6206B"/>
    <w:rsid w:val="6EDD18B4"/>
    <w:rsid w:val="6EE61926"/>
    <w:rsid w:val="6F356064"/>
    <w:rsid w:val="6F482129"/>
    <w:rsid w:val="6F512010"/>
    <w:rsid w:val="6F5631CE"/>
    <w:rsid w:val="6F6C6382"/>
    <w:rsid w:val="70136F79"/>
    <w:rsid w:val="706B6231"/>
    <w:rsid w:val="70F51137"/>
    <w:rsid w:val="7113767A"/>
    <w:rsid w:val="71745210"/>
    <w:rsid w:val="71D00B79"/>
    <w:rsid w:val="720E58D5"/>
    <w:rsid w:val="72E72B55"/>
    <w:rsid w:val="733F4DEF"/>
    <w:rsid w:val="735F6ABA"/>
    <w:rsid w:val="738D418A"/>
    <w:rsid w:val="741519FC"/>
    <w:rsid w:val="741C69DA"/>
    <w:rsid w:val="74D7500F"/>
    <w:rsid w:val="755A04FD"/>
    <w:rsid w:val="7588738E"/>
    <w:rsid w:val="76424E1D"/>
    <w:rsid w:val="76FE6D4E"/>
    <w:rsid w:val="7730628B"/>
    <w:rsid w:val="7737109F"/>
    <w:rsid w:val="788F63CF"/>
    <w:rsid w:val="79697277"/>
    <w:rsid w:val="7A0E492A"/>
    <w:rsid w:val="7A8B03B8"/>
    <w:rsid w:val="7A9279F6"/>
    <w:rsid w:val="7AF058BA"/>
    <w:rsid w:val="7BA47CBE"/>
    <w:rsid w:val="7BE8167A"/>
    <w:rsid w:val="7C9C7C4B"/>
    <w:rsid w:val="7CA279A2"/>
    <w:rsid w:val="7CAE5BF0"/>
    <w:rsid w:val="7CF42077"/>
    <w:rsid w:val="7D087F20"/>
    <w:rsid w:val="7D2C41F4"/>
    <w:rsid w:val="7D9832A7"/>
    <w:rsid w:val="7D9A1360"/>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1576c1c0-d942-424f-b8c5-00cb8f76e5fa</errorID>
      <errorWord>规模减少</errorWord>
      <group>L1_Word</group>
      <groupName>字词问题</groupName>
      <ability>L2_Typo</ability>
      <abilityName>字词错误</abilityName>
      <candidateList>
        <item>规模减小</item>
      </candidateList>
      <explain/>
      <paraID>76EE01C0</paraID>
      <start>36</start>
      <end>40</end>
      <status>unmodified</status>
      <modifiedWord/>
      <trackRevisions>false</trackRevisions>
    </reviewItem>
    <reviewItem>
      <errorID>429460b2-345e-4ff6-8bbe-d02f419c953c</errorID>
      <errorWord>解</errorWord>
      <group>L1_Word</group>
      <groupName>字词问题</groupName>
      <ability>L2_Typo</ability>
      <abilityName>字词错误</abilityName>
      <candidateList>
        <item>解了</item>
      </candidateList>
      <explain/>
      <paraID>7ACA00B4</paraID>
      <start>176</start>
      <end>177</end>
      <status>unmodified</status>
      <modifiedWord/>
      <trackRevisions>false</trackRevisions>
    </reviewItem>
  </reviewItems>
  <config/>
</contractReview>
</file>

<file path=customXml/itemProps1.xml><?xml version="1.0" encoding="utf-8"?>
<ds:datastoreItem xmlns:ds="http://schemas.openxmlformats.org/officeDocument/2006/customXml" ds:itemID="{C8CB4D91-15B6-4CAD-9421-99624378BE6F}">
  <ds:schemaRefs/>
</ds:datastoreItem>
</file>

<file path=customXml/itemProps2.xml><?xml version="1.0" encoding="utf-8"?>
<ds:datastoreItem xmlns:ds="http://schemas.openxmlformats.org/officeDocument/2006/customXml" ds:itemID="{e6e3ea6e-54bd-4d49-b4a9-e782614d0ef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1851</Words>
  <Characters>1908</Characters>
  <Lines>15</Lines>
  <Paragraphs>4</Paragraphs>
  <TotalTime>6</TotalTime>
  <ScaleCrop>false</ScaleCrop>
  <LinksUpToDate>false</LinksUpToDate>
  <CharactersWithSpaces>2032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Administrator</cp:lastModifiedBy>
  <dcterms:modified xsi:type="dcterms:W3CDTF">2026-02-06T08:53:35Z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