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02FAE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公司代码：688160                                    公司简称：步科股份</w:t>
      </w:r>
    </w:p>
    <w:p w14:paraId="066D0183">
      <w:pPr>
        <w:rPr>
          <w:rFonts w:hint="eastAsia" w:ascii="宋体" w:hAnsi="宋体"/>
          <w:bCs/>
          <w:sz w:val="24"/>
        </w:rPr>
      </w:pPr>
    </w:p>
    <w:p w14:paraId="6C414555"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上海步科自动化股份有限公司</w:t>
      </w:r>
    </w:p>
    <w:p w14:paraId="1011A4AE"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投资者关系活动记录表</w:t>
      </w:r>
    </w:p>
    <w:p w14:paraId="52F98794">
      <w:pPr>
        <w:jc w:val="right"/>
        <w:rPr>
          <w:rFonts w:hint="eastAsia" w:ascii="黑体" w:hAnsi="黑体" w:eastAsia="黑体" w:cs="黑体"/>
          <w:color w:val="000000"/>
          <w:kern w:val="0"/>
          <w:szCs w:val="21"/>
        </w:rPr>
      </w:pPr>
      <w:r>
        <w:rPr>
          <w:rFonts w:hint="eastAsia" w:ascii="黑体" w:hAnsi="黑体" w:eastAsia="黑体" w:cs="黑体"/>
          <w:color w:val="000000"/>
          <w:kern w:val="0"/>
          <w:szCs w:val="21"/>
        </w:rPr>
        <w:t>编号：2026-004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6088"/>
      </w:tblGrid>
      <w:tr w14:paraId="6F71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76B79AA2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投资者关系活动类别</w:t>
            </w:r>
          </w:p>
        </w:tc>
        <w:tc>
          <w:tcPr>
            <w:tcW w:w="6088" w:type="dxa"/>
          </w:tcPr>
          <w:p w14:paraId="3978EF2F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□特定对象调研     □分析师会议</w:t>
            </w:r>
          </w:p>
          <w:p w14:paraId="6F7CAB53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□媒体采访         □业绩说明会 </w:t>
            </w:r>
          </w:p>
          <w:p w14:paraId="1CC57369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bookmarkStart w:id="0" w:name="OLE_LINK1"/>
            <w:r>
              <w:rPr>
                <w:rFonts w:ascii="宋体" w:hAnsi="宋体" w:eastAsia="宋体" w:cs="Times New Roman"/>
                <w:sz w:val="24"/>
              </w:rPr>
              <w:t>□</w:t>
            </w:r>
            <w:bookmarkEnd w:id="0"/>
            <w:r>
              <w:rPr>
                <w:rFonts w:ascii="宋体" w:hAnsi="宋体" w:eastAsia="宋体" w:cs="Times New Roman"/>
                <w:sz w:val="24"/>
              </w:rPr>
              <w:t>新闻发布会       □路演活动</w:t>
            </w:r>
          </w:p>
          <w:p w14:paraId="5DE9381E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sym w:font="Wingdings" w:char="F0FE"/>
            </w:r>
            <w:r>
              <w:rPr>
                <w:rFonts w:ascii="宋体" w:hAnsi="宋体" w:eastAsia="宋体" w:cs="Times New Roman"/>
                <w:sz w:val="24"/>
              </w:rPr>
              <w:t>现场参观         □一对一沟通</w:t>
            </w:r>
          </w:p>
          <w:p w14:paraId="52E412EC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□其他（电话会议）</w:t>
            </w:r>
          </w:p>
        </w:tc>
      </w:tr>
      <w:tr w14:paraId="6B6F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1E25465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参与单位名称</w:t>
            </w:r>
          </w:p>
        </w:tc>
        <w:tc>
          <w:tcPr>
            <w:tcW w:w="6088" w:type="dxa"/>
          </w:tcPr>
          <w:p w14:paraId="29E09161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东吴证券、中金公司、国信自营、富荣基金</w:t>
            </w:r>
          </w:p>
        </w:tc>
      </w:tr>
      <w:tr w14:paraId="089B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66A3FC76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时间</w:t>
            </w:r>
          </w:p>
        </w:tc>
        <w:tc>
          <w:tcPr>
            <w:tcW w:w="6088" w:type="dxa"/>
          </w:tcPr>
          <w:p w14:paraId="362AEBA6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2026年2月6日 15:00</w:t>
            </w:r>
          </w:p>
        </w:tc>
      </w:tr>
      <w:tr w14:paraId="05E6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10EAF300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地点</w:t>
            </w:r>
          </w:p>
        </w:tc>
        <w:tc>
          <w:tcPr>
            <w:tcW w:w="6088" w:type="dxa"/>
          </w:tcPr>
          <w:p w14:paraId="161CE629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深圳市南山区意中利科技园1号楼3楼</w:t>
            </w:r>
          </w:p>
        </w:tc>
      </w:tr>
      <w:tr w14:paraId="0BBA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D2311CF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公司接待人员姓名</w:t>
            </w:r>
          </w:p>
        </w:tc>
        <w:tc>
          <w:tcPr>
            <w:tcW w:w="6088" w:type="dxa"/>
          </w:tcPr>
          <w:p w14:paraId="2966EB47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董事会秘书 刘耘</w:t>
            </w:r>
          </w:p>
          <w:p w14:paraId="5A5EB8FB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证券事务代表 邵凯真</w:t>
            </w:r>
          </w:p>
        </w:tc>
      </w:tr>
      <w:tr w14:paraId="39EC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38AF47D2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投资者关系活动主要内容介绍</w:t>
            </w:r>
          </w:p>
        </w:tc>
        <w:tc>
          <w:tcPr>
            <w:tcW w:w="6088" w:type="dxa"/>
          </w:tcPr>
          <w:p w14:paraId="017EE7AB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1、公司认为电机产品的壁垒在哪里？</w:t>
            </w:r>
          </w:p>
          <w:p w14:paraId="7C8A4749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答：电机是机器人动力执行的关键环节，与驱动器、减速器的深度匹配调试构成核心技术；电机在规模化量产并保证性能、一致性及交付能力上具有较高壁垒。公司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依托</w:t>
            </w:r>
            <w:r>
              <w:rPr>
                <w:rFonts w:ascii="Times New Roman" w:hAnsi="Times New Roman" w:eastAsia="宋体" w:cs="Times New Roman"/>
                <w:sz w:val="24"/>
              </w:rPr>
              <w:t>在电机方向的核心优势，为客户提供基于电机、驱动器、编码器的运动控制解决方案，深度调试能力以及与客户联合创新的能力是公司的核心优势。</w:t>
            </w:r>
          </w:p>
          <w:p w14:paraId="5FDDB640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57A5AEDC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2、公司第四代无框力矩电机有哪些技术优化，公司有关注新的电机技术吗？</w:t>
            </w:r>
          </w:p>
          <w:p w14:paraId="0A320032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相较于第三代产品，第四代无框力矩电机在布线设计、电路板布局、输出性能、运行可靠性及温升控制等方面均实现系统化提升，更适配机器人关节的嵌入式安装需求。因轴向磁通电机具备功率密度更高、结构更紧凑的潜力，公司将其视为重要技术方向。目前关键瓶颈在于，轴向磁通电机在机器人平台上的系统集成技术尚未成熟，相关产业链在关键部件与材料方面的配套能力仍有待加强。</w:t>
            </w:r>
          </w:p>
          <w:p w14:paraId="3B3E4293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5E8CD505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3、公司目前电机的产能是什么样的，是否有海外产能布局？</w:t>
            </w:r>
          </w:p>
          <w:p w14:paraId="18B721A2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公司电机产能当前主要依托常州新工厂的实施建设。根据定增项目规划，整体工控产品设计产能为181万台，其中伺服电机70万台、伺服模组20万台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 w:cs="宋体"/>
                <w:sz w:val="24"/>
                <w:szCs w:val="24"/>
              </w:rPr>
              <w:t>目前常州新工厂一期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完成建设并投入运行，首先释放电机及模组的相应产能。当前产能规划以国内为主，将优先推进募投项目常州二期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工厂</w:t>
            </w:r>
            <w:r>
              <w:rPr>
                <w:rFonts w:ascii="宋体" w:hAnsi="宋体" w:eastAsia="宋体" w:cs="宋体"/>
                <w:sz w:val="24"/>
                <w:szCs w:val="24"/>
              </w:rPr>
              <w:t>的建设，并根据海外客户的实际进展和需求，审慎考虑在海外建厂的可行性。</w:t>
            </w:r>
            <w:bookmarkStart w:id="1" w:name="_GoBack"/>
            <w:bookmarkEnd w:id="1"/>
          </w:p>
          <w:p w14:paraId="4491F2FB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2E236AB1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4、公司2026年海外市场是如何规划的？</w:t>
            </w:r>
          </w:p>
          <w:p w14:paraId="3AA1CC58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答：2026年，公司将加快国际化发展步伐，在德国、美国、日本设立海外子公司，通过招聘本地团队，大力拓展海外市场，协同落地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“</w:t>
            </w:r>
            <w:r>
              <w:rPr>
                <w:rFonts w:ascii="Times New Roman" w:hAnsi="Times New Roman" w:eastAsia="宋体" w:cs="Times New Roman"/>
                <w:sz w:val="24"/>
              </w:rPr>
              <w:t>机器人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核心部件</w:t>
            </w:r>
            <w:r>
              <w:rPr>
                <w:rFonts w:ascii="Times New Roman" w:hAnsi="Times New Roman" w:eastAsia="宋体" w:cs="Times New Roman"/>
                <w:sz w:val="24"/>
              </w:rPr>
              <w:t>出海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”</w:t>
            </w:r>
            <w:r>
              <w:rPr>
                <w:rFonts w:ascii="Times New Roman" w:hAnsi="Times New Roman" w:eastAsia="宋体" w:cs="Times New Roman"/>
                <w:sz w:val="24"/>
              </w:rPr>
              <w:t>战略，将国内成熟的机器人解决方案和产品向海外市场推广，系统性提升全球市场影响力与份额，逐步实现从市场销售到技术支撑的全链条海外布局。</w:t>
            </w:r>
          </w:p>
        </w:tc>
      </w:tr>
      <w:tr w14:paraId="3BB8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671F016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附件清单</w:t>
            </w:r>
          </w:p>
        </w:tc>
        <w:tc>
          <w:tcPr>
            <w:tcW w:w="6088" w:type="dxa"/>
          </w:tcPr>
          <w:p w14:paraId="70539824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无</w:t>
            </w:r>
          </w:p>
        </w:tc>
      </w:tr>
      <w:tr w14:paraId="2F03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2D83B64A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日期</w:t>
            </w:r>
          </w:p>
        </w:tc>
        <w:tc>
          <w:tcPr>
            <w:tcW w:w="6088" w:type="dxa"/>
          </w:tcPr>
          <w:p w14:paraId="7C854A0A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2026年2月6日</w:t>
            </w:r>
          </w:p>
        </w:tc>
      </w:tr>
    </w:tbl>
    <w:p w14:paraId="799E92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26066"/>
    <w:rsid w:val="00123ACE"/>
    <w:rsid w:val="001C72AB"/>
    <w:rsid w:val="00275075"/>
    <w:rsid w:val="003427D2"/>
    <w:rsid w:val="004210A5"/>
    <w:rsid w:val="005463F4"/>
    <w:rsid w:val="00553135"/>
    <w:rsid w:val="005D0CB2"/>
    <w:rsid w:val="005E1E60"/>
    <w:rsid w:val="005E1FB4"/>
    <w:rsid w:val="0062230C"/>
    <w:rsid w:val="006B6A7F"/>
    <w:rsid w:val="006F5805"/>
    <w:rsid w:val="0073139C"/>
    <w:rsid w:val="00755B4F"/>
    <w:rsid w:val="007614EB"/>
    <w:rsid w:val="00774650"/>
    <w:rsid w:val="00777DF8"/>
    <w:rsid w:val="009246FE"/>
    <w:rsid w:val="009625D2"/>
    <w:rsid w:val="00A03BBF"/>
    <w:rsid w:val="00A26A0A"/>
    <w:rsid w:val="00D370CA"/>
    <w:rsid w:val="00F96E65"/>
    <w:rsid w:val="00FB099B"/>
    <w:rsid w:val="00FE4AA6"/>
    <w:rsid w:val="00FF7060"/>
    <w:rsid w:val="024D663C"/>
    <w:rsid w:val="0384614D"/>
    <w:rsid w:val="0441634B"/>
    <w:rsid w:val="054A2F00"/>
    <w:rsid w:val="069D7E4F"/>
    <w:rsid w:val="0732110A"/>
    <w:rsid w:val="0800312E"/>
    <w:rsid w:val="0B762225"/>
    <w:rsid w:val="0BC640FE"/>
    <w:rsid w:val="0DB46BF1"/>
    <w:rsid w:val="0E840219"/>
    <w:rsid w:val="10620DA8"/>
    <w:rsid w:val="13B0499D"/>
    <w:rsid w:val="13C921B5"/>
    <w:rsid w:val="15B33CFB"/>
    <w:rsid w:val="19F01D51"/>
    <w:rsid w:val="1AA027BB"/>
    <w:rsid w:val="1E373B07"/>
    <w:rsid w:val="1F137A73"/>
    <w:rsid w:val="25752ABF"/>
    <w:rsid w:val="2B3B152D"/>
    <w:rsid w:val="2C5724E3"/>
    <w:rsid w:val="2C787B09"/>
    <w:rsid w:val="2D153A12"/>
    <w:rsid w:val="2D5061EB"/>
    <w:rsid w:val="2E7E31F6"/>
    <w:rsid w:val="301D62D8"/>
    <w:rsid w:val="31D22CC8"/>
    <w:rsid w:val="35836053"/>
    <w:rsid w:val="35B14EE0"/>
    <w:rsid w:val="37F16A56"/>
    <w:rsid w:val="3B6049CB"/>
    <w:rsid w:val="3C027200"/>
    <w:rsid w:val="3DAA7FA5"/>
    <w:rsid w:val="3DFB283E"/>
    <w:rsid w:val="40721429"/>
    <w:rsid w:val="41877ED9"/>
    <w:rsid w:val="41DB46F3"/>
    <w:rsid w:val="41F71F64"/>
    <w:rsid w:val="422D5520"/>
    <w:rsid w:val="42305CE2"/>
    <w:rsid w:val="42F51E9D"/>
    <w:rsid w:val="47F52305"/>
    <w:rsid w:val="54393B41"/>
    <w:rsid w:val="57FD4342"/>
    <w:rsid w:val="58F47708"/>
    <w:rsid w:val="59A9774A"/>
    <w:rsid w:val="5B1563EB"/>
    <w:rsid w:val="5B4D4A8F"/>
    <w:rsid w:val="5CFF45E2"/>
    <w:rsid w:val="62E35390"/>
    <w:rsid w:val="641734A5"/>
    <w:rsid w:val="650F6997"/>
    <w:rsid w:val="66402C33"/>
    <w:rsid w:val="691E2D99"/>
    <w:rsid w:val="6A283301"/>
    <w:rsid w:val="6BBF14A8"/>
    <w:rsid w:val="6FFB4F5E"/>
    <w:rsid w:val="70674EDD"/>
    <w:rsid w:val="70C70003"/>
    <w:rsid w:val="729A2C47"/>
    <w:rsid w:val="74C826DD"/>
    <w:rsid w:val="76BB49BF"/>
    <w:rsid w:val="77C26066"/>
    <w:rsid w:val="78BF0B7F"/>
    <w:rsid w:val="798E1E9F"/>
    <w:rsid w:val="7A5E4A39"/>
    <w:rsid w:val="7B9B2F2D"/>
    <w:rsid w:val="7D7D46A0"/>
    <w:rsid w:val="7DA32391"/>
    <w:rsid w:val="7E334D6B"/>
    <w:rsid w:val="7FC4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ad4189b2-72f6-46ba-b6d1-19c4bdcd453a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17EE7AB</paraID>
      <start>0</start>
      <end>2</end>
      <status>unmodified</status>
      <modifiedWord/>
      <trackRevisions>false</trackRevisions>
    </reviewItem>
    <reviewItem>
      <errorID>254f45e1-de13-47fe-90e0-910f866d4636</errorID>
      <errorWord>依托于</errorWord>
      <group>L1_Word</group>
      <groupName>字词问题</groupName>
      <ability>L2_Typo</ability>
      <abilityName>字词错误</abilityName>
      <candidateList>
        <item>依托</item>
      </candidateList>
      <explain/>
      <paraID>7C8A4749</paraID>
      <start>72</start>
      <end>74</end>
      <status>modified</status>
      <modifiedWord>依托</modifiedWord>
      <trackRevisions>false</trackRevisions>
    </reviewItem>
    <reviewItem>
      <errorID>f95ac557-df2f-49a8-9dfc-b2e69a450a2b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57A5AEDC</paraID>
      <start>0</start>
      <end>2</end>
      <status>unmodified</status>
      <modifiedWord/>
      <trackRevisions>false</trackRevisions>
    </reviewItem>
    <reviewItem>
      <errorID>2cfb6c9d-2c17-44b5-9c27-28a9d7d42fad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5E8CD505</paraID>
      <start>0</start>
      <end>2</end>
      <status>unmodified</status>
      <modifiedWord/>
      <trackRevisions>false</trackRevisions>
    </reviewItem>
    <reviewItem>
      <errorID>8df75c9f-82a1-47d8-a34f-df2c84d622f7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2E236AB1</paraID>
      <start>0</start>
      <end>2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eb13b-50d2-470d-aa71-ee2a1125941d}">
  <ds:schemaRefs/>
</ds:datastoreItem>
</file>

<file path=customXml/itemProps2.xml><?xml version="1.0" encoding="utf-8"?>
<ds:datastoreItem xmlns:ds="http://schemas.openxmlformats.org/officeDocument/2006/customXml" ds:itemID="{F22022EE-7788-49C6-930B-29B69E54E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890</Words>
  <Characters>924</Characters>
  <Lines>35</Lines>
  <Paragraphs>33</Paragraphs>
  <TotalTime>182</TotalTime>
  <ScaleCrop>false</ScaleCrop>
  <LinksUpToDate>false</LinksUpToDate>
  <CharactersWithSpaces>994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2025-11-13T01:57:00Z</dcterms:created>
  <dc:creator>余悦</dc:creator>
  <cp:lastModifiedBy>余悦</cp:lastModifiedBy>
  <dcterms:modified xsi:type="dcterms:W3CDTF">2026-02-10T02:49:13Z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BAB702C22CB54477BA7B88F787C1135F_13</vt:lpwstr>
  </property>
  <property fmtid="{D5CDD505-2E9C-101B-9397-08002B2CF9AE}" pid="4" name="KSOTemplateDocerSaveRecord">
    <vt:lpwstr>eyJoZGlkIjoiNjljN2I1NWE2YjJkN2ViZTMxOTEwN2E5NWYyYjJkYzciLCJ1c2VySWQiOiIxMjYwMTIwNTkzIn0=</vt:lpwstr>
  </property>
</Properties>
</file>