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C" w:rsidRDefault="00AD355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:rsidR="00BD5AFC" w:rsidRDefault="00AD355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6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年2月12日投资者关系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sz w:val="32"/>
          <w:szCs w:val="32"/>
        </w:rPr>
        <w:t>活动记录表</w:t>
      </w:r>
    </w:p>
    <w:p w:rsidR="00BD5AFC" w:rsidRDefault="00BD5AFC"/>
    <w:p w:rsidR="00BD5AFC" w:rsidRDefault="00AD3558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cs="宋体" w:hint="eastAsia"/>
          <w:b/>
          <w:bCs/>
        </w:rPr>
        <w:t>-0</w:t>
      </w:r>
      <w:r>
        <w:rPr>
          <w:rFonts w:cs="宋体"/>
          <w:b/>
          <w:bCs/>
        </w:rPr>
        <w:t>0</w:t>
      </w:r>
      <w:r>
        <w:rPr>
          <w:rFonts w:cs="宋体" w:hint="eastAsia"/>
          <w:b/>
          <w:bCs/>
        </w:rPr>
        <w:t>3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7999"/>
      </w:tblGrid>
      <w:tr w:rsidR="00BD5AFC">
        <w:trPr>
          <w:trHeight w:val="1981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:rsidR="00BD5AFC" w:rsidRDefault="00AD3558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:rsidR="00BD5AFC" w:rsidRDefault="00AD3558">
            <w:pPr>
              <w:ind w:firstLineChars="0" w:firstLine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BD5AFC">
        <w:trPr>
          <w:trHeight w:val="58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金信基金</w:t>
            </w:r>
          </w:p>
        </w:tc>
      </w:tr>
      <w:tr w:rsidR="00BD5AFC">
        <w:trPr>
          <w:trHeight w:val="495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026年</w:t>
            </w:r>
            <w:r>
              <w:rPr>
                <w:rFonts w:hint="eastAsia"/>
              </w:rPr>
              <w:t>2月12日</w:t>
            </w:r>
          </w:p>
        </w:tc>
      </w:tr>
      <w:tr w:rsidR="00BD5AFC">
        <w:trPr>
          <w:trHeight w:val="53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线上交流</w:t>
            </w:r>
          </w:p>
        </w:tc>
      </w:tr>
      <w:tr w:rsidR="00BD5AFC">
        <w:trPr>
          <w:trHeight w:val="58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:rsidR="00BD5AFC" w:rsidRDefault="00AD3558">
            <w:pPr>
              <w:ind w:firstLineChars="0" w:firstLine="0"/>
            </w:pPr>
            <w:r>
              <w:t>董事会秘书：龚小刚</w:t>
            </w:r>
          </w:p>
        </w:tc>
      </w:tr>
      <w:tr w:rsidR="00BD5AFC">
        <w:trPr>
          <w:trHeight w:val="587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:rsidR="00BD5AFC" w:rsidRDefault="00AD3558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>
              <w:rPr>
                <w:rFonts w:asciiTheme="minorEastAsia" w:hAnsiTheme="minorEastAsia"/>
                <w:b/>
                <w:bCs/>
              </w:rPr>
              <w:t>国芯科技为什么从事量子安全</w:t>
            </w:r>
            <w:r>
              <w:rPr>
                <w:rFonts w:asciiTheme="minorEastAsia" w:hAnsiTheme="minorEastAsia" w:hint="eastAsia"/>
                <w:b/>
                <w:bCs/>
              </w:rPr>
              <w:t>/抗量子密码业务，传统信息安全业务为什么要转型量子安全/抗量子密码？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  <w:bCs/>
              </w:rPr>
              <w:t>答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  <w:proofErr w:type="gramStart"/>
            <w:r w:rsidR="006B2E11" w:rsidRPr="006B2E11">
              <w:rPr>
                <w:rFonts w:asciiTheme="minorEastAsia" w:hAnsiTheme="minorEastAsia" w:hint="eastAsia"/>
              </w:rPr>
              <w:t>国芯科技</w:t>
            </w:r>
            <w:proofErr w:type="gramEnd"/>
            <w:r w:rsidR="006B2E11" w:rsidRPr="006B2E11">
              <w:rPr>
                <w:rFonts w:asciiTheme="minorEastAsia" w:hAnsiTheme="minorEastAsia" w:hint="eastAsia"/>
              </w:rPr>
              <w:t>在国内较早布局量子安全领域，是</w:t>
            </w:r>
            <w:r w:rsidR="006B2E11">
              <w:rPr>
                <w:rFonts w:asciiTheme="minorEastAsia" w:hAnsiTheme="minorEastAsia" w:hint="eastAsia"/>
              </w:rPr>
              <w:t>公司</w:t>
            </w:r>
            <w:r w:rsidR="006B2E11" w:rsidRPr="006B2E11">
              <w:rPr>
                <w:rFonts w:asciiTheme="minorEastAsia" w:hAnsiTheme="minorEastAsia" w:hint="eastAsia"/>
              </w:rPr>
              <w:t>传统业务在新时代下的必然战略延伸，主要原因如下：</w:t>
            </w:r>
          </w:p>
          <w:p w:rsidR="00BD5AFC" w:rsidRDefault="00AD3558">
            <w:pPr>
              <w:numPr>
                <w:ilvl w:val="0"/>
                <w:numId w:val="2"/>
              </w:num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应对未来的安全威胁：随着量子计算机的快速发展，当前广泛使用的RSA、ECC等加密算法面临被破解的风险。作为信息安全芯片企业，国芯科技必须为客户的数据安全长远谋划，提前布局</w:t>
            </w:r>
            <w:r>
              <w:rPr>
                <w:rFonts w:asciiTheme="minorEastAsia" w:hAnsiTheme="minorEastAsia" w:hint="eastAsia"/>
              </w:rPr>
              <w:t>量子安全/</w:t>
            </w:r>
            <w:r>
              <w:rPr>
                <w:rFonts w:asciiTheme="minorEastAsia" w:hAnsiTheme="minorEastAsia"/>
              </w:rPr>
              <w:t>抗量子技术体系。</w:t>
            </w:r>
          </w:p>
          <w:p w:rsidR="00BD5AFC" w:rsidRDefault="00AD3558">
            <w:pPr>
              <w:numPr>
                <w:ilvl w:val="0"/>
                <w:numId w:val="2"/>
              </w:num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抓住国家战略与市场机遇：量子技术是国家核心战略方向</w:t>
            </w:r>
            <w:r>
              <w:rPr>
                <w:rFonts w:asciiTheme="minorEastAsia" w:hAnsiTheme="minorEastAsia" w:hint="eastAsia"/>
              </w:rPr>
              <w:t>之一</w:t>
            </w:r>
            <w:r>
              <w:rPr>
                <w:rFonts w:asciiTheme="minorEastAsia" w:hAnsiTheme="minorEastAsia"/>
              </w:rPr>
              <w:t>，“十五五”规划明确提出要重点发展量子科技，来自政务、金融、能源等关键领域对</w:t>
            </w:r>
            <w:r>
              <w:rPr>
                <w:rFonts w:asciiTheme="minorEastAsia" w:hAnsiTheme="minorEastAsia" w:hint="eastAsia"/>
              </w:rPr>
              <w:t>“</w:t>
            </w:r>
            <w:r>
              <w:rPr>
                <w:rFonts w:asciiTheme="minorEastAsia" w:hAnsiTheme="minorEastAsia"/>
              </w:rPr>
              <w:t>量子安全</w:t>
            </w:r>
            <w:r>
              <w:rPr>
                <w:rFonts w:asciiTheme="minorEastAsia" w:hAnsiTheme="minorEastAsia" w:hint="eastAsia"/>
              </w:rPr>
              <w:t>”</w:t>
            </w:r>
            <w:r>
              <w:rPr>
                <w:rFonts w:asciiTheme="minorEastAsia" w:hAnsiTheme="minorEastAsia"/>
              </w:rPr>
              <w:t>和</w:t>
            </w:r>
            <w:r>
              <w:rPr>
                <w:rFonts w:asciiTheme="minorEastAsia" w:hAnsiTheme="minorEastAsia" w:hint="eastAsia"/>
              </w:rPr>
              <w:t>“</w:t>
            </w:r>
            <w:r>
              <w:rPr>
                <w:rFonts w:asciiTheme="minorEastAsia" w:hAnsiTheme="minorEastAsia"/>
              </w:rPr>
              <w:t>抗量子密码</w:t>
            </w:r>
            <w:r>
              <w:rPr>
                <w:rFonts w:asciiTheme="minorEastAsia" w:hAnsiTheme="minorEastAsia" w:hint="eastAsia"/>
              </w:rPr>
              <w:t>”</w:t>
            </w:r>
            <w:r>
              <w:rPr>
                <w:rFonts w:asciiTheme="minorEastAsia" w:hAnsiTheme="minorEastAsia"/>
              </w:rPr>
              <w:t>的升级需求明确且迫切，市场</w:t>
            </w:r>
            <w:r w:rsidR="00820198">
              <w:rPr>
                <w:rFonts w:asciiTheme="minorEastAsia" w:hAnsiTheme="minorEastAsia"/>
              </w:rPr>
              <w:lastRenderedPageBreak/>
              <w:t>有望</w:t>
            </w:r>
            <w:r>
              <w:rPr>
                <w:rFonts w:asciiTheme="minorEastAsia" w:hAnsiTheme="minorEastAsia"/>
              </w:rPr>
              <w:t>进入快速增长期。</w:t>
            </w:r>
          </w:p>
          <w:p w:rsidR="00BD5AFC" w:rsidRDefault="00AD3558">
            <w:pPr>
              <w:numPr>
                <w:ilvl w:val="0"/>
                <w:numId w:val="2"/>
              </w:num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推动</w:t>
            </w:r>
            <w:r>
              <w:rPr>
                <w:rFonts w:asciiTheme="minorEastAsia" w:hAnsiTheme="minorEastAsia"/>
              </w:rPr>
              <w:t>核心主业</w:t>
            </w:r>
            <w:r>
              <w:rPr>
                <w:rFonts w:asciiTheme="minorEastAsia" w:hAnsiTheme="minorEastAsia" w:hint="eastAsia"/>
              </w:rPr>
              <w:t>升级</w:t>
            </w:r>
            <w:r>
              <w:rPr>
                <w:rFonts w:asciiTheme="minorEastAsia" w:hAnsiTheme="minorEastAsia"/>
              </w:rPr>
              <w:t>：量子安全代表着信息安全的更高形态。</w:t>
            </w:r>
            <w:proofErr w:type="gramStart"/>
            <w:r>
              <w:rPr>
                <w:rFonts w:asciiTheme="minorEastAsia" w:hAnsiTheme="minorEastAsia"/>
              </w:rPr>
              <w:t>国芯科技</w:t>
            </w:r>
            <w:proofErr w:type="gramEnd"/>
            <w:r>
              <w:rPr>
                <w:rFonts w:asciiTheme="minorEastAsia" w:hAnsiTheme="minorEastAsia"/>
              </w:rPr>
              <w:t>在传统信创、金融、物联网、</w:t>
            </w:r>
            <w:proofErr w:type="gramStart"/>
            <w:r>
              <w:rPr>
                <w:rFonts w:asciiTheme="minorEastAsia" w:hAnsiTheme="minorEastAsia"/>
              </w:rPr>
              <w:t>云安全</w:t>
            </w:r>
            <w:proofErr w:type="gramEnd"/>
            <w:r>
              <w:rPr>
                <w:rFonts w:asciiTheme="minorEastAsia" w:hAnsiTheme="minorEastAsia"/>
              </w:rPr>
              <w:t>芯片领域有深厚的技术、产品和市场积累，</w:t>
            </w:r>
            <w:r w:rsidR="00820198">
              <w:rPr>
                <w:rFonts w:asciiTheme="minorEastAsia" w:hAnsiTheme="minorEastAsia"/>
              </w:rPr>
              <w:t>这</w:t>
            </w:r>
            <w:r>
              <w:rPr>
                <w:rFonts w:asciiTheme="minorEastAsia" w:hAnsiTheme="minorEastAsia"/>
              </w:rPr>
              <w:t>为</w:t>
            </w:r>
            <w:r w:rsidR="00820198">
              <w:rPr>
                <w:rFonts w:asciiTheme="minorEastAsia" w:hAnsiTheme="minorEastAsia"/>
              </w:rPr>
              <w:t>公司</w:t>
            </w:r>
            <w:r>
              <w:rPr>
                <w:rFonts w:asciiTheme="minorEastAsia" w:hAnsiTheme="minorEastAsia"/>
              </w:rPr>
              <w:t>向更高阶的量子/抗量子安全芯片升级提供了</w:t>
            </w:r>
            <w:r>
              <w:rPr>
                <w:rFonts w:asciiTheme="minorEastAsia" w:hAnsiTheme="minorEastAsia" w:hint="eastAsia"/>
              </w:rPr>
              <w:t>顺畅</w:t>
            </w:r>
            <w:r>
              <w:rPr>
                <w:rFonts w:asciiTheme="minorEastAsia" w:hAnsiTheme="minorEastAsia"/>
              </w:rPr>
              <w:t>的技术和市场通道</w:t>
            </w:r>
            <w:r w:rsidR="00820198">
              <w:rPr>
                <w:rFonts w:asciiTheme="minorEastAsia" w:hAnsiTheme="minorEastAsia"/>
              </w:rPr>
              <w:t>，量子技术将推动公司传统</w:t>
            </w:r>
            <w:proofErr w:type="gramStart"/>
            <w:r w:rsidR="00820198">
              <w:rPr>
                <w:rFonts w:asciiTheme="minorEastAsia" w:hAnsiTheme="minorEastAsia"/>
              </w:rPr>
              <w:t>信创与</w:t>
            </w:r>
            <w:proofErr w:type="gramEnd"/>
            <w:r w:rsidR="00820198">
              <w:rPr>
                <w:rFonts w:asciiTheme="minorEastAsia" w:hAnsiTheme="minorEastAsia"/>
              </w:rPr>
              <w:t>信息安全业务转型升级</w:t>
            </w:r>
            <w:r>
              <w:rPr>
                <w:rFonts w:asciiTheme="minorEastAsia" w:hAnsiTheme="minorEastAsia"/>
              </w:rPr>
              <w:t>。</w:t>
            </w:r>
          </w:p>
          <w:p w:rsidR="00BD5AFC" w:rsidRDefault="00AD3558" w:rsidP="00820198">
            <w:pPr>
              <w:numPr>
                <w:ilvl w:val="0"/>
                <w:numId w:val="2"/>
              </w:numPr>
              <w:ind w:firstLineChars="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开辟</w:t>
            </w:r>
            <w:r>
              <w:rPr>
                <w:rFonts w:asciiTheme="minorEastAsia" w:hAnsiTheme="minorEastAsia"/>
              </w:rPr>
              <w:t>未来</w:t>
            </w:r>
            <w:r>
              <w:rPr>
                <w:rFonts w:asciiTheme="minorEastAsia" w:hAnsiTheme="minorEastAsia" w:hint="eastAsia"/>
              </w:rPr>
              <w:t>增长新赛道</w:t>
            </w:r>
            <w:r>
              <w:rPr>
                <w:rFonts w:asciiTheme="minorEastAsia" w:hAnsiTheme="minorEastAsia"/>
              </w:rPr>
              <w:t>：</w:t>
            </w:r>
            <w:r w:rsidR="00820198">
              <w:rPr>
                <w:rFonts w:asciiTheme="minorEastAsia" w:hAnsiTheme="minorEastAsia"/>
              </w:rPr>
              <w:t>量子计算</w:t>
            </w:r>
            <w:r>
              <w:rPr>
                <w:rFonts w:asciiTheme="minorEastAsia" w:hAnsiTheme="minorEastAsia"/>
              </w:rPr>
              <w:t>是</w:t>
            </w:r>
            <w:r>
              <w:rPr>
                <w:rFonts w:asciiTheme="minorEastAsia" w:hAnsiTheme="minorEastAsia" w:hint="eastAsia"/>
              </w:rPr>
              <w:t>具备</w:t>
            </w:r>
            <w:r>
              <w:rPr>
                <w:rFonts w:asciiTheme="minorEastAsia" w:hAnsiTheme="minorEastAsia"/>
              </w:rPr>
              <w:t>颠覆性的</w:t>
            </w:r>
            <w:r>
              <w:rPr>
                <w:rFonts w:asciiTheme="minorEastAsia" w:hAnsiTheme="minorEastAsia" w:hint="eastAsia"/>
              </w:rPr>
              <w:t>技术形态</w:t>
            </w:r>
            <w:r w:rsidR="00D6369C">
              <w:rPr>
                <w:rFonts w:asciiTheme="minorEastAsia" w:hAnsiTheme="minorEastAsia" w:hint="eastAsia"/>
              </w:rPr>
              <w:t>，其对传统信息安全形态构成严重威胁</w:t>
            </w:r>
            <w:r>
              <w:rPr>
                <w:rFonts w:asciiTheme="minorEastAsia" w:hAnsiTheme="minorEastAsia"/>
              </w:rPr>
              <w:t>。通过</w:t>
            </w:r>
            <w:r w:rsidR="00820198">
              <w:rPr>
                <w:rFonts w:asciiTheme="minorEastAsia" w:hAnsiTheme="minorEastAsia"/>
              </w:rPr>
              <w:t>对</w:t>
            </w:r>
            <w:r w:rsidR="00820198" w:rsidRPr="00820198">
              <w:rPr>
                <w:rFonts w:asciiTheme="minorEastAsia" w:hAnsiTheme="minorEastAsia" w:hint="eastAsia"/>
              </w:rPr>
              <w:t>量子安全</w:t>
            </w:r>
            <w:r w:rsidR="00820198" w:rsidRPr="00820198">
              <w:rPr>
                <w:rFonts w:asciiTheme="minorEastAsia" w:hAnsiTheme="minorEastAsia"/>
              </w:rPr>
              <w:t>/抗量子密码业务</w:t>
            </w:r>
            <w:r>
              <w:rPr>
                <w:rFonts w:asciiTheme="minorEastAsia" w:hAnsiTheme="minorEastAsia"/>
              </w:rPr>
              <w:t>前瞻性</w:t>
            </w:r>
            <w:r>
              <w:rPr>
                <w:rFonts w:asciiTheme="minorEastAsia" w:hAnsiTheme="minorEastAsia" w:hint="eastAsia"/>
              </w:rPr>
              <w:t>投入</w:t>
            </w:r>
            <w:r>
              <w:rPr>
                <w:rFonts w:asciiTheme="minorEastAsia" w:hAnsiTheme="minorEastAsia"/>
              </w:rPr>
              <w:t>与合作，公司致力于打造</w:t>
            </w:r>
            <w:r w:rsidR="00820198">
              <w:rPr>
                <w:rFonts w:asciiTheme="minorEastAsia" w:hAnsiTheme="minorEastAsia"/>
              </w:rPr>
              <w:t>基于量子技术的</w:t>
            </w:r>
            <w:r>
              <w:rPr>
                <w:rFonts w:asciiTheme="minorEastAsia" w:hAnsiTheme="minorEastAsia"/>
              </w:rPr>
              <w:t>新的</w:t>
            </w:r>
            <w:r w:rsidR="00820198">
              <w:rPr>
                <w:rFonts w:asciiTheme="minorEastAsia" w:hAnsiTheme="minorEastAsia"/>
              </w:rPr>
              <w:t>信息安全</w:t>
            </w:r>
            <w:r>
              <w:rPr>
                <w:rFonts w:asciiTheme="minorEastAsia" w:hAnsiTheme="minorEastAsia"/>
              </w:rPr>
              <w:t>技术路线与产品体系，为</w:t>
            </w:r>
            <w:r w:rsidR="00820198">
              <w:rPr>
                <w:rFonts w:asciiTheme="minorEastAsia" w:hAnsiTheme="minorEastAsia"/>
              </w:rPr>
              <w:t>公司信息安全业务</w:t>
            </w:r>
            <w:r>
              <w:rPr>
                <w:rFonts w:asciiTheme="minorEastAsia" w:hAnsiTheme="minorEastAsia"/>
              </w:rPr>
              <w:t>长远发展奠定基础。</w:t>
            </w:r>
          </w:p>
          <w:p w:rsidR="00BD5AFC" w:rsidRDefault="00AD3558">
            <w:pPr>
              <w:adjustRightInd w:val="0"/>
              <w:snapToGrid w:val="0"/>
              <w:ind w:firstLineChars="0" w:firstLine="49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2、</w:t>
            </w:r>
            <w:r>
              <w:rPr>
                <w:rFonts w:asciiTheme="minorEastAsia" w:hAnsiTheme="minorEastAsia" w:hint="eastAsia"/>
                <w:b/>
              </w:rPr>
              <w:t>请谈谈</w:t>
            </w:r>
            <w:r>
              <w:rPr>
                <w:rFonts w:asciiTheme="minorEastAsia" w:hAnsiTheme="minorEastAsia"/>
                <w:b/>
                <w:bCs/>
              </w:rPr>
              <w:t>国芯科技在量子领域的核心竞争力？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  <w:bCs/>
              </w:rPr>
              <w:t>答：</w:t>
            </w:r>
            <w:proofErr w:type="gramStart"/>
            <w:r w:rsidR="004A6C32" w:rsidRPr="004A6C32">
              <w:rPr>
                <w:rFonts w:asciiTheme="minorEastAsia" w:hAnsiTheme="minorEastAsia" w:hint="eastAsia"/>
              </w:rPr>
              <w:t>国芯科技</w:t>
            </w:r>
            <w:proofErr w:type="gramEnd"/>
            <w:r w:rsidR="004A6C32" w:rsidRPr="004A6C32">
              <w:rPr>
                <w:rFonts w:asciiTheme="minorEastAsia" w:hAnsiTheme="minorEastAsia" w:hint="eastAsia"/>
              </w:rPr>
              <w:t>在量子安全领域的核心竞争力不是依赖单一技术或产品，而是一个由技术路线、生态合作、工程化能力共同构成的发展体系，重在构建自主可控、深度协同、优势互补的生态模式。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（1）核心优势</w:t>
            </w:r>
            <w:proofErr w:type="gramStart"/>
            <w:r>
              <w:rPr>
                <w:rFonts w:asciiTheme="minorEastAsia" w:hAnsiTheme="minorEastAsia" w:hint="eastAsia"/>
              </w:rPr>
              <w:t>一</w:t>
            </w:r>
            <w:proofErr w:type="gramEnd"/>
            <w:r>
              <w:rPr>
                <w:rFonts w:asciiTheme="minorEastAsia" w:hAnsiTheme="minorEastAsia" w:hint="eastAsia"/>
              </w:rPr>
              <w:t>：覆盖</w:t>
            </w:r>
            <w:r>
              <w:rPr>
                <w:rFonts w:asciiTheme="minorEastAsia" w:hAnsiTheme="minorEastAsia"/>
              </w:rPr>
              <w:t>量子</w:t>
            </w:r>
            <w:r>
              <w:rPr>
                <w:rFonts w:asciiTheme="minorEastAsia" w:hAnsiTheme="minorEastAsia" w:hint="eastAsia"/>
              </w:rPr>
              <w:t>安全与</w:t>
            </w:r>
            <w:r>
              <w:rPr>
                <w:rFonts w:asciiTheme="minorEastAsia" w:hAnsiTheme="minorEastAsia"/>
              </w:rPr>
              <w:t>抗量子</w:t>
            </w:r>
            <w:r>
              <w:rPr>
                <w:rFonts w:asciiTheme="minorEastAsia" w:hAnsiTheme="minorEastAsia" w:hint="eastAsia"/>
              </w:rPr>
              <w:t>密码</w:t>
            </w:r>
            <w:r>
              <w:rPr>
                <w:rFonts w:asciiTheme="minorEastAsia" w:hAnsiTheme="minorEastAsia"/>
              </w:rPr>
              <w:t>的双重布局</w:t>
            </w:r>
          </w:p>
          <w:p w:rsidR="00BD5AFC" w:rsidRDefault="00AD3558">
            <w:pPr>
              <w:ind w:firstLineChars="200" w:firstLine="4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国芯科技</w:t>
            </w:r>
            <w:r>
              <w:rPr>
                <w:rFonts w:asciiTheme="minorEastAsia" w:hAnsiTheme="minorEastAsia"/>
              </w:rPr>
              <w:t>采取</w:t>
            </w:r>
            <w:r>
              <w:rPr>
                <w:rFonts w:asciiTheme="minorEastAsia" w:hAnsiTheme="minorEastAsia" w:hint="eastAsia"/>
              </w:rPr>
              <w:t>“</w:t>
            </w:r>
            <w:r>
              <w:rPr>
                <w:rFonts w:asciiTheme="minorEastAsia" w:hAnsiTheme="minorEastAsia"/>
              </w:rPr>
              <w:t>攻防兼备</w:t>
            </w:r>
            <w:r>
              <w:rPr>
                <w:rFonts w:asciiTheme="minorEastAsia" w:hAnsiTheme="minorEastAsia" w:hint="eastAsia"/>
              </w:rPr>
              <w:t>”</w:t>
            </w:r>
            <w:r>
              <w:rPr>
                <w:rFonts w:asciiTheme="minorEastAsia" w:hAnsiTheme="minorEastAsia"/>
              </w:rPr>
              <w:t>的策略，布局两条并行且互补的技术路线：</w:t>
            </w:r>
          </w:p>
          <w:p w:rsidR="00651629" w:rsidRDefault="00651629">
            <w:pPr>
              <w:ind w:firstLineChars="200" w:firstLine="480"/>
              <w:rPr>
                <w:rFonts w:ascii="Calibri" w:hAnsi="Calibri" w:cs="Calibri"/>
              </w:rPr>
            </w:pPr>
            <w:r w:rsidRPr="00651629">
              <w:rPr>
                <w:rFonts w:ascii="Calibri" w:hAnsi="Calibri" w:cs="Calibri" w:hint="eastAsia"/>
              </w:rPr>
              <w:t>①量子安全：基于自身在信息安全芯片领域的深厚积累，国芯科技已构建出一条有技术壁垒的技术路线。其典型方案是：采用参股公司合肥硅</w:t>
            </w:r>
            <w:proofErr w:type="gramStart"/>
            <w:r w:rsidRPr="00651629">
              <w:rPr>
                <w:rFonts w:ascii="Calibri" w:hAnsi="Calibri" w:cs="Calibri" w:hint="eastAsia"/>
              </w:rPr>
              <w:t>臻</w:t>
            </w:r>
            <w:proofErr w:type="gramEnd"/>
            <w:r w:rsidRPr="00651629">
              <w:rPr>
                <w:rFonts w:ascii="Calibri" w:hAnsi="Calibri" w:cs="Calibri" w:hint="eastAsia"/>
              </w:rPr>
              <w:t>的光量子发射和接收芯片作为基础熵源，并</w:t>
            </w:r>
            <w:proofErr w:type="gramStart"/>
            <w:r w:rsidRPr="00651629">
              <w:rPr>
                <w:rFonts w:ascii="Calibri" w:hAnsi="Calibri" w:cs="Calibri" w:hint="eastAsia"/>
              </w:rPr>
              <w:t>运用国芯科技</w:t>
            </w:r>
            <w:proofErr w:type="gramEnd"/>
            <w:r w:rsidRPr="00651629">
              <w:rPr>
                <w:rFonts w:ascii="Calibri" w:hAnsi="Calibri" w:cs="Calibri" w:hint="eastAsia"/>
              </w:rPr>
              <w:t>合作设计的光信号处理芯片，由此形成高性能的光量子随机数发生器模块。这是将</w:t>
            </w:r>
            <w:proofErr w:type="gramStart"/>
            <w:r w:rsidRPr="00651629">
              <w:rPr>
                <w:rFonts w:ascii="Calibri" w:hAnsi="Calibri" w:cs="Calibri" w:hint="eastAsia"/>
              </w:rPr>
              <w:t>物理熵源与</w:t>
            </w:r>
            <w:proofErr w:type="gramEnd"/>
            <w:r w:rsidRPr="00651629">
              <w:rPr>
                <w:rFonts w:ascii="Calibri" w:hAnsi="Calibri" w:cs="Calibri" w:hint="eastAsia"/>
              </w:rPr>
              <w:t>复杂的数字后处理核心、</w:t>
            </w:r>
            <w:proofErr w:type="gramStart"/>
            <w:r w:rsidRPr="00651629">
              <w:rPr>
                <w:rFonts w:ascii="Calibri" w:hAnsi="Calibri" w:cs="Calibri" w:hint="eastAsia"/>
              </w:rPr>
              <w:t>熵源健康</w:t>
            </w:r>
            <w:proofErr w:type="gramEnd"/>
            <w:r w:rsidRPr="00651629">
              <w:rPr>
                <w:rFonts w:ascii="Calibri" w:hAnsi="Calibri" w:cs="Calibri" w:hint="eastAsia"/>
              </w:rPr>
              <w:t>检测、随机数检测等电路进行系统性、芯片级的深度集成。最终，该模块再与国芯科技自主可控安全芯片相结合，形成完整的量子安全芯片（如</w:t>
            </w:r>
            <w:r w:rsidRPr="00651629">
              <w:rPr>
                <w:rFonts w:ascii="Calibri" w:hAnsi="Calibri" w:cs="Calibri"/>
              </w:rPr>
              <w:t>A5Q</w:t>
            </w:r>
            <w:r w:rsidRPr="00651629">
              <w:rPr>
                <w:rFonts w:ascii="Calibri" w:hAnsi="Calibri" w:cs="Calibri"/>
              </w:rPr>
              <w:t>芯片）。该模式还成功应用于量子密码卡、量子安全</w:t>
            </w:r>
            <w:r w:rsidRPr="00651629">
              <w:rPr>
                <w:rFonts w:ascii="Calibri" w:hAnsi="Calibri" w:cs="Calibri"/>
              </w:rPr>
              <w:t>U</w:t>
            </w:r>
            <w:r w:rsidRPr="00651629">
              <w:rPr>
                <w:rFonts w:ascii="Calibri" w:hAnsi="Calibri" w:cs="Calibri"/>
              </w:rPr>
              <w:t>盾等产品，并实现应用销售。</w:t>
            </w:r>
          </w:p>
          <w:p w:rsidR="00125653" w:rsidRDefault="00125653">
            <w:pPr>
              <w:ind w:firstLineChars="200" w:firstLine="480"/>
              <w:rPr>
                <w:rFonts w:asciiTheme="minorEastAsia" w:hAnsiTheme="minorEastAsia"/>
              </w:rPr>
            </w:pPr>
            <w:r w:rsidRPr="00125653">
              <w:rPr>
                <w:rFonts w:ascii="Calibri" w:hAnsi="Calibri" w:cs="Calibri" w:hint="eastAsia"/>
              </w:rPr>
              <w:t>②抗量子密码：研发能抵御量子计算攻击的新型密码芯片。</w:t>
            </w:r>
            <w:proofErr w:type="gramStart"/>
            <w:r w:rsidRPr="00125653">
              <w:rPr>
                <w:rFonts w:ascii="Calibri" w:hAnsi="Calibri" w:cs="Calibri" w:hint="eastAsia"/>
              </w:rPr>
              <w:t>国芯科技</w:t>
            </w:r>
            <w:proofErr w:type="gramEnd"/>
            <w:r w:rsidRPr="00125653">
              <w:rPr>
                <w:rFonts w:ascii="Calibri" w:hAnsi="Calibri" w:cs="Calibri" w:hint="eastAsia"/>
              </w:rPr>
              <w:t>在抗量子密码领域已建立起从底层算法工程化到上层产品化的</w:t>
            </w:r>
            <w:proofErr w:type="gramStart"/>
            <w:r w:rsidRPr="00125653">
              <w:rPr>
                <w:rFonts w:ascii="Calibri" w:hAnsi="Calibri" w:cs="Calibri" w:hint="eastAsia"/>
              </w:rPr>
              <w:t>完整技术</w:t>
            </w:r>
            <w:proofErr w:type="gramEnd"/>
            <w:r w:rsidRPr="00125653">
              <w:rPr>
                <w:rFonts w:ascii="Calibri" w:hAnsi="Calibri" w:cs="Calibri" w:hint="eastAsia"/>
              </w:rPr>
              <w:t>路径，其核心并非简单的算法集成，而是基于自</w:t>
            </w:r>
            <w:proofErr w:type="gramStart"/>
            <w:r w:rsidRPr="00125653">
              <w:rPr>
                <w:rFonts w:ascii="Calibri" w:hAnsi="Calibri" w:cs="Calibri" w:hint="eastAsia"/>
              </w:rPr>
              <w:t>研</w:t>
            </w:r>
            <w:proofErr w:type="gramEnd"/>
            <w:r w:rsidRPr="00125653">
              <w:rPr>
                <w:rFonts w:ascii="Calibri" w:hAnsi="Calibri" w:cs="Calibri" w:hint="eastAsia"/>
              </w:rPr>
              <w:t>的高性能</w:t>
            </w:r>
            <w:r w:rsidRPr="00125653">
              <w:rPr>
                <w:rFonts w:ascii="Calibri" w:hAnsi="Calibri" w:cs="Calibri"/>
              </w:rPr>
              <w:t>RISC-V</w:t>
            </w:r>
            <w:r w:rsidRPr="00125653">
              <w:rPr>
                <w:rFonts w:ascii="Calibri" w:hAnsi="Calibri" w:cs="Calibri"/>
              </w:rPr>
              <w:t>架构</w:t>
            </w:r>
            <w:r w:rsidRPr="00125653">
              <w:rPr>
                <w:rFonts w:ascii="Calibri" w:hAnsi="Calibri" w:cs="Calibri"/>
              </w:rPr>
              <w:t>CPU</w:t>
            </w:r>
            <w:r w:rsidRPr="00125653">
              <w:rPr>
                <w:rFonts w:ascii="Calibri" w:hAnsi="Calibri" w:cs="Calibri"/>
              </w:rPr>
              <w:t>内核，进行芯片级设计。公司与合作伙伴信大</w:t>
            </w:r>
            <w:proofErr w:type="gramStart"/>
            <w:r w:rsidRPr="00125653">
              <w:rPr>
                <w:rFonts w:ascii="Calibri" w:hAnsi="Calibri" w:cs="Calibri"/>
              </w:rPr>
              <w:t>壹密共同</w:t>
            </w:r>
            <w:proofErr w:type="gramEnd"/>
            <w:r w:rsidRPr="00125653">
              <w:rPr>
                <w:rFonts w:ascii="Calibri" w:hAnsi="Calibri" w:cs="Calibri"/>
              </w:rPr>
              <w:t>推出的</w:t>
            </w:r>
            <w:r w:rsidRPr="00125653">
              <w:rPr>
                <w:rFonts w:ascii="Calibri" w:hAnsi="Calibri" w:cs="Calibri"/>
              </w:rPr>
              <w:t xml:space="preserve"> AHC001</w:t>
            </w:r>
            <w:r w:rsidRPr="00125653">
              <w:rPr>
                <w:rFonts w:ascii="Calibri" w:hAnsi="Calibri" w:cs="Calibri"/>
              </w:rPr>
              <w:t>抗量子密码芯片，该芯片已完成对国际主流后量子密码算法（如</w:t>
            </w:r>
            <w:r w:rsidRPr="00125653">
              <w:rPr>
                <w:rFonts w:ascii="Calibri" w:hAnsi="Calibri" w:cs="Calibri"/>
              </w:rPr>
              <w:lastRenderedPageBreak/>
              <w:t>CRYSTALS-</w:t>
            </w:r>
            <w:proofErr w:type="spellStart"/>
            <w:r w:rsidRPr="00125653">
              <w:rPr>
                <w:rFonts w:ascii="Calibri" w:hAnsi="Calibri" w:cs="Calibri"/>
              </w:rPr>
              <w:t>Kyber</w:t>
            </w:r>
            <w:proofErr w:type="spellEnd"/>
            <w:r w:rsidRPr="00125653">
              <w:rPr>
                <w:rFonts w:ascii="Calibri" w:hAnsi="Calibri" w:cs="Calibri"/>
              </w:rPr>
              <w:t>/</w:t>
            </w:r>
            <w:proofErr w:type="spellStart"/>
            <w:r w:rsidRPr="00125653">
              <w:rPr>
                <w:rFonts w:ascii="Calibri" w:hAnsi="Calibri" w:cs="Calibri"/>
              </w:rPr>
              <w:t>Dilithium</w:t>
            </w:r>
            <w:proofErr w:type="spellEnd"/>
            <w:r w:rsidRPr="00125653">
              <w:rPr>
                <w:rFonts w:ascii="Calibri" w:hAnsi="Calibri" w:cs="Calibri"/>
              </w:rPr>
              <w:t>）的</w:t>
            </w:r>
            <w:r w:rsidRPr="00125653">
              <w:rPr>
                <w:rFonts w:ascii="Calibri" w:hAnsi="Calibri" w:cs="Calibri"/>
              </w:rPr>
              <w:t>IP</w:t>
            </w:r>
            <w:r w:rsidRPr="00125653">
              <w:rPr>
                <w:rFonts w:ascii="Calibri" w:hAnsi="Calibri" w:cs="Calibri"/>
              </w:rPr>
              <w:t>固化与芯片实现，并确保能与传统密码算法实现平滑过渡，满足</w:t>
            </w:r>
            <w:r w:rsidRPr="00125653">
              <w:rPr>
                <w:rFonts w:ascii="Calibri" w:hAnsi="Calibri" w:cs="Calibri"/>
              </w:rPr>
              <w:t>“</w:t>
            </w:r>
            <w:r w:rsidRPr="00125653">
              <w:rPr>
                <w:rFonts w:ascii="Calibri" w:hAnsi="Calibri" w:cs="Calibri"/>
              </w:rPr>
              <w:t>后量子密码迁移</w:t>
            </w:r>
            <w:r w:rsidRPr="00125653">
              <w:rPr>
                <w:rFonts w:ascii="Calibri" w:hAnsi="Calibri" w:cs="Calibri"/>
              </w:rPr>
              <w:t>”</w:t>
            </w:r>
            <w:r w:rsidRPr="00125653">
              <w:rPr>
                <w:rFonts w:ascii="Calibri" w:hAnsi="Calibri" w:cs="Calibri"/>
              </w:rPr>
              <w:t>的刚性需求。</w:t>
            </w:r>
            <w:proofErr w:type="gramStart"/>
            <w:r w:rsidRPr="00125653">
              <w:rPr>
                <w:rFonts w:ascii="Calibri" w:hAnsi="Calibri" w:cs="Calibri"/>
              </w:rPr>
              <w:t>国芯科技</w:t>
            </w:r>
            <w:proofErr w:type="gramEnd"/>
            <w:r w:rsidRPr="00125653">
              <w:rPr>
                <w:rFonts w:ascii="Calibri" w:hAnsi="Calibri" w:cs="Calibri"/>
              </w:rPr>
              <w:t>不仅进行算法集成，更推出了涵盖芯片、密码卡</w:t>
            </w:r>
            <w:r w:rsidRPr="00125653">
              <w:rPr>
                <w:rFonts w:ascii="Calibri" w:hAnsi="Calibri" w:cs="Calibri" w:hint="eastAsia"/>
              </w:rPr>
              <w:t>、终端的三级产品矩阵，提供支持“传统算法与抗量子算法”双模运行的平滑迁移方案。</w:t>
            </w:r>
          </w:p>
          <w:p w:rsidR="00D569D9" w:rsidRPr="00D569D9" w:rsidRDefault="00D569D9" w:rsidP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（</w:t>
            </w:r>
            <w:r w:rsidRPr="00D569D9">
              <w:rPr>
                <w:rFonts w:asciiTheme="minorEastAsia" w:hAnsiTheme="minorEastAsia"/>
              </w:rPr>
              <w:t>2）核心优势二：深度绑定的产业生态与合作网络</w:t>
            </w:r>
          </w:p>
          <w:p w:rsidR="00D569D9" w:rsidRPr="00D569D9" w:rsidRDefault="00D569D9" w:rsidP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通过战略投资与联合研发，</w:t>
            </w:r>
            <w:proofErr w:type="gramStart"/>
            <w:r w:rsidRPr="00D569D9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D569D9">
              <w:rPr>
                <w:rFonts w:asciiTheme="minorEastAsia" w:hAnsiTheme="minorEastAsia" w:hint="eastAsia"/>
              </w:rPr>
              <w:t>构建了有优势的上游技术护城河和下游应用生态：</w:t>
            </w:r>
          </w:p>
          <w:p w:rsidR="00D569D9" w:rsidRPr="00D569D9" w:rsidRDefault="00D569D9" w:rsidP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①关键上游协同：</w:t>
            </w:r>
            <w:proofErr w:type="gramStart"/>
            <w:r w:rsidRPr="00D569D9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D569D9">
              <w:rPr>
                <w:rFonts w:asciiTheme="minorEastAsia" w:hAnsiTheme="minorEastAsia" w:hint="eastAsia"/>
              </w:rPr>
              <w:t>采取开放式生态战略，通过战略投资深度绑定核心技术源。在量子安全方向投资合肥硅</w:t>
            </w:r>
            <w:proofErr w:type="gramStart"/>
            <w:r w:rsidRPr="00D569D9">
              <w:rPr>
                <w:rFonts w:asciiTheme="minorEastAsia" w:hAnsiTheme="minorEastAsia" w:hint="eastAsia"/>
              </w:rPr>
              <w:t>臻</w:t>
            </w:r>
            <w:proofErr w:type="gramEnd"/>
            <w:r w:rsidRPr="00D569D9">
              <w:rPr>
                <w:rFonts w:asciiTheme="minorEastAsia" w:hAnsiTheme="minorEastAsia" w:hint="eastAsia"/>
              </w:rPr>
              <w:t>以发展熵源；在抗量子密码方向，则前瞻布局了深耕算法和方案的</w:t>
            </w:r>
            <w:proofErr w:type="gramStart"/>
            <w:r w:rsidRPr="00D569D9">
              <w:rPr>
                <w:rFonts w:asciiTheme="minorEastAsia" w:hAnsiTheme="minorEastAsia" w:hint="eastAsia"/>
              </w:rPr>
              <w:t>上海泓格后</w:t>
            </w:r>
            <w:proofErr w:type="gramEnd"/>
            <w:r w:rsidRPr="00D569D9">
              <w:rPr>
                <w:rFonts w:asciiTheme="minorEastAsia" w:hAnsiTheme="minorEastAsia" w:hint="eastAsia"/>
              </w:rPr>
              <w:t>量子以及专注高安全解决方案的信大壹密，构建了覆盖熵源、算法到方案的</w:t>
            </w:r>
            <w:proofErr w:type="gramStart"/>
            <w:r w:rsidRPr="00D569D9">
              <w:rPr>
                <w:rFonts w:asciiTheme="minorEastAsia" w:hAnsiTheme="minorEastAsia" w:hint="eastAsia"/>
              </w:rPr>
              <w:t>完整技术</w:t>
            </w:r>
            <w:proofErr w:type="gramEnd"/>
            <w:r w:rsidRPr="00D569D9">
              <w:rPr>
                <w:rFonts w:asciiTheme="minorEastAsia" w:hAnsiTheme="minorEastAsia" w:hint="eastAsia"/>
              </w:rPr>
              <w:t>护城河。</w:t>
            </w:r>
          </w:p>
          <w:p w:rsidR="00D569D9" w:rsidRDefault="00D569D9">
            <w:pPr>
              <w:ind w:firstLineChars="200" w:firstLine="480"/>
              <w:rPr>
                <w:rFonts w:asciiTheme="minorEastAsia" w:hAnsiTheme="minorEastAsia"/>
              </w:rPr>
            </w:pPr>
            <w:r w:rsidRPr="00D569D9">
              <w:rPr>
                <w:rFonts w:asciiTheme="minorEastAsia" w:hAnsiTheme="minorEastAsia" w:hint="eastAsia"/>
              </w:rPr>
              <w:t>②广泛的下游合作伙伴合作共赢：</w:t>
            </w:r>
            <w:proofErr w:type="gramStart"/>
            <w:r w:rsidRPr="00D569D9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D569D9">
              <w:rPr>
                <w:rFonts w:asciiTheme="minorEastAsia" w:hAnsiTheme="minorEastAsia" w:hint="eastAsia"/>
              </w:rPr>
              <w:t>与问天量子、</w:t>
            </w:r>
            <w:proofErr w:type="gramStart"/>
            <w:r w:rsidRPr="00D569D9">
              <w:rPr>
                <w:rFonts w:asciiTheme="minorEastAsia" w:hAnsiTheme="minorEastAsia" w:hint="eastAsia"/>
              </w:rPr>
              <w:t>之江数安量子</w:t>
            </w:r>
            <w:proofErr w:type="gramEnd"/>
            <w:r w:rsidRPr="00D569D9">
              <w:rPr>
                <w:rFonts w:asciiTheme="minorEastAsia" w:hAnsiTheme="minorEastAsia" w:hint="eastAsia"/>
              </w:rPr>
              <w:t>、图灵量子和</w:t>
            </w:r>
            <w:proofErr w:type="gramStart"/>
            <w:r w:rsidRPr="00D569D9">
              <w:rPr>
                <w:rFonts w:asciiTheme="minorEastAsia" w:hAnsiTheme="minorEastAsia" w:hint="eastAsia"/>
              </w:rPr>
              <w:t>芯昇</w:t>
            </w:r>
            <w:proofErr w:type="gramEnd"/>
            <w:r w:rsidRPr="00D569D9">
              <w:rPr>
                <w:rFonts w:asciiTheme="minorEastAsia" w:hAnsiTheme="minorEastAsia" w:hint="eastAsia"/>
              </w:rPr>
              <w:t>科技等行业领军企业建立战略合作，共同推动产品在政务、电力、金融等具体场景的落地。</w:t>
            </w:r>
          </w:p>
          <w:p w:rsidR="003E6FA6" w:rsidRPr="003E6FA6" w:rsidRDefault="003E6FA6" w:rsidP="003E6FA6">
            <w:pPr>
              <w:ind w:firstLineChars="200" w:firstLine="480"/>
              <w:rPr>
                <w:rFonts w:asciiTheme="minorEastAsia" w:hAnsiTheme="minorEastAsia"/>
              </w:rPr>
            </w:pPr>
            <w:r w:rsidRPr="003E6FA6">
              <w:rPr>
                <w:rFonts w:asciiTheme="minorEastAsia" w:hAnsiTheme="minorEastAsia" w:hint="eastAsia"/>
              </w:rPr>
              <w:t>（</w:t>
            </w:r>
            <w:r w:rsidRPr="003E6FA6">
              <w:rPr>
                <w:rFonts w:asciiTheme="minorEastAsia" w:hAnsiTheme="minorEastAsia"/>
              </w:rPr>
              <w:t>3）核心优势三：坚实的芯片设计与工程化能力</w:t>
            </w:r>
          </w:p>
          <w:p w:rsidR="003E6FA6" w:rsidRPr="003E6FA6" w:rsidRDefault="003E6FA6" w:rsidP="003E6FA6">
            <w:pPr>
              <w:ind w:firstLineChars="200" w:firstLine="480"/>
              <w:rPr>
                <w:rFonts w:asciiTheme="minorEastAsia" w:hAnsiTheme="minorEastAsia"/>
              </w:rPr>
            </w:pPr>
            <w:r w:rsidRPr="003E6FA6">
              <w:rPr>
                <w:rFonts w:asciiTheme="minorEastAsia" w:hAnsiTheme="minorEastAsia" w:hint="eastAsia"/>
              </w:rPr>
              <w:t>公司拥有自主的嵌入式</w:t>
            </w:r>
            <w:r w:rsidRPr="003E6FA6">
              <w:rPr>
                <w:rFonts w:asciiTheme="minorEastAsia" w:hAnsiTheme="minorEastAsia"/>
              </w:rPr>
              <w:t>CPU内核微架构设计技术和丰富的芯片设计经验，以RISC-V、PowerPC等指令架构为基础公司设计完成8大系列40余款嵌入式CPU内核，在嵌入式CPU内核多个领域形成较强的技术壁垒，具备将复杂的量子安全模块与传统芯片架构高效集成的能力。</w:t>
            </w:r>
          </w:p>
          <w:p w:rsidR="00BD5AFC" w:rsidRDefault="003E6FA6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proofErr w:type="gramStart"/>
            <w:r w:rsidRPr="003E6FA6">
              <w:rPr>
                <w:rFonts w:asciiTheme="minorEastAsia" w:hAnsiTheme="minorEastAsia" w:hint="eastAsia"/>
              </w:rPr>
              <w:t>国芯科技</w:t>
            </w:r>
            <w:proofErr w:type="gramEnd"/>
            <w:r w:rsidRPr="003E6FA6">
              <w:rPr>
                <w:rFonts w:asciiTheme="minorEastAsia" w:hAnsiTheme="minorEastAsia" w:hint="eastAsia"/>
              </w:rPr>
              <w:t>布局量子安全领域，本质上是对公司自身信息安全产业的一次升级，是公司基于对信息安全产业的深刻理解，通过独特的技术组合策略和深度的生态绑定，构筑了从技术源头到产品落地的完整能力。其核心目标是在未来数字安全的“量子时代”到来前，建立起坚固的技术壁垒和市场护城河。</w:t>
            </w:r>
          </w:p>
          <w:p w:rsidR="00BD5AFC" w:rsidRDefault="00BD5AFC">
            <w:pPr>
              <w:adjustRightInd w:val="0"/>
              <w:snapToGrid w:val="0"/>
              <w:ind w:firstLineChars="200" w:firstLine="480"/>
            </w:pPr>
          </w:p>
          <w:p w:rsidR="00BD5AFC" w:rsidRDefault="00AD3558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BD5AFC">
        <w:trPr>
          <w:trHeight w:val="672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425" w:type="pct"/>
          </w:tcPr>
          <w:p w:rsidR="00BD5AFC" w:rsidRDefault="00AD3558">
            <w:pPr>
              <w:ind w:firstLineChars="0" w:firstLine="0"/>
            </w:pPr>
            <w:r>
              <w:t>无</w:t>
            </w:r>
          </w:p>
        </w:tc>
      </w:tr>
      <w:tr w:rsidR="00BD5AFC">
        <w:trPr>
          <w:trHeight w:val="382"/>
        </w:trPr>
        <w:tc>
          <w:tcPr>
            <w:tcW w:w="575" w:type="pct"/>
            <w:vAlign w:val="center"/>
          </w:tcPr>
          <w:p w:rsidR="00BD5AFC" w:rsidRDefault="00AD3558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:rsidR="00BD5AFC" w:rsidRDefault="00AD355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026年</w:t>
            </w:r>
            <w:r>
              <w:rPr>
                <w:rFonts w:hint="eastAsia"/>
              </w:rPr>
              <w:t>2月</w:t>
            </w:r>
          </w:p>
        </w:tc>
      </w:tr>
    </w:tbl>
    <w:p w:rsidR="00BD5AFC" w:rsidRDefault="00BD5AFC">
      <w:pPr>
        <w:ind w:firstLineChars="0" w:firstLine="0"/>
      </w:pPr>
    </w:p>
    <w:sectPr w:rsidR="00BD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B3" w:rsidRDefault="003578B3">
      <w:pPr>
        <w:spacing w:line="240" w:lineRule="auto"/>
      </w:pPr>
      <w:r>
        <w:separator/>
      </w:r>
    </w:p>
  </w:endnote>
  <w:endnote w:type="continuationSeparator" w:id="0">
    <w:p w:rsidR="003578B3" w:rsidRDefault="00357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AD3558">
    <w:pPr>
      <w:pStyle w:val="a7"/>
      <w:ind w:firstLine="180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BD5AFC" w:rsidRDefault="00BD5AFC">
    <w:pPr>
      <w:pStyle w:val="a7"/>
      <w:ind w:firstLine="180"/>
    </w:pPr>
  </w:p>
  <w:p w:rsidR="00BD5AFC" w:rsidRDefault="00BD5AFC"/>
  <w:p w:rsidR="00BD5AFC" w:rsidRDefault="00BD5AFC"/>
  <w:p w:rsidR="00BD5AFC" w:rsidRDefault="00BD5AFC"/>
  <w:p w:rsidR="00BD5AFC" w:rsidRDefault="00BD5A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</w:sdtPr>
    <w:sdtEndPr/>
    <w:sdtContent>
      <w:p w:rsidR="00BD5AFC" w:rsidRDefault="00AD3558">
        <w:pPr>
          <w:pStyle w:val="a7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30" w:rsidRPr="00F83430">
          <w:rPr>
            <w:noProof/>
            <w:lang w:val="zh-CN"/>
          </w:rPr>
          <w:t>2</w:t>
        </w:r>
        <w:r>
          <w:fldChar w:fldCharType="end"/>
        </w:r>
      </w:p>
    </w:sdtContent>
  </w:sdt>
  <w:p w:rsidR="00BD5AFC" w:rsidRDefault="00BD5A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7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B3" w:rsidRDefault="003578B3">
      <w:r>
        <w:separator/>
      </w:r>
    </w:p>
  </w:footnote>
  <w:footnote w:type="continuationSeparator" w:id="0">
    <w:p w:rsidR="003578B3" w:rsidRDefault="00357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8"/>
      <w:ind w:firstLine="180"/>
    </w:pPr>
  </w:p>
  <w:p w:rsidR="00BD5AFC" w:rsidRDefault="00BD5A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8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FC" w:rsidRDefault="00BD5AFC">
    <w:pPr>
      <w:pStyle w:val="a8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38445"/>
    <w:multiLevelType w:val="singleLevel"/>
    <w:tmpl w:val="2BF3844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1196"/>
    <w:rsid w:val="00083DD0"/>
    <w:rsid w:val="00085A0F"/>
    <w:rsid w:val="000902BC"/>
    <w:rsid w:val="00090FFD"/>
    <w:rsid w:val="000913EF"/>
    <w:rsid w:val="00091CC9"/>
    <w:rsid w:val="00093096"/>
    <w:rsid w:val="000A0D37"/>
    <w:rsid w:val="000A1F4D"/>
    <w:rsid w:val="000A251F"/>
    <w:rsid w:val="000A3134"/>
    <w:rsid w:val="000A32CD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27DC"/>
    <w:rsid w:val="000D496E"/>
    <w:rsid w:val="000D5964"/>
    <w:rsid w:val="000D5976"/>
    <w:rsid w:val="000D630A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653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390C"/>
    <w:rsid w:val="001A4172"/>
    <w:rsid w:val="001A42A9"/>
    <w:rsid w:val="001A4592"/>
    <w:rsid w:val="001A47A4"/>
    <w:rsid w:val="001A49A1"/>
    <w:rsid w:val="001A6034"/>
    <w:rsid w:val="001B0F5D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A15"/>
    <w:rsid w:val="001F6E78"/>
    <w:rsid w:val="001F6EE7"/>
    <w:rsid w:val="001F75FC"/>
    <w:rsid w:val="00200779"/>
    <w:rsid w:val="002011DB"/>
    <w:rsid w:val="00201EC5"/>
    <w:rsid w:val="0020252F"/>
    <w:rsid w:val="0020261F"/>
    <w:rsid w:val="002062A3"/>
    <w:rsid w:val="002107BC"/>
    <w:rsid w:val="0021164E"/>
    <w:rsid w:val="00211DF4"/>
    <w:rsid w:val="00214C8D"/>
    <w:rsid w:val="00221156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08E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1A32"/>
    <w:rsid w:val="00291CD9"/>
    <w:rsid w:val="00291D4C"/>
    <w:rsid w:val="00292F3E"/>
    <w:rsid w:val="00295634"/>
    <w:rsid w:val="00295817"/>
    <w:rsid w:val="00295B91"/>
    <w:rsid w:val="00296139"/>
    <w:rsid w:val="00296285"/>
    <w:rsid w:val="00297A86"/>
    <w:rsid w:val="002A1AA5"/>
    <w:rsid w:val="002A2F81"/>
    <w:rsid w:val="002A7845"/>
    <w:rsid w:val="002A7E2F"/>
    <w:rsid w:val="002B063C"/>
    <w:rsid w:val="002B23ED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596F"/>
    <w:rsid w:val="002D6813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1960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3653"/>
    <w:rsid w:val="003255AC"/>
    <w:rsid w:val="00326D0E"/>
    <w:rsid w:val="003272B2"/>
    <w:rsid w:val="003276AC"/>
    <w:rsid w:val="0033032B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5BD1"/>
    <w:rsid w:val="003566F2"/>
    <w:rsid w:val="00356F28"/>
    <w:rsid w:val="0035726E"/>
    <w:rsid w:val="003578B3"/>
    <w:rsid w:val="0036279C"/>
    <w:rsid w:val="00362A4A"/>
    <w:rsid w:val="00363AB1"/>
    <w:rsid w:val="00364FBE"/>
    <w:rsid w:val="003657EE"/>
    <w:rsid w:val="00366C5C"/>
    <w:rsid w:val="00366D1D"/>
    <w:rsid w:val="00373D1A"/>
    <w:rsid w:val="00377CAE"/>
    <w:rsid w:val="00380A5A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1F9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5210"/>
    <w:rsid w:val="003D7901"/>
    <w:rsid w:val="003E10BA"/>
    <w:rsid w:val="003E23A9"/>
    <w:rsid w:val="003E4875"/>
    <w:rsid w:val="003E52CA"/>
    <w:rsid w:val="003E6FA6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31863"/>
    <w:rsid w:val="00431B33"/>
    <w:rsid w:val="004320E1"/>
    <w:rsid w:val="00432A17"/>
    <w:rsid w:val="00432DF2"/>
    <w:rsid w:val="004332D3"/>
    <w:rsid w:val="00433A77"/>
    <w:rsid w:val="0043525E"/>
    <w:rsid w:val="00437CEA"/>
    <w:rsid w:val="00442C6C"/>
    <w:rsid w:val="0044405A"/>
    <w:rsid w:val="00444F9B"/>
    <w:rsid w:val="004454D8"/>
    <w:rsid w:val="0044567A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A6C32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0C"/>
    <w:rsid w:val="004D3594"/>
    <w:rsid w:val="004D3C19"/>
    <w:rsid w:val="004D4449"/>
    <w:rsid w:val="004D4C91"/>
    <w:rsid w:val="004D7B2F"/>
    <w:rsid w:val="004E1938"/>
    <w:rsid w:val="004E5AF4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B04"/>
    <w:rsid w:val="00503CA7"/>
    <w:rsid w:val="005055B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455F"/>
    <w:rsid w:val="00527B3A"/>
    <w:rsid w:val="0053050B"/>
    <w:rsid w:val="005331FE"/>
    <w:rsid w:val="005354D9"/>
    <w:rsid w:val="005355E0"/>
    <w:rsid w:val="00540173"/>
    <w:rsid w:val="00542365"/>
    <w:rsid w:val="0054403E"/>
    <w:rsid w:val="005462D7"/>
    <w:rsid w:val="00553B3F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0AAA"/>
    <w:rsid w:val="005B153B"/>
    <w:rsid w:val="005B2184"/>
    <w:rsid w:val="005B2658"/>
    <w:rsid w:val="005B2D9E"/>
    <w:rsid w:val="005B4141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D7EAA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369A"/>
    <w:rsid w:val="00626485"/>
    <w:rsid w:val="00627C67"/>
    <w:rsid w:val="00627E46"/>
    <w:rsid w:val="00632CB1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1629"/>
    <w:rsid w:val="00653106"/>
    <w:rsid w:val="006531E1"/>
    <w:rsid w:val="00653F48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4204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2E11"/>
    <w:rsid w:val="006B5A2D"/>
    <w:rsid w:val="006B60F4"/>
    <w:rsid w:val="006B6E75"/>
    <w:rsid w:val="006C1FB5"/>
    <w:rsid w:val="006C2AAD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47B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1B7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86C03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A73A3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2F2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7F6FF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4913"/>
    <w:rsid w:val="008152F6"/>
    <w:rsid w:val="008152F7"/>
    <w:rsid w:val="00816CE6"/>
    <w:rsid w:val="0082003A"/>
    <w:rsid w:val="00820077"/>
    <w:rsid w:val="00820198"/>
    <w:rsid w:val="0082139B"/>
    <w:rsid w:val="008220F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242D"/>
    <w:rsid w:val="008342E7"/>
    <w:rsid w:val="00834FC3"/>
    <w:rsid w:val="0084062B"/>
    <w:rsid w:val="0084163C"/>
    <w:rsid w:val="00841C0F"/>
    <w:rsid w:val="00841D6E"/>
    <w:rsid w:val="008446C2"/>
    <w:rsid w:val="008450F7"/>
    <w:rsid w:val="00845A08"/>
    <w:rsid w:val="00845F66"/>
    <w:rsid w:val="008468EA"/>
    <w:rsid w:val="00850D62"/>
    <w:rsid w:val="00853A56"/>
    <w:rsid w:val="008553F7"/>
    <w:rsid w:val="0085717B"/>
    <w:rsid w:val="00857C98"/>
    <w:rsid w:val="0086204D"/>
    <w:rsid w:val="00863425"/>
    <w:rsid w:val="00864578"/>
    <w:rsid w:val="00864D3C"/>
    <w:rsid w:val="00870417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B4B80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3E37"/>
    <w:rsid w:val="008D4C4E"/>
    <w:rsid w:val="008D4E8C"/>
    <w:rsid w:val="008D5334"/>
    <w:rsid w:val="008D60B2"/>
    <w:rsid w:val="008D7A17"/>
    <w:rsid w:val="008D7A90"/>
    <w:rsid w:val="008D7F4B"/>
    <w:rsid w:val="008E0099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06DF9"/>
    <w:rsid w:val="009106E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37D13"/>
    <w:rsid w:val="00943ABD"/>
    <w:rsid w:val="00943E34"/>
    <w:rsid w:val="0094461D"/>
    <w:rsid w:val="00944C69"/>
    <w:rsid w:val="009465C7"/>
    <w:rsid w:val="009509CD"/>
    <w:rsid w:val="0095119D"/>
    <w:rsid w:val="00951A4A"/>
    <w:rsid w:val="00952732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0CB"/>
    <w:rsid w:val="00980430"/>
    <w:rsid w:val="00981B35"/>
    <w:rsid w:val="00983A69"/>
    <w:rsid w:val="009870EF"/>
    <w:rsid w:val="009879BA"/>
    <w:rsid w:val="00990AA3"/>
    <w:rsid w:val="00992F11"/>
    <w:rsid w:val="0099453F"/>
    <w:rsid w:val="009979F9"/>
    <w:rsid w:val="009A1AA9"/>
    <w:rsid w:val="009A3C59"/>
    <w:rsid w:val="009A488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9C5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2C80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2613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3E"/>
    <w:rsid w:val="00AB3FAC"/>
    <w:rsid w:val="00AC0975"/>
    <w:rsid w:val="00AC3063"/>
    <w:rsid w:val="00AC623F"/>
    <w:rsid w:val="00AC6EEF"/>
    <w:rsid w:val="00AC7EAB"/>
    <w:rsid w:val="00AD2B80"/>
    <w:rsid w:val="00AD2D4F"/>
    <w:rsid w:val="00AD3558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24D6"/>
    <w:rsid w:val="00B027C4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2C0F"/>
    <w:rsid w:val="00B3318E"/>
    <w:rsid w:val="00B33743"/>
    <w:rsid w:val="00B33E01"/>
    <w:rsid w:val="00B35DD3"/>
    <w:rsid w:val="00B363F5"/>
    <w:rsid w:val="00B3690C"/>
    <w:rsid w:val="00B36E30"/>
    <w:rsid w:val="00B3772E"/>
    <w:rsid w:val="00B4148E"/>
    <w:rsid w:val="00B41AEC"/>
    <w:rsid w:val="00B42E6C"/>
    <w:rsid w:val="00B43643"/>
    <w:rsid w:val="00B46FB4"/>
    <w:rsid w:val="00B50D65"/>
    <w:rsid w:val="00B521E9"/>
    <w:rsid w:val="00B52A07"/>
    <w:rsid w:val="00B561F8"/>
    <w:rsid w:val="00B56851"/>
    <w:rsid w:val="00B6022D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3485"/>
    <w:rsid w:val="00BB412B"/>
    <w:rsid w:val="00BB5D50"/>
    <w:rsid w:val="00BC143B"/>
    <w:rsid w:val="00BC4CE0"/>
    <w:rsid w:val="00BC55E3"/>
    <w:rsid w:val="00BC58F3"/>
    <w:rsid w:val="00BD333E"/>
    <w:rsid w:val="00BD3D4A"/>
    <w:rsid w:val="00BD3FC0"/>
    <w:rsid w:val="00BD5917"/>
    <w:rsid w:val="00BD5AFC"/>
    <w:rsid w:val="00BD722B"/>
    <w:rsid w:val="00BE1791"/>
    <w:rsid w:val="00BE1E34"/>
    <w:rsid w:val="00BE4E5A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BAE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F48"/>
    <w:rsid w:val="00C7739F"/>
    <w:rsid w:val="00C82762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4AB8"/>
    <w:rsid w:val="00CA5777"/>
    <w:rsid w:val="00CA7956"/>
    <w:rsid w:val="00CB0A08"/>
    <w:rsid w:val="00CB12B4"/>
    <w:rsid w:val="00CB41FB"/>
    <w:rsid w:val="00CC05CB"/>
    <w:rsid w:val="00CC2914"/>
    <w:rsid w:val="00CD1524"/>
    <w:rsid w:val="00CD45F3"/>
    <w:rsid w:val="00CD5B33"/>
    <w:rsid w:val="00CE20D8"/>
    <w:rsid w:val="00CE21E6"/>
    <w:rsid w:val="00CE33A7"/>
    <w:rsid w:val="00CE391D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D4D"/>
    <w:rsid w:val="00D25E43"/>
    <w:rsid w:val="00D260FF"/>
    <w:rsid w:val="00D32A05"/>
    <w:rsid w:val="00D3552F"/>
    <w:rsid w:val="00D36FCB"/>
    <w:rsid w:val="00D37C1F"/>
    <w:rsid w:val="00D40B42"/>
    <w:rsid w:val="00D4169A"/>
    <w:rsid w:val="00D42BB6"/>
    <w:rsid w:val="00D42CDD"/>
    <w:rsid w:val="00D43884"/>
    <w:rsid w:val="00D45F69"/>
    <w:rsid w:val="00D46011"/>
    <w:rsid w:val="00D468FC"/>
    <w:rsid w:val="00D51CDF"/>
    <w:rsid w:val="00D54025"/>
    <w:rsid w:val="00D55D5C"/>
    <w:rsid w:val="00D5638A"/>
    <w:rsid w:val="00D569D9"/>
    <w:rsid w:val="00D56E4F"/>
    <w:rsid w:val="00D572AA"/>
    <w:rsid w:val="00D611A7"/>
    <w:rsid w:val="00D62ECC"/>
    <w:rsid w:val="00D6369C"/>
    <w:rsid w:val="00D65D0C"/>
    <w:rsid w:val="00D66DEE"/>
    <w:rsid w:val="00D67567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3527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555"/>
    <w:rsid w:val="00E10BC4"/>
    <w:rsid w:val="00E136B2"/>
    <w:rsid w:val="00E14852"/>
    <w:rsid w:val="00E201F0"/>
    <w:rsid w:val="00E2134D"/>
    <w:rsid w:val="00E21D2A"/>
    <w:rsid w:val="00E21E90"/>
    <w:rsid w:val="00E24981"/>
    <w:rsid w:val="00E24C26"/>
    <w:rsid w:val="00E26FF2"/>
    <w:rsid w:val="00E270F7"/>
    <w:rsid w:val="00E27964"/>
    <w:rsid w:val="00E27E48"/>
    <w:rsid w:val="00E327D3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513"/>
    <w:rsid w:val="00E80BEE"/>
    <w:rsid w:val="00E81D55"/>
    <w:rsid w:val="00E82484"/>
    <w:rsid w:val="00E869B5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3365"/>
    <w:rsid w:val="00F546E1"/>
    <w:rsid w:val="00F54ADA"/>
    <w:rsid w:val="00F550C7"/>
    <w:rsid w:val="00F57004"/>
    <w:rsid w:val="00F6181C"/>
    <w:rsid w:val="00F6498C"/>
    <w:rsid w:val="00F655DE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3430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30A"/>
    <w:rsid w:val="00F968D3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C63AB"/>
    <w:rsid w:val="00FD010C"/>
    <w:rsid w:val="00FD09A1"/>
    <w:rsid w:val="00FD142E"/>
    <w:rsid w:val="00FD2FF3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23A"/>
    <w:rsid w:val="00FF18F5"/>
    <w:rsid w:val="00FF2343"/>
    <w:rsid w:val="00FF4508"/>
    <w:rsid w:val="00FF610B"/>
    <w:rsid w:val="00FF6489"/>
    <w:rsid w:val="0976316B"/>
    <w:rsid w:val="0C0E72B1"/>
    <w:rsid w:val="0F4946D0"/>
    <w:rsid w:val="0FED0E1F"/>
    <w:rsid w:val="166718DF"/>
    <w:rsid w:val="2522565B"/>
    <w:rsid w:val="36DB5CA6"/>
    <w:rsid w:val="3D211DD4"/>
    <w:rsid w:val="41674CDB"/>
    <w:rsid w:val="43B41037"/>
    <w:rsid w:val="48710218"/>
    <w:rsid w:val="65AA7D0C"/>
    <w:rsid w:val="67D02856"/>
    <w:rsid w:val="795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A5CAC-A2FD-4017-B112-AD4A82F6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qFormat/>
    <w:rPr>
      <w:sz w:val="18"/>
      <w:szCs w:val="18"/>
    </w:rPr>
  </w:style>
  <w:style w:type="paragraph" w:styleId="a7">
    <w:name w:val="footer"/>
    <w:basedOn w:val="a0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a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b">
    <w:name w:val="annotation subject"/>
    <w:basedOn w:val="a4"/>
    <w:next w:val="a4"/>
    <w:link w:val="Char5"/>
    <w:autoRedefine/>
    <w:uiPriority w:val="99"/>
    <w:qFormat/>
    <w:rPr>
      <w:b/>
      <w:bCs/>
    </w:rPr>
  </w:style>
  <w:style w:type="table" w:styleId="ac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page number"/>
    <w:basedOn w:val="a1"/>
    <w:autoRedefine/>
    <w:qFormat/>
  </w:style>
  <w:style w:type="character" w:styleId="af">
    <w:name w:val="Emphasis"/>
    <w:basedOn w:val="a1"/>
    <w:autoRedefine/>
    <w:uiPriority w:val="20"/>
    <w:qFormat/>
    <w:rPr>
      <w:i/>
      <w:iCs/>
    </w:rPr>
  </w:style>
  <w:style w:type="character" w:styleId="af0">
    <w:name w:val="Hyperlink"/>
    <w:basedOn w:val="a1"/>
    <w:uiPriority w:val="99"/>
    <w:qFormat/>
    <w:rPr>
      <w:color w:val="0000FF"/>
      <w:u w:val="single"/>
    </w:rPr>
  </w:style>
  <w:style w:type="character" w:styleId="af1">
    <w:name w:val="annotation reference"/>
    <w:basedOn w:val="a1"/>
    <w:uiPriority w:val="99"/>
    <w:qFormat/>
    <w:rPr>
      <w:sz w:val="21"/>
      <w:szCs w:val="21"/>
    </w:rPr>
  </w:style>
  <w:style w:type="character" w:customStyle="1" w:styleId="Char2">
    <w:name w:val="页脚 Char"/>
    <w:basedOn w:val="a1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1">
    <w:name w:val="批注框文本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b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日期 Char"/>
    <w:basedOn w:val="a1"/>
    <w:link w:val="a5"/>
    <w:uiPriority w:val="99"/>
    <w:semiHidden/>
    <w:qFormat/>
    <w:rPr>
      <w:rFonts w:ascii="宋体" w:hAnsi="宋体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宋体" w:hAnsi="宋体"/>
      <w:kern w:val="2"/>
      <w:sz w:val="24"/>
      <w:szCs w:val="24"/>
    </w:rPr>
  </w:style>
  <w:style w:type="character" w:customStyle="1" w:styleId="Char4">
    <w:name w:val="副标题 Char"/>
    <w:basedOn w:val="a1"/>
    <w:link w:val="a9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B077-A103-492F-914A-C0AAA107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334</Words>
  <Characters>1905</Characters>
  <Application>Microsoft Office Word</Application>
  <DocSecurity>0</DocSecurity>
  <Lines>15</Lines>
  <Paragraphs>4</Paragraphs>
  <ScaleCrop>false</ScaleCrop>
  <Company>應之軒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87</cp:revision>
  <cp:lastPrinted>2023-11-07T07:48:00Z</cp:lastPrinted>
  <dcterms:created xsi:type="dcterms:W3CDTF">2026-02-06T07:35:00Z</dcterms:created>
  <dcterms:modified xsi:type="dcterms:W3CDTF">2026-02-12T09:55:00Z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403D3A734C594E9DAC1DF9895754B2E8_13</vt:lpwstr>
  </property>
  <property fmtid="{D5CDD505-2E9C-101B-9397-08002B2CF9AE}" pid="4" name="KSOTemplateDocerSaveRecord">
    <vt:lpwstr>eyJoZGlkIjoiYjMyYjVkYjczZDQxNThhZjhiNDEyNGIyN2Y1YTU0ODUiLCJ1c2VySWQiOiI0MzQ2NzAzOTEifQ==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otCYQxs9Dbw2bUEn/Soxv9pYAoWsCRIsU8+gIbxzzmNcJN13+qHIPyWmbF9hFzPHyi2m8DLwi54E5OVVM5pJ0yGmgAiYTaR6oYUdYZxdjep6I9xviFUFZ9aTScfBW9OGY4u1xjFGIN7FhyOMXAIqe5OyzEJzHgjd+QaJfSjihjwk2+t1qw+4lM6kd0w/HO66WuVABOd5NlEdnRbJjWp+kjnI3d9jeBl1t8RA+Tm7hrD05kxFsD9gLWqnau1Iipn</vt:lpwstr>
  </property>
</Properties>
</file>