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1F678" w14:textId="77777777" w:rsidR="00F22458" w:rsidRDefault="00F12B31">
      <w:pPr>
        <w:keepNext/>
        <w:keepLines/>
        <w:spacing w:before="260" w:after="260" w:line="360" w:lineRule="auto"/>
        <w:jc w:val="center"/>
        <w:outlineLvl w:val="1"/>
        <w:rPr>
          <w:rFonts w:ascii="宋体" w:eastAsia="宋体" w:hAnsi="宋体" w:cs="Times New Roman"/>
          <w:b/>
          <w:bCs/>
          <w:iCs/>
          <w:sz w:val="24"/>
          <w:szCs w:val="24"/>
        </w:rPr>
      </w:pPr>
      <w:r>
        <w:rPr>
          <w:rFonts w:ascii="宋体" w:eastAsia="宋体" w:hAnsi="宋体" w:cs="Times New Roman" w:hint="eastAsia"/>
          <w:b/>
          <w:bCs/>
          <w:iCs/>
          <w:sz w:val="24"/>
          <w:szCs w:val="24"/>
        </w:rPr>
        <w:t>证券代码：</w:t>
      </w:r>
      <w:r>
        <w:rPr>
          <w:rFonts w:ascii="宋体" w:eastAsia="宋体" w:hAnsi="宋体" w:cs="Times New Roman" w:hint="eastAsia"/>
          <w:b/>
          <w:bCs/>
          <w:iCs/>
          <w:sz w:val="24"/>
          <w:szCs w:val="24"/>
        </w:rPr>
        <w:t xml:space="preserve">688082                                 </w:t>
      </w:r>
      <w:r>
        <w:rPr>
          <w:rFonts w:ascii="宋体" w:eastAsia="宋体" w:hAnsi="宋体" w:cs="Times New Roman" w:hint="eastAsia"/>
          <w:b/>
          <w:bCs/>
          <w:iCs/>
          <w:sz w:val="24"/>
          <w:szCs w:val="24"/>
        </w:rPr>
        <w:t>证券简称：盛美上海</w:t>
      </w:r>
    </w:p>
    <w:p w14:paraId="12B939E1" w14:textId="77777777" w:rsidR="00F22458" w:rsidRDefault="00F12B31">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盛美半导体设备（上海）股份有限公司</w:t>
      </w:r>
    </w:p>
    <w:p w14:paraId="66EE2FDF" w14:textId="77777777" w:rsidR="00F22458" w:rsidRDefault="00F12B31">
      <w:pPr>
        <w:keepNext/>
        <w:keepLines/>
        <w:spacing w:beforeLines="50" w:before="156" w:afterLines="50" w:after="156" w:line="360" w:lineRule="auto"/>
        <w:jc w:val="center"/>
        <w:outlineLvl w:val="1"/>
        <w:rPr>
          <w:rFonts w:ascii="宋体" w:eastAsia="宋体" w:hAnsi="宋体" w:cs="Times New Roman"/>
          <w:b/>
          <w:bCs/>
          <w:sz w:val="32"/>
          <w:szCs w:val="32"/>
        </w:rPr>
      </w:pPr>
      <w:r>
        <w:rPr>
          <w:rFonts w:ascii="宋体" w:eastAsia="宋体" w:hAnsi="宋体" w:cs="Times New Roman" w:hint="eastAsia"/>
          <w:b/>
          <w:bCs/>
          <w:sz w:val="32"/>
          <w:szCs w:val="32"/>
        </w:rPr>
        <w:t>投资者关系活动记录表</w:t>
      </w:r>
    </w:p>
    <w:p w14:paraId="5AAF749F" w14:textId="77777777" w:rsidR="00F22458" w:rsidRDefault="00F12B31">
      <w:pPr>
        <w:keepNext/>
        <w:keepLines/>
        <w:spacing w:before="260" w:after="260" w:line="360" w:lineRule="auto"/>
        <w:jc w:val="center"/>
        <w:outlineLvl w:val="1"/>
        <w:rPr>
          <w:rFonts w:ascii="宋体" w:eastAsia="宋体" w:hAnsi="宋体" w:cs="Times New Roman"/>
          <w:b/>
          <w:bCs/>
          <w:sz w:val="24"/>
          <w:szCs w:val="24"/>
        </w:rPr>
      </w:pPr>
      <w:r>
        <w:rPr>
          <w:rFonts w:ascii="宋体" w:eastAsia="宋体" w:hAnsi="宋体" w:cs="Times New Roman" w:hint="eastAsia"/>
          <w:b/>
          <w:bCs/>
          <w:sz w:val="24"/>
          <w:szCs w:val="24"/>
        </w:rPr>
        <w:t>编号：</w:t>
      </w:r>
      <w:r>
        <w:rPr>
          <w:rFonts w:ascii="宋体" w:eastAsia="宋体" w:hAnsi="宋体" w:cs="Times New Roman" w:hint="eastAsia"/>
          <w:b/>
          <w:bCs/>
          <w:sz w:val="24"/>
          <w:szCs w:val="24"/>
        </w:rPr>
        <w:t>2026-</w:t>
      </w:r>
      <w:r>
        <w:rPr>
          <w:rFonts w:ascii="宋体" w:eastAsia="宋体" w:hAnsi="宋体" w:cs="Times New Roman"/>
          <w:b/>
          <w:bCs/>
          <w:sz w:val="24"/>
          <w:szCs w:val="24"/>
        </w:rPr>
        <w:t>0</w:t>
      </w:r>
      <w:r>
        <w:rPr>
          <w:rFonts w:ascii="宋体" w:eastAsia="宋体" w:hAnsi="宋体" w:cs="Times New Roman" w:hint="eastAsia"/>
          <w:b/>
          <w:bCs/>
          <w:sz w:val="24"/>
          <w:szCs w:val="24"/>
        </w:rPr>
        <w:t>2</w:t>
      </w:r>
    </w:p>
    <w:tbl>
      <w:tblPr>
        <w:tblW w:w="88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6287"/>
      </w:tblGrid>
      <w:tr w:rsidR="00F22458" w14:paraId="41207AD3" w14:textId="77777777">
        <w:tc>
          <w:tcPr>
            <w:tcW w:w="2553" w:type="dxa"/>
            <w:shd w:val="clear" w:color="auto" w:fill="auto"/>
          </w:tcPr>
          <w:p w14:paraId="1819E635" w14:textId="77777777" w:rsidR="00F22458" w:rsidRDefault="00F12B3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投资者关系</w:t>
            </w:r>
          </w:p>
          <w:p w14:paraId="34A14F0E" w14:textId="77777777" w:rsidR="00F22458" w:rsidRDefault="00F12B3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活动类别</w:t>
            </w:r>
          </w:p>
          <w:p w14:paraId="2B6290B9" w14:textId="77777777" w:rsidR="00F22458" w:rsidRDefault="00F22458">
            <w:pPr>
              <w:spacing w:line="360" w:lineRule="auto"/>
              <w:rPr>
                <w:rFonts w:ascii="宋体" w:eastAsia="宋体" w:hAnsi="宋体" w:cs="Times New Roman"/>
                <w:b/>
                <w:bCs/>
                <w:iCs/>
                <w:sz w:val="24"/>
                <w:szCs w:val="24"/>
              </w:rPr>
            </w:pPr>
          </w:p>
        </w:tc>
        <w:tc>
          <w:tcPr>
            <w:tcW w:w="6287" w:type="dxa"/>
            <w:shd w:val="clear" w:color="auto" w:fill="auto"/>
          </w:tcPr>
          <w:p w14:paraId="7F56CB5D"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特定对象调研</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分析师会议</w:t>
            </w:r>
          </w:p>
          <w:p w14:paraId="3FC4BDE6"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媒体采访</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业绩说明会</w:t>
            </w:r>
          </w:p>
          <w:p w14:paraId="79B5F7FE"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新闻发布会</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路演活动</w:t>
            </w:r>
          </w:p>
          <w:p w14:paraId="54F7CA80" w14:textId="77777777" w:rsidR="00F22458" w:rsidRDefault="00F12B31">
            <w:pPr>
              <w:tabs>
                <w:tab w:val="left" w:pos="2690"/>
                <w:tab w:val="center" w:pos="3199"/>
              </w:tabs>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w:t>
            </w:r>
            <w:r>
              <w:rPr>
                <w:rFonts w:ascii="宋体" w:eastAsia="宋体" w:hAnsi="宋体" w:cs="Times New Roman" w:hint="eastAsia"/>
                <w:sz w:val="24"/>
                <w:szCs w:val="24"/>
              </w:rPr>
              <w:t>现场参观</w:t>
            </w:r>
            <w:r>
              <w:rPr>
                <w:rFonts w:ascii="宋体" w:eastAsia="宋体" w:hAnsi="宋体" w:cs="Times New Roman" w:hint="eastAsia"/>
                <w:sz w:val="24"/>
                <w:szCs w:val="24"/>
              </w:rPr>
              <w:t xml:space="preserve">            </w:t>
            </w:r>
            <w:r>
              <w:rPr>
                <w:rFonts w:ascii="宋体" w:eastAsia="宋体" w:hAnsi="宋体" w:cs="Times New Roman" w:hint="eastAsia"/>
                <w:bCs/>
                <w:iCs/>
                <w:sz w:val="24"/>
                <w:szCs w:val="24"/>
              </w:rPr>
              <w:t>□</w:t>
            </w:r>
            <w:r>
              <w:rPr>
                <w:rFonts w:ascii="宋体" w:eastAsia="宋体" w:hAnsi="宋体" w:cs="Times New Roman" w:hint="eastAsia"/>
                <w:sz w:val="24"/>
                <w:szCs w:val="24"/>
              </w:rPr>
              <w:t>其他</w:t>
            </w:r>
          </w:p>
        </w:tc>
      </w:tr>
      <w:tr w:rsidR="00F22458" w14:paraId="7E2D33E8" w14:textId="77777777">
        <w:tc>
          <w:tcPr>
            <w:tcW w:w="2553" w:type="dxa"/>
            <w:shd w:val="clear" w:color="auto" w:fill="auto"/>
          </w:tcPr>
          <w:p w14:paraId="1614C0D4" w14:textId="77777777" w:rsidR="00F22458" w:rsidRDefault="00F12B3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会议时间</w:t>
            </w:r>
          </w:p>
        </w:tc>
        <w:tc>
          <w:tcPr>
            <w:tcW w:w="6287" w:type="dxa"/>
            <w:shd w:val="clear" w:color="auto" w:fill="auto"/>
          </w:tcPr>
          <w:p w14:paraId="35364621"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2026</w:t>
            </w:r>
            <w:r>
              <w:rPr>
                <w:rFonts w:ascii="宋体" w:eastAsia="宋体" w:hAnsi="宋体" w:cs="Times New Roman" w:hint="eastAsia"/>
                <w:bCs/>
                <w:iCs/>
                <w:sz w:val="24"/>
                <w:szCs w:val="24"/>
              </w:rPr>
              <w:t>年</w:t>
            </w:r>
            <w:r>
              <w:rPr>
                <w:rFonts w:ascii="宋体" w:eastAsia="宋体" w:hAnsi="宋体" w:cs="Times New Roman" w:hint="eastAsia"/>
                <w:bCs/>
                <w:iCs/>
                <w:sz w:val="24"/>
                <w:szCs w:val="24"/>
              </w:rPr>
              <w:t>3</w:t>
            </w:r>
            <w:r>
              <w:rPr>
                <w:rFonts w:ascii="宋体" w:eastAsia="宋体" w:hAnsi="宋体" w:cs="Times New Roman" w:hint="eastAsia"/>
                <w:bCs/>
                <w:iCs/>
                <w:sz w:val="24"/>
                <w:szCs w:val="24"/>
              </w:rPr>
              <w:t>月</w:t>
            </w:r>
            <w:r>
              <w:rPr>
                <w:rFonts w:ascii="宋体" w:eastAsia="宋体" w:hAnsi="宋体" w:cs="Times New Roman" w:hint="eastAsia"/>
                <w:bCs/>
                <w:iCs/>
                <w:sz w:val="24"/>
                <w:szCs w:val="24"/>
              </w:rPr>
              <w:t>10</w:t>
            </w:r>
            <w:r>
              <w:rPr>
                <w:rFonts w:ascii="宋体" w:eastAsia="宋体" w:hAnsi="宋体" w:cs="Times New Roman" w:hint="eastAsia"/>
                <w:bCs/>
                <w:iCs/>
                <w:sz w:val="24"/>
                <w:szCs w:val="24"/>
              </w:rPr>
              <w:t>日</w:t>
            </w:r>
          </w:p>
        </w:tc>
      </w:tr>
      <w:tr w:rsidR="00F22458" w14:paraId="376F1C98" w14:textId="77777777">
        <w:tc>
          <w:tcPr>
            <w:tcW w:w="2553" w:type="dxa"/>
            <w:shd w:val="clear" w:color="auto" w:fill="auto"/>
          </w:tcPr>
          <w:p w14:paraId="272D35E8" w14:textId="77777777" w:rsidR="00F22458" w:rsidRDefault="00F12B3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会议地点</w:t>
            </w:r>
          </w:p>
        </w:tc>
        <w:tc>
          <w:tcPr>
            <w:tcW w:w="6287" w:type="dxa"/>
            <w:shd w:val="clear" w:color="auto" w:fill="auto"/>
          </w:tcPr>
          <w:p w14:paraId="0C79CB0B"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电话会议</w:t>
            </w:r>
          </w:p>
        </w:tc>
      </w:tr>
      <w:tr w:rsidR="00F22458" w14:paraId="6C78AD1A" w14:textId="77777777">
        <w:tc>
          <w:tcPr>
            <w:tcW w:w="2553" w:type="dxa"/>
            <w:shd w:val="clear" w:color="auto" w:fill="auto"/>
          </w:tcPr>
          <w:p w14:paraId="3CA8C484" w14:textId="77777777" w:rsidR="00F22458" w:rsidRDefault="00F12B3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上市公司</w:t>
            </w:r>
          </w:p>
          <w:p w14:paraId="3187D8DE" w14:textId="77777777" w:rsidR="00F22458" w:rsidRDefault="00F12B31">
            <w:pPr>
              <w:spacing w:line="360" w:lineRule="auto"/>
              <w:rPr>
                <w:rFonts w:ascii="宋体" w:eastAsia="宋体" w:hAnsi="宋体" w:cs="Times New Roman"/>
                <w:b/>
                <w:bCs/>
                <w:iCs/>
                <w:sz w:val="24"/>
                <w:szCs w:val="24"/>
              </w:rPr>
            </w:pPr>
            <w:r>
              <w:rPr>
                <w:rFonts w:ascii="宋体" w:eastAsia="宋体" w:hAnsi="宋体" w:cs="Times New Roman" w:hint="eastAsia"/>
                <w:b/>
                <w:bCs/>
                <w:iCs/>
                <w:sz w:val="24"/>
                <w:szCs w:val="24"/>
              </w:rPr>
              <w:t>接待人员姓名</w:t>
            </w:r>
          </w:p>
        </w:tc>
        <w:tc>
          <w:tcPr>
            <w:tcW w:w="6287" w:type="dxa"/>
            <w:shd w:val="clear" w:color="auto" w:fill="auto"/>
          </w:tcPr>
          <w:p w14:paraId="4397791E"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董事长：</w:t>
            </w:r>
            <w:r>
              <w:rPr>
                <w:rFonts w:ascii="宋体" w:eastAsia="宋体" w:hAnsi="宋体" w:cs="Times New Roman" w:hint="eastAsia"/>
                <w:bCs/>
                <w:iCs/>
                <w:sz w:val="24"/>
                <w:szCs w:val="24"/>
              </w:rPr>
              <w:t>HUI WANG</w:t>
            </w:r>
          </w:p>
          <w:p w14:paraId="250E3DC8"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总经理：王坚</w:t>
            </w:r>
          </w:p>
          <w:p w14:paraId="2E64D8E1"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财务负责人：</w:t>
            </w:r>
            <w:r>
              <w:rPr>
                <w:rFonts w:ascii="宋体" w:eastAsia="宋体" w:hAnsi="宋体" w:cs="Times New Roman"/>
                <w:bCs/>
                <w:iCs/>
                <w:sz w:val="24"/>
                <w:szCs w:val="24"/>
              </w:rPr>
              <w:t>LISA YI LU FENG</w:t>
            </w:r>
          </w:p>
          <w:p w14:paraId="6DE1048E" w14:textId="77777777" w:rsidR="00F22458" w:rsidRDefault="00F12B31">
            <w:pPr>
              <w:spacing w:line="360" w:lineRule="auto"/>
              <w:rPr>
                <w:rFonts w:ascii="宋体" w:eastAsia="宋体" w:hAnsi="宋体" w:cs="Times New Roman"/>
                <w:bCs/>
                <w:iCs/>
                <w:sz w:val="24"/>
                <w:szCs w:val="24"/>
              </w:rPr>
            </w:pPr>
            <w:r>
              <w:rPr>
                <w:rFonts w:ascii="宋体" w:eastAsia="宋体" w:hAnsi="宋体" w:cs="Times New Roman" w:hint="eastAsia"/>
                <w:bCs/>
                <w:iCs/>
                <w:sz w:val="24"/>
                <w:szCs w:val="24"/>
              </w:rPr>
              <w:t>董事会秘书：罗明珠</w:t>
            </w:r>
          </w:p>
        </w:tc>
      </w:tr>
      <w:tr w:rsidR="00F22458" w14:paraId="22E0C7D6" w14:textId="77777777">
        <w:trPr>
          <w:trHeight w:val="699"/>
        </w:trPr>
        <w:tc>
          <w:tcPr>
            <w:tcW w:w="2553" w:type="dxa"/>
            <w:shd w:val="clear" w:color="auto" w:fill="auto"/>
            <w:vAlign w:val="center"/>
          </w:tcPr>
          <w:p w14:paraId="6C959F7A" w14:textId="77777777" w:rsidR="00F22458" w:rsidRDefault="00F12B31">
            <w:pPr>
              <w:spacing w:line="360" w:lineRule="auto"/>
              <w:rPr>
                <w:rFonts w:ascii="宋体" w:eastAsia="宋体" w:hAnsi="宋体" w:cs="Times New Roman"/>
                <w:b/>
                <w:bCs/>
                <w:iCs/>
                <w:sz w:val="24"/>
                <w:szCs w:val="24"/>
              </w:rPr>
            </w:pPr>
            <w:bookmarkStart w:id="0" w:name="_Hlk143013646"/>
            <w:r>
              <w:rPr>
                <w:rFonts w:ascii="宋体" w:eastAsia="宋体" w:hAnsi="宋体" w:cs="Times New Roman"/>
                <w:b/>
                <w:bCs/>
                <w:iCs/>
                <w:sz w:val="24"/>
                <w:szCs w:val="24"/>
              </w:rPr>
              <w:t>投资者关系活动</w:t>
            </w:r>
          </w:p>
          <w:p w14:paraId="4313EDDA" w14:textId="77777777" w:rsidR="00F22458" w:rsidRDefault="00F12B31">
            <w:pPr>
              <w:spacing w:line="360" w:lineRule="auto"/>
              <w:rPr>
                <w:rFonts w:ascii="宋体" w:eastAsia="宋体" w:hAnsi="宋体" w:cs="Times New Roman"/>
                <w:b/>
                <w:bCs/>
                <w:iCs/>
                <w:sz w:val="24"/>
                <w:szCs w:val="24"/>
              </w:rPr>
            </w:pPr>
            <w:r>
              <w:rPr>
                <w:rFonts w:ascii="宋体" w:eastAsia="宋体" w:hAnsi="宋体" w:cs="Times New Roman"/>
                <w:b/>
                <w:bCs/>
                <w:iCs/>
                <w:sz w:val="24"/>
                <w:szCs w:val="24"/>
              </w:rPr>
              <w:t>主要内容介绍</w:t>
            </w:r>
          </w:p>
        </w:tc>
        <w:tc>
          <w:tcPr>
            <w:tcW w:w="6287" w:type="dxa"/>
            <w:shd w:val="clear" w:color="auto" w:fill="auto"/>
          </w:tcPr>
          <w:p w14:paraId="6E9898A3" w14:textId="77777777" w:rsidR="00F22458" w:rsidRDefault="00F12B31">
            <w:pPr>
              <w:pStyle w:val="af1"/>
              <w:spacing w:line="360" w:lineRule="auto"/>
              <w:ind w:firstLine="480"/>
              <w:rPr>
                <w:rFonts w:ascii="宋体" w:eastAsia="宋体" w:hAnsi="宋体" w:cs="Times New Roman"/>
                <w:iCs/>
                <w:sz w:val="24"/>
                <w:szCs w:val="24"/>
              </w:rPr>
            </w:pPr>
            <w:bookmarkStart w:id="1" w:name="_Hlk142567878"/>
            <w:r>
              <w:rPr>
                <w:rFonts w:ascii="宋体" w:eastAsia="宋体" w:hAnsi="宋体" w:cs="Times New Roman"/>
                <w:iCs/>
                <w:sz w:val="24"/>
                <w:szCs w:val="24"/>
              </w:rPr>
              <w:t>公司领导对</w:t>
            </w:r>
            <w:r>
              <w:rPr>
                <w:rFonts w:ascii="宋体" w:eastAsia="宋体" w:hAnsi="宋体" w:cs="Times New Roman"/>
                <w:iCs/>
                <w:sz w:val="24"/>
                <w:szCs w:val="24"/>
              </w:rPr>
              <w:t>2025</w:t>
            </w:r>
            <w:r>
              <w:rPr>
                <w:rFonts w:ascii="宋体" w:eastAsia="宋体" w:hAnsi="宋体" w:cs="Times New Roman"/>
                <w:iCs/>
                <w:sz w:val="24"/>
                <w:szCs w:val="24"/>
              </w:rPr>
              <w:t>年度业绩和财务情况进行了简单介绍，并就投资者关心的问题进行了回答。</w:t>
            </w:r>
          </w:p>
          <w:p w14:paraId="6F249A40" w14:textId="77777777" w:rsidR="00F22458" w:rsidRDefault="00F12B31">
            <w:pPr>
              <w:pStyle w:val="af1"/>
              <w:numPr>
                <w:ilvl w:val="0"/>
                <w:numId w:val="1"/>
              </w:numPr>
              <w:spacing w:line="360" w:lineRule="auto"/>
              <w:ind w:firstLineChars="0"/>
              <w:rPr>
                <w:rFonts w:ascii="宋体" w:eastAsia="宋体" w:hAnsi="宋体" w:cs="Times New Roman"/>
                <w:b/>
                <w:iCs/>
                <w:sz w:val="24"/>
                <w:szCs w:val="24"/>
              </w:rPr>
            </w:pPr>
            <w:r>
              <w:rPr>
                <w:rFonts w:ascii="宋体" w:eastAsia="宋体" w:hAnsi="宋体" w:cs="Times New Roman"/>
                <w:b/>
                <w:iCs/>
                <w:sz w:val="24"/>
                <w:szCs w:val="24"/>
              </w:rPr>
              <w:t>问答环节</w:t>
            </w:r>
          </w:p>
          <w:p w14:paraId="6A3E7EF6"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1</w:t>
            </w:r>
            <w:r>
              <w:rPr>
                <w:rFonts w:asciiTheme="minorEastAsia" w:hAnsiTheme="minorEastAsia" w:cstheme="minorEastAsia" w:hint="eastAsia"/>
                <w:b/>
                <w:bCs/>
                <w:color w:val="000000" w:themeColor="text1"/>
                <w:sz w:val="22"/>
              </w:rPr>
              <w:t>、请问海外客户面板级封装设备的产线建设是偏功率还是偏</w:t>
            </w:r>
            <w:r>
              <w:rPr>
                <w:rFonts w:asciiTheme="minorEastAsia" w:hAnsiTheme="minorEastAsia" w:cstheme="minorEastAsia" w:hint="eastAsia"/>
                <w:b/>
                <w:bCs/>
                <w:color w:val="000000" w:themeColor="text1"/>
                <w:sz w:val="22"/>
              </w:rPr>
              <w:t>AI</w:t>
            </w:r>
            <w:r>
              <w:rPr>
                <w:rFonts w:asciiTheme="minorEastAsia" w:hAnsiTheme="minorEastAsia" w:cstheme="minorEastAsia" w:hint="eastAsia"/>
                <w:b/>
                <w:bCs/>
                <w:color w:val="000000" w:themeColor="text1"/>
                <w:sz w:val="22"/>
              </w:rPr>
              <w:t>？以及面板级设备的发展状况？</w:t>
            </w:r>
          </w:p>
          <w:p w14:paraId="7A998AFD"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答：当前面板级封装设备主要还是偏向面积大的</w:t>
            </w:r>
            <w:r>
              <w:rPr>
                <w:rFonts w:asciiTheme="minorEastAsia" w:hAnsiTheme="minorEastAsia" w:cstheme="minorEastAsia" w:hint="eastAsia"/>
                <w:color w:val="000000" w:themeColor="text1"/>
                <w:sz w:val="22"/>
              </w:rPr>
              <w:t>AI</w:t>
            </w:r>
            <w:r>
              <w:rPr>
                <w:rFonts w:asciiTheme="minorEastAsia" w:hAnsiTheme="minorEastAsia" w:cstheme="minorEastAsia" w:hint="eastAsia"/>
                <w:color w:val="000000" w:themeColor="text1"/>
                <w:sz w:val="22"/>
              </w:rPr>
              <w:t>芯片，市场上的面板级封装设备主要有</w:t>
            </w:r>
            <w:r>
              <w:rPr>
                <w:rFonts w:asciiTheme="minorEastAsia" w:hAnsiTheme="minorEastAsia" w:cstheme="minorEastAsia" w:hint="eastAsia"/>
                <w:color w:val="000000" w:themeColor="text1"/>
                <w:sz w:val="22"/>
              </w:rPr>
              <w:t>600*600mm</w:t>
            </w:r>
            <w:r>
              <w:rPr>
                <w:rFonts w:asciiTheme="minorEastAsia" w:hAnsiTheme="minorEastAsia" w:cstheme="minorEastAsia" w:hint="eastAsia"/>
                <w:color w:val="000000" w:themeColor="text1"/>
                <w:sz w:val="22"/>
              </w:rPr>
              <w:t>、</w:t>
            </w:r>
            <w:r>
              <w:rPr>
                <w:rFonts w:asciiTheme="minorEastAsia" w:hAnsiTheme="minorEastAsia" w:cstheme="minorEastAsia" w:hint="eastAsia"/>
                <w:color w:val="000000" w:themeColor="text1"/>
                <w:sz w:val="22"/>
              </w:rPr>
              <w:t>510*515mm</w:t>
            </w:r>
            <w:r>
              <w:rPr>
                <w:rFonts w:asciiTheme="minorEastAsia" w:hAnsiTheme="minorEastAsia" w:cstheme="minorEastAsia" w:hint="eastAsia"/>
                <w:color w:val="000000" w:themeColor="text1"/>
                <w:sz w:val="22"/>
              </w:rPr>
              <w:t>、</w:t>
            </w:r>
            <w:r>
              <w:rPr>
                <w:rFonts w:asciiTheme="minorEastAsia" w:hAnsiTheme="minorEastAsia" w:cstheme="minorEastAsia" w:hint="eastAsia"/>
                <w:color w:val="000000" w:themeColor="text1"/>
                <w:sz w:val="22"/>
              </w:rPr>
              <w:t>310*310mm</w:t>
            </w:r>
            <w:r>
              <w:rPr>
                <w:rFonts w:asciiTheme="minorEastAsia" w:hAnsiTheme="minorEastAsia" w:cstheme="minorEastAsia" w:hint="eastAsia"/>
                <w:color w:val="000000" w:themeColor="text1"/>
                <w:sz w:val="22"/>
              </w:rPr>
              <w:t>这三个尺寸。目前，公司重点推出的面板级先进封装的新设备包括</w:t>
            </w:r>
            <w:r>
              <w:rPr>
                <w:rFonts w:asciiTheme="minorEastAsia" w:hAnsiTheme="minorEastAsia" w:cstheme="minorEastAsia" w:hint="eastAsia"/>
                <w:color w:val="000000" w:themeColor="text1"/>
                <w:sz w:val="22"/>
              </w:rPr>
              <w:t xml:space="preserve"> Ultra ECP ap-p </w:t>
            </w:r>
            <w:r>
              <w:rPr>
                <w:rFonts w:asciiTheme="minorEastAsia" w:hAnsiTheme="minorEastAsia" w:cstheme="minorEastAsia" w:hint="eastAsia"/>
                <w:color w:val="000000" w:themeColor="text1"/>
                <w:sz w:val="22"/>
              </w:rPr>
              <w:t>面板级电镀设备、</w:t>
            </w:r>
            <w:r>
              <w:rPr>
                <w:rFonts w:asciiTheme="minorEastAsia" w:hAnsiTheme="minorEastAsia" w:cstheme="minorEastAsia" w:hint="eastAsia"/>
                <w:color w:val="000000" w:themeColor="text1"/>
                <w:sz w:val="22"/>
              </w:rPr>
              <w:t xml:space="preserve">Ultra C vac-p </w:t>
            </w:r>
            <w:r>
              <w:rPr>
                <w:rFonts w:asciiTheme="minorEastAsia" w:hAnsiTheme="minorEastAsia" w:cstheme="minorEastAsia" w:hint="eastAsia"/>
                <w:color w:val="000000" w:themeColor="text1"/>
                <w:sz w:val="22"/>
              </w:rPr>
              <w:t>面板级负压清洗设备和</w:t>
            </w:r>
            <w:r>
              <w:rPr>
                <w:rFonts w:asciiTheme="minorEastAsia" w:hAnsiTheme="minorEastAsia" w:cstheme="minorEastAsia" w:hint="eastAsia"/>
                <w:color w:val="000000" w:themeColor="text1"/>
                <w:sz w:val="22"/>
              </w:rPr>
              <w:t xml:space="preserve"> Ultra C bev-p </w:t>
            </w:r>
            <w:r>
              <w:rPr>
                <w:rFonts w:asciiTheme="minorEastAsia" w:hAnsiTheme="minorEastAsia" w:cstheme="minorEastAsia" w:hint="eastAsia"/>
                <w:color w:val="000000" w:themeColor="text1"/>
                <w:sz w:val="22"/>
              </w:rPr>
              <w:t>面板级边缘刻蚀设备三款新产品。公司的面板级电镀及负压清洗设备已进入中国的头部企业并实现产品验证和生产应用，同时，公司正积极推进上述三类产品</w:t>
            </w:r>
            <w:r>
              <w:rPr>
                <w:rFonts w:asciiTheme="minorEastAsia" w:hAnsiTheme="minorEastAsia" w:cstheme="minorEastAsia" w:hint="eastAsia"/>
                <w:color w:val="000000" w:themeColor="text1"/>
                <w:sz w:val="22"/>
              </w:rPr>
              <w:lastRenderedPageBreak/>
              <w:t>在中国台湾市场的应用及拓展。</w:t>
            </w:r>
          </w:p>
          <w:p w14:paraId="6F761421" w14:textId="77777777" w:rsidR="00F22458" w:rsidRDefault="00F22458">
            <w:pPr>
              <w:spacing w:line="360" w:lineRule="auto"/>
              <w:rPr>
                <w:rFonts w:asciiTheme="minorEastAsia" w:hAnsiTheme="minorEastAsia" w:cstheme="minorEastAsia"/>
                <w:color w:val="000000" w:themeColor="text1"/>
                <w:sz w:val="22"/>
              </w:rPr>
            </w:pPr>
          </w:p>
          <w:p w14:paraId="1FEF1885"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2</w:t>
            </w:r>
            <w:r>
              <w:rPr>
                <w:rFonts w:asciiTheme="minorEastAsia" w:hAnsiTheme="minorEastAsia" w:cstheme="minorEastAsia" w:hint="eastAsia"/>
                <w:b/>
                <w:bCs/>
                <w:color w:val="000000" w:themeColor="text1"/>
                <w:sz w:val="22"/>
              </w:rPr>
              <w:t>、请问公司在海外市</w:t>
            </w:r>
            <w:r>
              <w:rPr>
                <w:rFonts w:asciiTheme="minorEastAsia" w:hAnsiTheme="minorEastAsia" w:cstheme="minorEastAsia" w:hint="eastAsia"/>
                <w:b/>
                <w:bCs/>
                <w:color w:val="000000" w:themeColor="text1"/>
                <w:sz w:val="22"/>
              </w:rPr>
              <w:t>场的拓展情况如何？</w:t>
            </w:r>
          </w:p>
          <w:p w14:paraId="328C7AC3"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答：公司高度重视海外市场的拓展，始终坚持“技术差异化、产品平台化、客户全球化”的发展战略，产品矩阵已覆盖清洗设备、电镀设备、立式炉管系列设备、涂胶显影设备、</w:t>
            </w:r>
            <w:r>
              <w:rPr>
                <w:rFonts w:asciiTheme="minorEastAsia" w:hAnsiTheme="minorEastAsia" w:cstheme="minorEastAsia" w:hint="eastAsia"/>
                <w:color w:val="000000" w:themeColor="text1"/>
                <w:sz w:val="22"/>
              </w:rPr>
              <w:t>PECVD</w:t>
            </w:r>
            <w:r>
              <w:rPr>
                <w:rFonts w:asciiTheme="minorEastAsia" w:hAnsiTheme="minorEastAsia" w:cstheme="minorEastAsia" w:hint="eastAsia"/>
                <w:color w:val="000000" w:themeColor="text1"/>
                <w:sz w:val="22"/>
              </w:rPr>
              <w:t>设备、无应力抛光设备、晶圆级先进封装工艺设备和面板级先进封装设备等，且所有设备均拥有全球自主知识产权、具备差异化的市场竞争优势，持续提升了国际市场的客户认可度。目前，公司自主研发的差异化核心设备已获得多家国际客户的关注与认可，公司预计今年将在东南亚市场取得一定突破，面板级设备也有望进入中国台湾市场。未来公司将持续推进客户全球</w:t>
            </w:r>
            <w:r>
              <w:rPr>
                <w:rFonts w:asciiTheme="minorEastAsia" w:hAnsiTheme="minorEastAsia" w:cstheme="minorEastAsia" w:hint="eastAsia"/>
                <w:color w:val="000000" w:themeColor="text1"/>
                <w:sz w:val="22"/>
              </w:rPr>
              <w:t>化战略，积极推进产品出海，扩大海外市场销售份额，不断将具有差异化竞争优势的产品更多推向海外市场，为整体营收攀升提供支撑，更为全球半导体的工业发展贡献力量。</w:t>
            </w:r>
          </w:p>
          <w:p w14:paraId="524E5984" w14:textId="77777777" w:rsidR="00F22458" w:rsidRDefault="00F22458">
            <w:pPr>
              <w:spacing w:line="360" w:lineRule="auto"/>
              <w:rPr>
                <w:rFonts w:asciiTheme="minorEastAsia" w:hAnsiTheme="minorEastAsia" w:cstheme="minorEastAsia"/>
                <w:color w:val="000000" w:themeColor="text1"/>
                <w:sz w:val="22"/>
              </w:rPr>
            </w:pPr>
          </w:p>
          <w:p w14:paraId="22CCEC28"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3</w:t>
            </w:r>
            <w:r>
              <w:rPr>
                <w:rFonts w:asciiTheme="minorEastAsia" w:hAnsiTheme="minorEastAsia" w:cstheme="minorEastAsia" w:hint="eastAsia"/>
                <w:b/>
                <w:bCs/>
                <w:color w:val="000000" w:themeColor="text1"/>
                <w:sz w:val="22"/>
              </w:rPr>
              <w:t>、请问公司对</w:t>
            </w:r>
            <w:r>
              <w:rPr>
                <w:rFonts w:asciiTheme="minorEastAsia" w:hAnsiTheme="minorEastAsia" w:cstheme="minorEastAsia" w:hint="eastAsia"/>
                <w:b/>
                <w:bCs/>
                <w:color w:val="000000" w:themeColor="text1"/>
                <w:sz w:val="22"/>
              </w:rPr>
              <w:t>2026</w:t>
            </w:r>
            <w:r>
              <w:rPr>
                <w:rFonts w:asciiTheme="minorEastAsia" w:hAnsiTheme="minorEastAsia" w:cstheme="minorEastAsia" w:hint="eastAsia"/>
                <w:b/>
                <w:bCs/>
                <w:color w:val="000000" w:themeColor="text1"/>
                <w:sz w:val="22"/>
              </w:rPr>
              <w:t>年订单情况有何展望？</w:t>
            </w:r>
          </w:p>
          <w:p w14:paraId="2A8C6DC9"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答：此前公司已披露</w:t>
            </w:r>
            <w:r>
              <w:rPr>
                <w:rFonts w:asciiTheme="minorEastAsia" w:hAnsiTheme="minorEastAsia" w:cstheme="minorEastAsia" w:hint="eastAsia"/>
                <w:color w:val="000000" w:themeColor="text1"/>
                <w:sz w:val="22"/>
              </w:rPr>
              <w:t>2026</w:t>
            </w:r>
            <w:r>
              <w:rPr>
                <w:rFonts w:asciiTheme="minorEastAsia" w:hAnsiTheme="minorEastAsia" w:cstheme="minorEastAsia" w:hint="eastAsia"/>
                <w:color w:val="000000" w:themeColor="text1"/>
                <w:sz w:val="22"/>
              </w:rPr>
              <w:t>年度经营业绩预测，综合近年来的业务发展趋势，以及目前的订单等多方面情况，公司预计</w:t>
            </w:r>
            <w:r>
              <w:rPr>
                <w:rFonts w:asciiTheme="minorEastAsia" w:hAnsiTheme="minorEastAsia" w:cstheme="minorEastAsia" w:hint="eastAsia"/>
                <w:color w:val="000000" w:themeColor="text1"/>
                <w:sz w:val="22"/>
              </w:rPr>
              <w:t>2026</w:t>
            </w:r>
            <w:r>
              <w:rPr>
                <w:rFonts w:asciiTheme="minorEastAsia" w:hAnsiTheme="minorEastAsia" w:cstheme="minorEastAsia" w:hint="eastAsia"/>
                <w:color w:val="000000" w:themeColor="text1"/>
                <w:sz w:val="22"/>
              </w:rPr>
              <w:t>年全年的营业收入将在</w:t>
            </w:r>
            <w:r>
              <w:rPr>
                <w:rFonts w:asciiTheme="minorEastAsia" w:hAnsiTheme="minorEastAsia" w:cstheme="minorEastAsia" w:hint="eastAsia"/>
                <w:color w:val="000000" w:themeColor="text1"/>
                <w:sz w:val="22"/>
              </w:rPr>
              <w:t>82.00</w:t>
            </w:r>
            <w:r>
              <w:rPr>
                <w:rFonts w:asciiTheme="minorEastAsia" w:hAnsiTheme="minorEastAsia" w:cstheme="minorEastAsia" w:hint="eastAsia"/>
                <w:color w:val="000000" w:themeColor="text1"/>
                <w:sz w:val="22"/>
              </w:rPr>
              <w:t>亿元至</w:t>
            </w:r>
            <w:r>
              <w:rPr>
                <w:rFonts w:asciiTheme="minorEastAsia" w:hAnsiTheme="minorEastAsia" w:cstheme="minorEastAsia" w:hint="eastAsia"/>
                <w:color w:val="000000" w:themeColor="text1"/>
                <w:sz w:val="22"/>
              </w:rPr>
              <w:t>88.00</w:t>
            </w:r>
            <w:r>
              <w:rPr>
                <w:rFonts w:asciiTheme="minorEastAsia" w:hAnsiTheme="minorEastAsia" w:cstheme="minorEastAsia" w:hint="eastAsia"/>
                <w:color w:val="000000" w:themeColor="text1"/>
                <w:sz w:val="22"/>
              </w:rPr>
              <w:t>亿元之间。</w:t>
            </w:r>
          </w:p>
          <w:p w14:paraId="685C74C9" w14:textId="77777777" w:rsidR="00F22458" w:rsidRDefault="00F22458">
            <w:pPr>
              <w:spacing w:line="360" w:lineRule="auto"/>
              <w:rPr>
                <w:rFonts w:asciiTheme="minorEastAsia" w:hAnsiTheme="minorEastAsia" w:cstheme="minorEastAsia"/>
                <w:color w:val="000000" w:themeColor="text1"/>
                <w:sz w:val="22"/>
              </w:rPr>
            </w:pPr>
          </w:p>
          <w:p w14:paraId="3DF928C6"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4</w:t>
            </w:r>
            <w:r>
              <w:rPr>
                <w:rFonts w:asciiTheme="minorEastAsia" w:hAnsiTheme="minorEastAsia" w:cstheme="minorEastAsia" w:hint="eastAsia"/>
                <w:b/>
                <w:bCs/>
                <w:color w:val="000000" w:themeColor="text1"/>
                <w:sz w:val="22"/>
              </w:rPr>
              <w:t>、请问公司预计</w:t>
            </w:r>
            <w:r>
              <w:rPr>
                <w:rFonts w:asciiTheme="minorEastAsia" w:hAnsiTheme="minorEastAsia" w:cstheme="minorEastAsia" w:hint="eastAsia"/>
                <w:b/>
                <w:bCs/>
                <w:color w:val="000000" w:themeColor="text1"/>
                <w:sz w:val="22"/>
              </w:rPr>
              <w:t>2026</w:t>
            </w:r>
            <w:r>
              <w:rPr>
                <w:rFonts w:asciiTheme="minorEastAsia" w:hAnsiTheme="minorEastAsia" w:cstheme="minorEastAsia" w:hint="eastAsia"/>
                <w:b/>
                <w:bCs/>
                <w:color w:val="000000" w:themeColor="text1"/>
                <w:sz w:val="22"/>
              </w:rPr>
              <w:t>年的毛利率水平和研发投入占比如何？</w:t>
            </w:r>
          </w:p>
          <w:p w14:paraId="1A9E0109"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答：公司将通过精细化成本管控、产品结构优化及高附加值业务拓展，全力将</w:t>
            </w:r>
            <w:r>
              <w:rPr>
                <w:rFonts w:asciiTheme="minorEastAsia" w:hAnsiTheme="minorEastAsia" w:cstheme="minorEastAsia" w:hint="eastAsia"/>
                <w:color w:val="000000" w:themeColor="text1"/>
                <w:sz w:val="22"/>
              </w:rPr>
              <w:t>2026</w:t>
            </w:r>
            <w:r>
              <w:rPr>
                <w:rFonts w:asciiTheme="minorEastAsia" w:hAnsiTheme="minorEastAsia" w:cstheme="minorEastAsia" w:hint="eastAsia"/>
                <w:color w:val="000000" w:themeColor="text1"/>
                <w:sz w:val="22"/>
              </w:rPr>
              <w:t>年全年平均毛利率水平仍将保持在</w:t>
            </w:r>
            <w:r>
              <w:rPr>
                <w:rFonts w:asciiTheme="minorEastAsia" w:hAnsiTheme="minorEastAsia" w:cstheme="minorEastAsia" w:hint="eastAsia"/>
                <w:color w:val="000000" w:themeColor="text1"/>
                <w:sz w:val="22"/>
              </w:rPr>
              <w:t>42%-48%</w:t>
            </w:r>
            <w:r>
              <w:rPr>
                <w:rFonts w:asciiTheme="minorEastAsia" w:hAnsiTheme="minorEastAsia" w:cstheme="minorEastAsia" w:hint="eastAsia"/>
                <w:color w:val="000000" w:themeColor="text1"/>
                <w:sz w:val="22"/>
              </w:rPr>
              <w:t>之间，研发投入占营业收入的比例预计将维持在</w:t>
            </w:r>
            <w:r>
              <w:rPr>
                <w:rFonts w:asciiTheme="minorEastAsia" w:hAnsiTheme="minorEastAsia" w:cstheme="minorEastAsia" w:hint="eastAsia"/>
                <w:color w:val="000000" w:themeColor="text1"/>
                <w:sz w:val="22"/>
              </w:rPr>
              <w:t>14%-19%</w:t>
            </w:r>
            <w:r>
              <w:rPr>
                <w:rFonts w:asciiTheme="minorEastAsia" w:hAnsiTheme="minorEastAsia" w:cstheme="minorEastAsia" w:hint="eastAsia"/>
                <w:color w:val="000000" w:themeColor="text1"/>
                <w:sz w:val="22"/>
              </w:rPr>
              <w:t>之间。</w:t>
            </w:r>
          </w:p>
          <w:p w14:paraId="3A9A6639" w14:textId="77777777" w:rsidR="00F22458" w:rsidRDefault="00F22458">
            <w:pPr>
              <w:spacing w:line="360" w:lineRule="auto"/>
              <w:rPr>
                <w:rFonts w:asciiTheme="minorEastAsia" w:hAnsiTheme="minorEastAsia" w:cstheme="minorEastAsia"/>
                <w:color w:val="000000" w:themeColor="text1"/>
                <w:sz w:val="22"/>
              </w:rPr>
            </w:pPr>
          </w:p>
          <w:p w14:paraId="50507C23"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5</w:t>
            </w:r>
            <w:r>
              <w:rPr>
                <w:rFonts w:asciiTheme="minorEastAsia" w:hAnsiTheme="minorEastAsia" w:cstheme="minorEastAsia" w:hint="eastAsia"/>
                <w:b/>
                <w:bCs/>
                <w:color w:val="000000" w:themeColor="text1"/>
                <w:sz w:val="22"/>
              </w:rPr>
              <w:t>、公司此前发布了</w:t>
            </w:r>
            <w:r>
              <w:rPr>
                <w:rFonts w:asciiTheme="minorEastAsia" w:hAnsiTheme="minorEastAsia" w:cstheme="minorEastAsia" w:hint="eastAsia"/>
                <w:b/>
                <w:bCs/>
                <w:color w:val="000000" w:themeColor="text1"/>
                <w:sz w:val="22"/>
              </w:rPr>
              <w:t>2025</w:t>
            </w:r>
            <w:r>
              <w:rPr>
                <w:rFonts w:asciiTheme="minorEastAsia" w:hAnsiTheme="minorEastAsia" w:cstheme="minorEastAsia" w:hint="eastAsia"/>
                <w:b/>
                <w:bCs/>
                <w:color w:val="000000" w:themeColor="text1"/>
                <w:sz w:val="22"/>
              </w:rPr>
              <w:t>年度计提资产减值准备的公告，请问公司资产减值的具体原因？对</w:t>
            </w:r>
            <w:r>
              <w:rPr>
                <w:rFonts w:asciiTheme="minorEastAsia" w:hAnsiTheme="minorEastAsia" w:cstheme="minorEastAsia" w:hint="eastAsia"/>
                <w:b/>
                <w:bCs/>
                <w:color w:val="000000" w:themeColor="text1"/>
                <w:sz w:val="22"/>
              </w:rPr>
              <w:t>2026</w:t>
            </w:r>
            <w:r>
              <w:rPr>
                <w:rFonts w:asciiTheme="minorEastAsia" w:hAnsiTheme="minorEastAsia" w:cstheme="minorEastAsia" w:hint="eastAsia"/>
                <w:b/>
                <w:bCs/>
                <w:color w:val="000000" w:themeColor="text1"/>
                <w:sz w:val="22"/>
              </w:rPr>
              <w:t>年有什么影响？</w:t>
            </w:r>
          </w:p>
          <w:p w14:paraId="3AB725FA"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答：公司基于实际经营情况及行业市场变化等因素的影响，根据</w:t>
            </w:r>
            <w:r>
              <w:rPr>
                <w:rFonts w:asciiTheme="minorEastAsia" w:hAnsiTheme="minorEastAsia" w:cstheme="minorEastAsia" w:hint="eastAsia"/>
                <w:color w:val="000000" w:themeColor="text1"/>
                <w:sz w:val="22"/>
              </w:rPr>
              <w:lastRenderedPageBreak/>
              <w:t>《企业会计准则》及公司会计政策的相关规定，基于谨慎性原则对合并范围内的各项应收账款、存货等资产进行全面充分的评估和分析，并根据减值测试结果对其中存在减值迹象的资产计提了减值准备。本次计提减值准备符合《企业会计准则》及公司会计政策的相关规定</w:t>
            </w:r>
            <w:r>
              <w:rPr>
                <w:rFonts w:asciiTheme="minorEastAsia" w:hAnsiTheme="minorEastAsia" w:cstheme="minorEastAsia" w:hint="eastAsia"/>
                <w:color w:val="000000" w:themeColor="text1"/>
                <w:sz w:val="22"/>
              </w:rPr>
              <w:t>，符合相关法律法规的规定和公司实际情况，不会影响公司的正常经营。</w:t>
            </w:r>
          </w:p>
          <w:p w14:paraId="1F38CACE" w14:textId="77777777" w:rsidR="00F22458" w:rsidRDefault="00F22458">
            <w:pPr>
              <w:spacing w:line="360" w:lineRule="auto"/>
              <w:rPr>
                <w:rFonts w:asciiTheme="minorEastAsia" w:hAnsiTheme="minorEastAsia" w:cstheme="minorEastAsia"/>
                <w:color w:val="000000" w:themeColor="text1"/>
                <w:sz w:val="22"/>
              </w:rPr>
            </w:pPr>
          </w:p>
          <w:p w14:paraId="60C8F249"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b/>
                <w:bCs/>
                <w:color w:val="000000" w:themeColor="text1"/>
                <w:sz w:val="22"/>
              </w:rPr>
              <w:t>6</w:t>
            </w:r>
            <w:r>
              <w:rPr>
                <w:rFonts w:asciiTheme="minorEastAsia" w:hAnsiTheme="minorEastAsia" w:cstheme="minorEastAsia" w:hint="eastAsia"/>
                <w:b/>
                <w:bCs/>
                <w:color w:val="000000" w:themeColor="text1"/>
                <w:sz w:val="22"/>
              </w:rPr>
              <w:t>、近期市场上零部件可能出现涨价趋势，请问是否会对公司毛利率造成影响？</w:t>
            </w:r>
          </w:p>
          <w:p w14:paraId="1803D63B"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公司已关注到市场的价格波动情况，并采取了相应的应对措施。目前，公司通过提高国产零部件使用比例、推进供应渠道多元化布局，以尽量降低采购成本，零部件价格波动尚未对公司毛利率造成实质性影响。未来，公司亦将在保障供应链安全的同时，持续完善成本管控体系，以有效应对外部市场环境变化，维护盈利能力的整体稳定。</w:t>
            </w:r>
          </w:p>
          <w:p w14:paraId="663E44A3" w14:textId="77777777" w:rsidR="00F22458" w:rsidRDefault="00F22458">
            <w:pPr>
              <w:spacing w:line="360" w:lineRule="auto"/>
              <w:rPr>
                <w:rFonts w:asciiTheme="minorEastAsia" w:hAnsiTheme="minorEastAsia" w:cstheme="minorEastAsia"/>
                <w:b/>
                <w:bCs/>
                <w:sz w:val="22"/>
              </w:rPr>
            </w:pPr>
          </w:p>
          <w:p w14:paraId="7DDC0BAF"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7</w:t>
            </w:r>
            <w:r>
              <w:rPr>
                <w:rFonts w:asciiTheme="minorEastAsia" w:hAnsiTheme="minorEastAsia" w:cstheme="minorEastAsia" w:hint="eastAsia"/>
                <w:b/>
                <w:bCs/>
                <w:color w:val="000000" w:themeColor="text1"/>
                <w:sz w:val="22"/>
              </w:rPr>
              <w:t>、请问公司当前的国产零部件导入进展如何？</w:t>
            </w:r>
          </w:p>
          <w:p w14:paraId="7DB93D0B"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w:t>
            </w:r>
            <w:r>
              <w:rPr>
                <w:rFonts w:asciiTheme="minorEastAsia" w:hAnsiTheme="minorEastAsia" w:cstheme="minorEastAsia" w:hint="eastAsia"/>
                <w:sz w:val="22"/>
              </w:rPr>
              <w:t>公司高度重视供应链的可控性与安全性，近年来持续推进核心零部件本土化进程，并已取得积极进展。目前非标准件已实现全面本土化；对于标准件中的部分核心零部件同样取得了重要突破，例如磁旋泵、加热器、过滤器等部分实现本土化。同时，为系统推进公司零部件本土化，公司从</w:t>
            </w:r>
            <w:r>
              <w:rPr>
                <w:rFonts w:asciiTheme="minorEastAsia" w:hAnsiTheme="minorEastAsia" w:cstheme="minorEastAsia" w:hint="eastAsia"/>
                <w:sz w:val="22"/>
              </w:rPr>
              <w:t>2025</w:t>
            </w:r>
            <w:r>
              <w:rPr>
                <w:rFonts w:asciiTheme="minorEastAsia" w:hAnsiTheme="minorEastAsia" w:cstheme="minorEastAsia" w:hint="eastAsia"/>
                <w:sz w:val="22"/>
              </w:rPr>
              <w:t>年开始，在半导体前道及先进封装领域先后设计并组装出两台全部使用国产零部件的设备，之后计划将其在临港洁净室中进行零部件测试及验证，并将把通过验证的合格零部件逐步导入公司量产设备中。需要特别说明的是，上述设备仅为公司内部用于检验零部件性能的测试设备。</w:t>
            </w:r>
          </w:p>
          <w:p w14:paraId="4667D498" w14:textId="77777777" w:rsidR="00F22458" w:rsidRDefault="00F22458">
            <w:pPr>
              <w:spacing w:line="360" w:lineRule="auto"/>
              <w:rPr>
                <w:rFonts w:asciiTheme="minorEastAsia" w:hAnsiTheme="minorEastAsia" w:cstheme="minorEastAsia"/>
                <w:color w:val="000000" w:themeColor="text1"/>
                <w:sz w:val="22"/>
              </w:rPr>
            </w:pPr>
          </w:p>
          <w:p w14:paraId="18539FF7"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8</w:t>
            </w:r>
            <w:r>
              <w:rPr>
                <w:rFonts w:asciiTheme="minorEastAsia" w:hAnsiTheme="minorEastAsia" w:cstheme="minorEastAsia" w:hint="eastAsia"/>
                <w:b/>
                <w:bCs/>
                <w:color w:val="000000" w:themeColor="text1"/>
                <w:sz w:val="22"/>
              </w:rPr>
              <w:t>、</w:t>
            </w:r>
            <w:r>
              <w:rPr>
                <w:rFonts w:asciiTheme="minorEastAsia" w:hAnsiTheme="minorEastAsia" w:cstheme="minorEastAsia" w:hint="eastAsia"/>
                <w:b/>
                <w:bCs/>
                <w:sz w:val="22"/>
              </w:rPr>
              <w:t>请问目前公司的前道涂胶显影</w:t>
            </w:r>
            <w:r>
              <w:rPr>
                <w:rFonts w:asciiTheme="minorEastAsia" w:hAnsiTheme="minorEastAsia" w:cstheme="minorEastAsia" w:hint="eastAsia"/>
                <w:b/>
                <w:bCs/>
                <w:sz w:val="22"/>
              </w:rPr>
              <w:t>Track</w:t>
            </w:r>
            <w:r>
              <w:rPr>
                <w:rFonts w:asciiTheme="minorEastAsia" w:hAnsiTheme="minorEastAsia" w:cstheme="minorEastAsia" w:hint="eastAsia"/>
                <w:b/>
                <w:bCs/>
                <w:sz w:val="22"/>
              </w:rPr>
              <w:t>设备的验证进展如何，</w:t>
            </w:r>
            <w:r>
              <w:rPr>
                <w:rFonts w:asciiTheme="minorEastAsia" w:hAnsiTheme="minorEastAsia" w:cstheme="minorEastAsia" w:hint="eastAsia"/>
                <w:b/>
                <w:bCs/>
                <w:sz w:val="22"/>
              </w:rPr>
              <w:lastRenderedPageBreak/>
              <w:t>如何展望其后续出货情况？</w:t>
            </w:r>
          </w:p>
          <w:p w14:paraId="5B2C8AEA" w14:textId="77777777" w:rsidR="00F22458" w:rsidRDefault="00F12B31">
            <w:pPr>
              <w:spacing w:line="360" w:lineRule="auto"/>
              <w:rPr>
                <w:rFonts w:asciiTheme="minorEastAsia" w:hAnsiTheme="minorEastAsia" w:cstheme="minorEastAsia"/>
                <w:sz w:val="22"/>
              </w:rPr>
            </w:pPr>
            <w:r>
              <w:rPr>
                <w:rFonts w:asciiTheme="minorEastAsia" w:hAnsiTheme="minorEastAsia" w:cstheme="minorEastAsia" w:hint="eastAsia"/>
                <w:color w:val="000000" w:themeColor="text1"/>
                <w:sz w:val="22"/>
              </w:rPr>
              <w:t>答：</w:t>
            </w:r>
            <w:bookmarkEnd w:id="1"/>
            <w:r>
              <w:rPr>
                <w:rFonts w:asciiTheme="minorEastAsia" w:hAnsiTheme="minorEastAsia" w:cstheme="minorEastAsia" w:hint="eastAsia"/>
                <w:color w:val="000000" w:themeColor="text1"/>
                <w:sz w:val="22"/>
              </w:rPr>
              <w:t>在涂胶显影设备（</w:t>
            </w:r>
            <w:r>
              <w:rPr>
                <w:rFonts w:asciiTheme="minorEastAsia" w:hAnsiTheme="minorEastAsia" w:cstheme="minorEastAsia" w:hint="eastAsia"/>
                <w:color w:val="000000" w:themeColor="text1"/>
                <w:sz w:val="22"/>
              </w:rPr>
              <w:t>Track</w:t>
            </w:r>
            <w:r>
              <w:rPr>
                <w:rFonts w:asciiTheme="minorEastAsia" w:hAnsiTheme="minorEastAsia" w:cstheme="minorEastAsia" w:hint="eastAsia"/>
                <w:color w:val="000000" w:themeColor="text1"/>
                <w:sz w:val="22"/>
              </w:rPr>
              <w:t>）领域，公司正有序推进</w:t>
            </w:r>
            <w:r>
              <w:rPr>
                <w:rFonts w:asciiTheme="minorEastAsia" w:hAnsiTheme="minorEastAsia" w:cstheme="minorEastAsia" w:hint="eastAsia"/>
                <w:color w:val="000000" w:themeColor="text1"/>
                <w:sz w:val="22"/>
              </w:rPr>
              <w:t>KrF</w:t>
            </w:r>
            <w:r>
              <w:rPr>
                <w:rFonts w:asciiTheme="minorEastAsia" w:hAnsiTheme="minorEastAsia" w:cstheme="minorEastAsia" w:hint="eastAsia"/>
                <w:color w:val="000000" w:themeColor="text1"/>
                <w:sz w:val="22"/>
              </w:rPr>
              <w:t>与</w:t>
            </w:r>
            <w:r>
              <w:rPr>
                <w:rFonts w:asciiTheme="minorEastAsia" w:hAnsiTheme="minorEastAsia" w:cstheme="minorEastAsia" w:hint="eastAsia"/>
                <w:color w:val="000000" w:themeColor="text1"/>
                <w:sz w:val="22"/>
              </w:rPr>
              <w:t>ArF</w:t>
            </w:r>
            <w:r>
              <w:rPr>
                <w:rFonts w:asciiTheme="minorEastAsia" w:hAnsiTheme="minorEastAsia" w:cstheme="minorEastAsia" w:hint="eastAsia"/>
                <w:color w:val="000000" w:themeColor="text1"/>
                <w:sz w:val="22"/>
              </w:rPr>
              <w:t>两大技术节点的产品布局，这两款设备亦是公司</w:t>
            </w:r>
            <w:r>
              <w:rPr>
                <w:rFonts w:asciiTheme="minorEastAsia" w:hAnsiTheme="minorEastAsia" w:cstheme="minorEastAsia" w:hint="eastAsia"/>
                <w:color w:val="000000" w:themeColor="text1"/>
                <w:sz w:val="22"/>
              </w:rPr>
              <w:t>Track</w:t>
            </w:r>
            <w:r>
              <w:rPr>
                <w:rFonts w:asciiTheme="minorEastAsia" w:hAnsiTheme="minorEastAsia" w:cstheme="minorEastAsia" w:hint="eastAsia"/>
                <w:color w:val="000000" w:themeColor="text1"/>
                <w:sz w:val="22"/>
              </w:rPr>
              <w:t>系列的核心组成部分。经过</w:t>
            </w:r>
            <w:r>
              <w:rPr>
                <w:rFonts w:asciiTheme="minorEastAsia" w:hAnsiTheme="minorEastAsia" w:cstheme="minorEastAsia" w:hint="eastAsia"/>
                <w:color w:val="000000" w:themeColor="text1"/>
                <w:sz w:val="22"/>
              </w:rPr>
              <w:t>5</w:t>
            </w:r>
            <w:r>
              <w:rPr>
                <w:rFonts w:asciiTheme="minorEastAsia" w:hAnsiTheme="minorEastAsia" w:cstheme="minorEastAsia" w:hint="eastAsia"/>
                <w:color w:val="000000" w:themeColor="text1"/>
                <w:sz w:val="22"/>
              </w:rPr>
              <w:t>年的潜心研发，</w:t>
            </w:r>
            <w:r>
              <w:rPr>
                <w:rFonts w:asciiTheme="minorEastAsia" w:hAnsiTheme="minorEastAsia" w:cstheme="minorEastAsia" w:hint="eastAsia"/>
                <w:color w:val="000000" w:themeColor="text1"/>
                <w:sz w:val="22"/>
              </w:rPr>
              <w:t>2025</w:t>
            </w:r>
            <w:r>
              <w:rPr>
                <w:rFonts w:asciiTheme="minorEastAsia" w:hAnsiTheme="minorEastAsia" w:cstheme="minorEastAsia" w:hint="eastAsia"/>
                <w:color w:val="000000" w:themeColor="text1"/>
                <w:sz w:val="22"/>
              </w:rPr>
              <w:t>年第三季度公司推出首款自主研发的高产出（</w:t>
            </w:r>
            <w:r>
              <w:rPr>
                <w:rFonts w:asciiTheme="minorEastAsia" w:hAnsiTheme="minorEastAsia" w:cstheme="minorEastAsia" w:hint="eastAsia"/>
                <w:color w:val="000000" w:themeColor="text1"/>
                <w:sz w:val="22"/>
              </w:rPr>
              <w:t>300WPH</w:t>
            </w:r>
            <w:r>
              <w:rPr>
                <w:rFonts w:asciiTheme="minorEastAsia" w:hAnsiTheme="minorEastAsia" w:cstheme="minorEastAsia" w:hint="eastAsia"/>
                <w:color w:val="000000" w:themeColor="text1"/>
                <w:sz w:val="22"/>
              </w:rPr>
              <w:t>）</w:t>
            </w:r>
            <w:r>
              <w:rPr>
                <w:rFonts w:asciiTheme="minorEastAsia" w:hAnsiTheme="minorEastAsia" w:cstheme="minorEastAsia" w:hint="eastAsia"/>
                <w:color w:val="000000" w:themeColor="text1"/>
                <w:sz w:val="22"/>
              </w:rPr>
              <w:t>KrF</w:t>
            </w:r>
            <w:r>
              <w:rPr>
                <w:rFonts w:asciiTheme="minorEastAsia" w:hAnsiTheme="minorEastAsia" w:cstheme="minorEastAsia" w:hint="eastAsia"/>
                <w:color w:val="000000" w:themeColor="text1"/>
                <w:sz w:val="22"/>
              </w:rPr>
              <w:t>工艺前道涂胶显影（</w:t>
            </w:r>
            <w:r>
              <w:rPr>
                <w:rFonts w:asciiTheme="minorEastAsia" w:hAnsiTheme="minorEastAsia" w:cstheme="minorEastAsia" w:hint="eastAsia"/>
                <w:color w:val="000000" w:themeColor="text1"/>
                <w:sz w:val="22"/>
              </w:rPr>
              <w:t>Track</w:t>
            </w:r>
            <w:r>
              <w:rPr>
                <w:rFonts w:asciiTheme="minorEastAsia" w:hAnsiTheme="minorEastAsia" w:cstheme="minorEastAsia" w:hint="eastAsia"/>
                <w:color w:val="000000" w:themeColor="text1"/>
                <w:sz w:val="22"/>
              </w:rPr>
              <w:t>）设备</w:t>
            </w:r>
            <w:r>
              <w:rPr>
                <w:rFonts w:asciiTheme="minorEastAsia" w:hAnsiTheme="minorEastAsia" w:cstheme="minorEastAsia" w:hint="eastAsia"/>
                <w:color w:val="000000" w:themeColor="text1"/>
                <w:sz w:val="22"/>
              </w:rPr>
              <w:t>Ultra LITH KrF</w:t>
            </w:r>
            <w:r>
              <w:rPr>
                <w:rFonts w:asciiTheme="minorEastAsia" w:hAnsiTheme="minorEastAsia" w:cstheme="minorEastAsia" w:hint="eastAsia"/>
                <w:color w:val="000000" w:themeColor="text1"/>
                <w:sz w:val="22"/>
              </w:rPr>
              <w:t>，该产品具有高产能、先进温控技术以及实时工艺控制和监测功能，进一步拓展了光刻相关的应用领域，展现了公司在新产品品类中的持续扩展能力，已于</w:t>
            </w:r>
            <w:r>
              <w:rPr>
                <w:rFonts w:asciiTheme="minorEastAsia" w:hAnsiTheme="minorEastAsia" w:cstheme="minorEastAsia" w:hint="eastAsia"/>
                <w:color w:val="000000" w:themeColor="text1"/>
                <w:sz w:val="22"/>
              </w:rPr>
              <w:t>20</w:t>
            </w:r>
            <w:r>
              <w:rPr>
                <w:rFonts w:asciiTheme="minorEastAsia" w:hAnsiTheme="minorEastAsia" w:cstheme="minorEastAsia" w:hint="eastAsia"/>
                <w:color w:val="000000" w:themeColor="text1"/>
                <w:sz w:val="22"/>
              </w:rPr>
              <w:t>25</w:t>
            </w:r>
            <w:r>
              <w:rPr>
                <w:rFonts w:asciiTheme="minorEastAsia" w:hAnsiTheme="minorEastAsia" w:cstheme="minorEastAsia" w:hint="eastAsia"/>
                <w:color w:val="000000" w:themeColor="text1"/>
                <w:sz w:val="22"/>
              </w:rPr>
              <w:t>年</w:t>
            </w:r>
            <w:r>
              <w:rPr>
                <w:rFonts w:asciiTheme="minorEastAsia" w:hAnsiTheme="minorEastAsia" w:cstheme="minorEastAsia" w:hint="eastAsia"/>
                <w:color w:val="000000" w:themeColor="text1"/>
                <w:sz w:val="22"/>
              </w:rPr>
              <w:t>9</w:t>
            </w:r>
            <w:r>
              <w:rPr>
                <w:rFonts w:asciiTheme="minorEastAsia" w:hAnsiTheme="minorEastAsia" w:cstheme="minorEastAsia" w:hint="eastAsia"/>
                <w:color w:val="000000" w:themeColor="text1"/>
                <w:sz w:val="22"/>
              </w:rPr>
              <w:t>月顺利交付中国头部逻辑晶圆厂客户，预计本年度将完成全生产流程测试。同时，基于</w:t>
            </w:r>
            <w:r>
              <w:rPr>
                <w:rFonts w:asciiTheme="minorEastAsia" w:hAnsiTheme="minorEastAsia" w:cstheme="minorEastAsia" w:hint="eastAsia"/>
                <w:color w:val="000000" w:themeColor="text1"/>
                <w:sz w:val="22"/>
              </w:rPr>
              <w:t>KrF</w:t>
            </w:r>
            <w:r>
              <w:rPr>
                <w:rFonts w:asciiTheme="minorEastAsia" w:hAnsiTheme="minorEastAsia" w:cstheme="minorEastAsia" w:hint="eastAsia"/>
                <w:color w:val="000000" w:themeColor="text1"/>
                <w:sz w:val="22"/>
              </w:rPr>
              <w:t>与</w:t>
            </w:r>
            <w:r>
              <w:rPr>
                <w:rFonts w:asciiTheme="minorEastAsia" w:hAnsiTheme="minorEastAsia" w:cstheme="minorEastAsia" w:hint="eastAsia"/>
                <w:color w:val="000000" w:themeColor="text1"/>
                <w:sz w:val="22"/>
              </w:rPr>
              <w:t>ArF</w:t>
            </w:r>
            <w:r>
              <w:rPr>
                <w:rFonts w:asciiTheme="minorEastAsia" w:hAnsiTheme="minorEastAsia" w:cstheme="minorEastAsia" w:hint="eastAsia"/>
                <w:color w:val="000000" w:themeColor="text1"/>
                <w:sz w:val="22"/>
              </w:rPr>
              <w:t>设备在功能上的共同性，公司有望加快推进</w:t>
            </w:r>
            <w:r>
              <w:rPr>
                <w:rFonts w:asciiTheme="minorEastAsia" w:hAnsiTheme="minorEastAsia" w:cstheme="minorEastAsia" w:hint="eastAsia"/>
                <w:color w:val="000000" w:themeColor="text1"/>
                <w:sz w:val="22"/>
              </w:rPr>
              <w:t>ArF Immersion</w:t>
            </w:r>
            <w:r>
              <w:rPr>
                <w:rFonts w:asciiTheme="minorEastAsia" w:hAnsiTheme="minorEastAsia" w:cstheme="minorEastAsia" w:hint="eastAsia"/>
                <w:color w:val="000000" w:themeColor="text1"/>
                <w:sz w:val="22"/>
              </w:rPr>
              <w:t>设备的生产及研发进程，并期待未来与客户端的紧密合作。</w:t>
            </w:r>
          </w:p>
          <w:p w14:paraId="56DA1816" w14:textId="77777777" w:rsidR="00F22458" w:rsidRDefault="00F22458">
            <w:pPr>
              <w:spacing w:line="360" w:lineRule="auto"/>
              <w:rPr>
                <w:rFonts w:asciiTheme="minorEastAsia" w:hAnsiTheme="minorEastAsia" w:cstheme="minorEastAsia"/>
                <w:sz w:val="22"/>
              </w:rPr>
            </w:pPr>
          </w:p>
          <w:p w14:paraId="07DADF1C"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9</w:t>
            </w:r>
            <w:r>
              <w:rPr>
                <w:rFonts w:asciiTheme="minorEastAsia" w:hAnsiTheme="minorEastAsia" w:cstheme="minorEastAsia" w:hint="eastAsia"/>
                <w:b/>
                <w:bCs/>
                <w:color w:val="000000" w:themeColor="text1"/>
                <w:sz w:val="22"/>
              </w:rPr>
              <w:t>、请问公司如何看待未来行业发展趋势？公司近两年主要增长点在哪些方面？</w:t>
            </w:r>
          </w:p>
          <w:p w14:paraId="72ADE3D9"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答：未来</w:t>
            </w:r>
            <w:r>
              <w:rPr>
                <w:rFonts w:asciiTheme="minorEastAsia" w:hAnsiTheme="minorEastAsia" w:cstheme="minorEastAsia" w:hint="eastAsia"/>
                <w:color w:val="000000" w:themeColor="text1"/>
                <w:sz w:val="22"/>
              </w:rPr>
              <w:t>2-3</w:t>
            </w:r>
            <w:r>
              <w:rPr>
                <w:rFonts w:asciiTheme="minorEastAsia" w:hAnsiTheme="minorEastAsia" w:cstheme="minorEastAsia" w:hint="eastAsia"/>
                <w:color w:val="000000" w:themeColor="text1"/>
                <w:sz w:val="22"/>
              </w:rPr>
              <w:t>年，存储及逻辑领域仍将处于建设周期，公司对未来行业发展趋势保持乐观预期，持续看好中国半导体消费市场前景。在现有设备持续完善的基础上，公司正在加快推进新产品的市场导入。经过</w:t>
            </w:r>
            <w:r>
              <w:rPr>
                <w:rFonts w:asciiTheme="minorEastAsia" w:hAnsiTheme="minorEastAsia" w:cstheme="minorEastAsia" w:hint="eastAsia"/>
                <w:color w:val="000000" w:themeColor="text1"/>
                <w:sz w:val="22"/>
              </w:rPr>
              <w:t>3-5</w:t>
            </w:r>
            <w:r>
              <w:rPr>
                <w:rFonts w:asciiTheme="minorEastAsia" w:hAnsiTheme="minorEastAsia" w:cstheme="minorEastAsia" w:hint="eastAsia"/>
                <w:color w:val="000000" w:themeColor="text1"/>
                <w:sz w:val="22"/>
              </w:rPr>
              <w:t>年研发积累，炉管、面板级先进封装、</w:t>
            </w:r>
            <w:r>
              <w:rPr>
                <w:rFonts w:asciiTheme="minorEastAsia" w:hAnsiTheme="minorEastAsia" w:cstheme="minorEastAsia" w:hint="eastAsia"/>
                <w:color w:val="000000" w:themeColor="text1"/>
                <w:sz w:val="22"/>
              </w:rPr>
              <w:t>PECVD</w:t>
            </w:r>
            <w:r>
              <w:rPr>
                <w:rFonts w:asciiTheme="minorEastAsia" w:hAnsiTheme="minorEastAsia" w:cstheme="minorEastAsia" w:hint="eastAsia"/>
                <w:color w:val="000000" w:themeColor="text1"/>
                <w:sz w:val="22"/>
              </w:rPr>
              <w:t>、</w:t>
            </w:r>
            <w:r>
              <w:rPr>
                <w:rFonts w:asciiTheme="minorEastAsia" w:hAnsiTheme="minorEastAsia" w:cstheme="minorEastAsia" w:hint="eastAsia"/>
                <w:color w:val="000000" w:themeColor="text1"/>
                <w:sz w:val="22"/>
              </w:rPr>
              <w:t>Track</w:t>
            </w:r>
            <w:r>
              <w:rPr>
                <w:rFonts w:asciiTheme="minorEastAsia" w:hAnsiTheme="minorEastAsia" w:cstheme="minorEastAsia" w:hint="eastAsia"/>
                <w:color w:val="000000" w:themeColor="text1"/>
                <w:sz w:val="22"/>
              </w:rPr>
              <w:t>等设备也将迎来爆发期，公司对上述设备的增长前景抱有信心。</w:t>
            </w:r>
          </w:p>
          <w:p w14:paraId="140B0242" w14:textId="77777777" w:rsidR="00F22458" w:rsidRDefault="00F22458">
            <w:pPr>
              <w:spacing w:line="360" w:lineRule="auto"/>
              <w:rPr>
                <w:rFonts w:asciiTheme="minorEastAsia" w:hAnsiTheme="minorEastAsia" w:cstheme="minorEastAsia"/>
                <w:sz w:val="22"/>
              </w:rPr>
            </w:pPr>
          </w:p>
          <w:p w14:paraId="05624C5C" w14:textId="77777777" w:rsidR="00F22458" w:rsidRDefault="00F12B31">
            <w:p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t>10</w:t>
            </w:r>
            <w:r>
              <w:rPr>
                <w:rFonts w:asciiTheme="minorEastAsia" w:hAnsiTheme="minorEastAsia" w:cstheme="minorEastAsia" w:hint="eastAsia"/>
                <w:b/>
                <w:bCs/>
                <w:color w:val="000000" w:themeColor="text1"/>
                <w:sz w:val="22"/>
              </w:rPr>
              <w:t>、请问公司对清洗设备和新设备在营收方面的占比有什么规划？</w:t>
            </w:r>
          </w:p>
          <w:p w14:paraId="2718299C" w14:textId="77777777" w:rsidR="00F22458" w:rsidRDefault="00F12B31">
            <w:pPr>
              <w:spacing w:line="360" w:lineRule="auto"/>
              <w:rPr>
                <w:rFonts w:asciiTheme="minorEastAsia" w:hAnsiTheme="minorEastAsia" w:cstheme="minorEastAsia"/>
                <w:color w:val="000000" w:themeColor="text1"/>
                <w:sz w:val="22"/>
              </w:rPr>
            </w:pPr>
            <w:r>
              <w:rPr>
                <w:rFonts w:asciiTheme="minorEastAsia" w:hAnsiTheme="minorEastAsia" w:cstheme="minorEastAsia" w:hint="eastAsia"/>
                <w:color w:val="000000" w:themeColor="text1"/>
                <w:sz w:val="22"/>
              </w:rPr>
              <w:t>答：</w:t>
            </w:r>
            <w:r>
              <w:rPr>
                <w:rFonts w:asciiTheme="minorEastAsia" w:hAnsiTheme="minorEastAsia" w:cstheme="minorEastAsia" w:hint="eastAsia"/>
                <w:color w:val="000000" w:themeColor="text1"/>
                <w:sz w:val="22"/>
              </w:rPr>
              <w:t>2025</w:t>
            </w:r>
            <w:r>
              <w:rPr>
                <w:rFonts w:asciiTheme="minorEastAsia" w:hAnsiTheme="minorEastAsia" w:cstheme="minorEastAsia" w:hint="eastAsia"/>
                <w:color w:val="000000" w:themeColor="text1"/>
                <w:sz w:val="22"/>
              </w:rPr>
              <w:t>年，公司清洗设备占营收的</w:t>
            </w:r>
            <w:r>
              <w:rPr>
                <w:rFonts w:asciiTheme="minorEastAsia" w:hAnsiTheme="minorEastAsia" w:cstheme="minorEastAsia" w:hint="eastAsia"/>
                <w:color w:val="000000" w:themeColor="text1"/>
                <w:sz w:val="22"/>
              </w:rPr>
              <w:t>66.40%</w:t>
            </w:r>
            <w:r>
              <w:rPr>
                <w:rFonts w:asciiTheme="minorEastAsia" w:hAnsiTheme="minorEastAsia" w:cstheme="minorEastAsia" w:hint="eastAsia"/>
                <w:color w:val="000000" w:themeColor="text1"/>
                <w:sz w:val="22"/>
              </w:rPr>
              <w:t>，随着后续新设备的导入，清洗设备占公司总营收的相对比例可能略有下降，但放眼中国市场，公司在清洗设</w:t>
            </w:r>
            <w:r>
              <w:rPr>
                <w:rFonts w:asciiTheme="minorEastAsia" w:hAnsiTheme="minorEastAsia" w:cstheme="minorEastAsia" w:hint="eastAsia"/>
                <w:color w:val="000000" w:themeColor="text1"/>
                <w:sz w:val="22"/>
              </w:rPr>
              <w:t>备领域的长期目标是实现约</w:t>
            </w:r>
            <w:r>
              <w:rPr>
                <w:rFonts w:asciiTheme="minorEastAsia" w:hAnsiTheme="minorEastAsia" w:cstheme="minorEastAsia" w:hint="eastAsia"/>
                <w:color w:val="000000" w:themeColor="text1"/>
                <w:sz w:val="22"/>
              </w:rPr>
              <w:t>60%</w:t>
            </w:r>
            <w:r>
              <w:rPr>
                <w:rFonts w:asciiTheme="minorEastAsia" w:hAnsiTheme="minorEastAsia" w:cstheme="minorEastAsia" w:hint="eastAsia"/>
                <w:color w:val="000000" w:themeColor="text1"/>
                <w:sz w:val="22"/>
              </w:rPr>
              <w:t>的市场份额。</w:t>
            </w:r>
          </w:p>
          <w:p w14:paraId="65010463" w14:textId="77777777" w:rsidR="00F22458" w:rsidRDefault="00F22458">
            <w:pPr>
              <w:spacing w:line="360" w:lineRule="auto"/>
              <w:rPr>
                <w:rFonts w:asciiTheme="minorEastAsia" w:hAnsiTheme="minorEastAsia" w:cstheme="minorEastAsia"/>
                <w:sz w:val="22"/>
              </w:rPr>
            </w:pPr>
          </w:p>
          <w:p w14:paraId="73122513" w14:textId="77777777" w:rsidR="00F22458" w:rsidRDefault="00F12B31">
            <w:pPr>
              <w:numPr>
                <w:ilvl w:val="255"/>
                <w:numId w:val="0"/>
              </w:numPr>
              <w:spacing w:line="360" w:lineRule="auto"/>
              <w:rPr>
                <w:rFonts w:asciiTheme="minorEastAsia" w:hAnsiTheme="minorEastAsia" w:cstheme="minorEastAsia"/>
                <w:b/>
                <w:bCs/>
                <w:color w:val="000000" w:themeColor="text1"/>
                <w:sz w:val="22"/>
              </w:rPr>
            </w:pPr>
            <w:r>
              <w:rPr>
                <w:rFonts w:asciiTheme="minorEastAsia" w:hAnsiTheme="minorEastAsia" w:cstheme="minorEastAsia" w:hint="eastAsia"/>
                <w:b/>
                <w:bCs/>
                <w:color w:val="000000" w:themeColor="text1"/>
                <w:sz w:val="22"/>
              </w:rPr>
              <w:lastRenderedPageBreak/>
              <w:t>11</w:t>
            </w:r>
            <w:r>
              <w:rPr>
                <w:rFonts w:asciiTheme="minorEastAsia" w:hAnsiTheme="minorEastAsia" w:cstheme="minorEastAsia" w:hint="eastAsia"/>
                <w:b/>
                <w:bCs/>
                <w:color w:val="000000" w:themeColor="text1"/>
                <w:sz w:val="22"/>
              </w:rPr>
              <w:t>、请问公司的</w:t>
            </w:r>
            <w:r>
              <w:rPr>
                <w:rFonts w:asciiTheme="minorEastAsia" w:hAnsiTheme="minorEastAsia" w:cstheme="minorEastAsia" w:hint="eastAsia"/>
                <w:b/>
                <w:bCs/>
                <w:color w:val="000000" w:themeColor="text1"/>
                <w:sz w:val="22"/>
              </w:rPr>
              <w:t>PECVD</w:t>
            </w:r>
            <w:r>
              <w:rPr>
                <w:rFonts w:asciiTheme="minorEastAsia" w:hAnsiTheme="minorEastAsia" w:cstheme="minorEastAsia" w:hint="eastAsia"/>
                <w:b/>
                <w:bCs/>
                <w:color w:val="000000" w:themeColor="text1"/>
                <w:sz w:val="22"/>
              </w:rPr>
              <w:t>业务目前进展情况如何？公司对该业务未来怎样规划？</w:t>
            </w:r>
          </w:p>
          <w:p w14:paraId="1A254550" w14:textId="77777777" w:rsidR="00F22458" w:rsidRDefault="00F12B31">
            <w:pPr>
              <w:spacing w:line="360" w:lineRule="auto"/>
              <w:rPr>
                <w:rFonts w:ascii="宋体" w:eastAsia="宋体" w:hAnsi="宋体" w:cs="Times New Roman"/>
                <w:color w:val="000000" w:themeColor="text1"/>
                <w:sz w:val="22"/>
              </w:rPr>
            </w:pPr>
            <w:r>
              <w:rPr>
                <w:rFonts w:asciiTheme="minorEastAsia" w:hAnsiTheme="minorEastAsia" w:cstheme="minorEastAsia" w:hint="eastAsia"/>
                <w:color w:val="000000" w:themeColor="text1"/>
                <w:sz w:val="22"/>
              </w:rPr>
              <w:t>答：在</w:t>
            </w:r>
            <w:r>
              <w:rPr>
                <w:rFonts w:asciiTheme="minorEastAsia" w:hAnsiTheme="minorEastAsia" w:cstheme="minorEastAsia" w:hint="eastAsia"/>
                <w:color w:val="000000" w:themeColor="text1"/>
                <w:sz w:val="22"/>
              </w:rPr>
              <w:t>PECVD</w:t>
            </w:r>
            <w:r>
              <w:rPr>
                <w:rFonts w:asciiTheme="minorEastAsia" w:hAnsiTheme="minorEastAsia" w:cstheme="minorEastAsia" w:hint="eastAsia"/>
                <w:color w:val="000000" w:themeColor="text1"/>
                <w:sz w:val="22"/>
              </w:rPr>
              <w:t>方面，公司持续推进自主研发，公司设计的一个腔体三个卡盘结构，具备较高灵活性，可适配多种工艺需求。公司推出的</w:t>
            </w:r>
            <w:r>
              <w:rPr>
                <w:rFonts w:asciiTheme="minorEastAsia" w:hAnsiTheme="minorEastAsia" w:cstheme="minorEastAsia" w:hint="eastAsia"/>
                <w:color w:val="000000" w:themeColor="text1"/>
                <w:sz w:val="22"/>
              </w:rPr>
              <w:t>Ultra Pmax</w:t>
            </w:r>
            <w:r>
              <w:rPr>
                <w:rFonts w:asciiTheme="minorEastAsia" w:hAnsiTheme="minorEastAsia" w:cstheme="minorEastAsia" w:hint="eastAsia"/>
                <w:color w:val="000000" w:themeColor="text1"/>
                <w:sz w:val="22"/>
                <w:vertAlign w:val="superscript"/>
              </w:rPr>
              <w:t>TM</w:t>
            </w:r>
            <w:r>
              <w:rPr>
                <w:rFonts w:asciiTheme="minorEastAsia" w:hAnsiTheme="minorEastAsia" w:cstheme="minorEastAsia" w:hint="eastAsia"/>
                <w:color w:val="000000" w:themeColor="text1"/>
                <w:sz w:val="22"/>
              </w:rPr>
              <w:t xml:space="preserve"> PECVD </w:t>
            </w:r>
            <w:r>
              <w:rPr>
                <w:rFonts w:asciiTheme="minorEastAsia" w:hAnsiTheme="minorEastAsia" w:cstheme="minorEastAsia" w:hint="eastAsia"/>
                <w:color w:val="000000" w:themeColor="text1"/>
                <w:sz w:val="22"/>
              </w:rPr>
              <w:t>设备，配置了自主知识产权的腔体、气体分配装置和卡盘设计，能够提供更好的薄膜均匀性、更小的薄膜应力和更少的颗粒特性。该设备的推出，标志着公司在前道半导体应用中进一步扩展到全新的干法工艺领域。</w:t>
            </w:r>
            <w:r>
              <w:rPr>
                <w:rFonts w:asciiTheme="minorEastAsia" w:hAnsiTheme="minorEastAsia" w:cstheme="minorEastAsia" w:hint="eastAsia"/>
                <w:color w:val="000000" w:themeColor="text1"/>
                <w:sz w:val="22"/>
              </w:rPr>
              <w:t>2025</w:t>
            </w:r>
            <w:r>
              <w:rPr>
                <w:rFonts w:asciiTheme="minorEastAsia" w:hAnsiTheme="minorEastAsia" w:cstheme="minorEastAsia" w:hint="eastAsia"/>
                <w:color w:val="000000" w:themeColor="text1"/>
                <w:sz w:val="22"/>
              </w:rPr>
              <w:t>年</w:t>
            </w:r>
            <w:r>
              <w:rPr>
                <w:rFonts w:asciiTheme="minorEastAsia" w:hAnsiTheme="minorEastAsia" w:cstheme="minorEastAsia" w:hint="eastAsia"/>
                <w:color w:val="000000" w:themeColor="text1"/>
                <w:sz w:val="22"/>
              </w:rPr>
              <w:t>Ultra Pmax</w:t>
            </w:r>
            <w:r>
              <w:rPr>
                <w:rFonts w:asciiTheme="minorEastAsia" w:hAnsiTheme="minorEastAsia" w:cstheme="minorEastAsia" w:hint="eastAsia"/>
                <w:color w:val="000000" w:themeColor="text1"/>
                <w:sz w:val="22"/>
                <w:vertAlign w:val="superscript"/>
              </w:rPr>
              <w:t>TM</w:t>
            </w:r>
            <w:r>
              <w:rPr>
                <w:rFonts w:asciiTheme="minorEastAsia" w:hAnsiTheme="minorEastAsia" w:cstheme="minorEastAsia" w:hint="eastAsia"/>
                <w:color w:val="000000" w:themeColor="text1"/>
                <w:sz w:val="22"/>
              </w:rPr>
              <w:t xml:space="preserve"> PECVD </w:t>
            </w:r>
            <w:r>
              <w:rPr>
                <w:rFonts w:asciiTheme="minorEastAsia" w:hAnsiTheme="minorEastAsia" w:cstheme="minorEastAsia" w:hint="eastAsia"/>
                <w:color w:val="000000" w:themeColor="text1"/>
                <w:sz w:val="22"/>
              </w:rPr>
              <w:t>设备在多工艺成膜上实现突破，在公司临港测试研发线上成功完成</w:t>
            </w:r>
            <w:r>
              <w:rPr>
                <w:rFonts w:asciiTheme="minorEastAsia" w:hAnsiTheme="minorEastAsia" w:cstheme="minorEastAsia" w:hint="eastAsia"/>
                <w:color w:val="000000" w:themeColor="text1"/>
                <w:sz w:val="22"/>
              </w:rPr>
              <w:t>demo</w:t>
            </w:r>
            <w:r>
              <w:rPr>
                <w:rFonts w:asciiTheme="minorEastAsia" w:hAnsiTheme="minorEastAsia" w:cstheme="minorEastAsia" w:hint="eastAsia"/>
                <w:color w:val="000000" w:themeColor="text1"/>
                <w:sz w:val="22"/>
              </w:rPr>
              <w:t>测试。公司对</w:t>
            </w:r>
            <w:r>
              <w:rPr>
                <w:rFonts w:asciiTheme="minorEastAsia" w:hAnsiTheme="minorEastAsia" w:cstheme="minorEastAsia" w:hint="eastAsia"/>
                <w:color w:val="000000" w:themeColor="text1"/>
                <w:sz w:val="22"/>
              </w:rPr>
              <w:t>PECVD</w:t>
            </w:r>
            <w:r>
              <w:rPr>
                <w:rFonts w:asciiTheme="minorEastAsia" w:hAnsiTheme="minorEastAsia" w:cstheme="minorEastAsia" w:hint="eastAsia"/>
                <w:color w:val="000000" w:themeColor="text1"/>
                <w:sz w:val="22"/>
              </w:rPr>
              <w:t>设备的差异化技术构架及未来市场前景非常有信心，后续也将持续加大研发投入，将</w:t>
            </w:r>
            <w:r>
              <w:rPr>
                <w:rFonts w:asciiTheme="minorEastAsia" w:hAnsiTheme="minorEastAsia" w:cstheme="minorEastAsia" w:hint="eastAsia"/>
                <w:color w:val="000000" w:themeColor="text1"/>
                <w:sz w:val="22"/>
              </w:rPr>
              <w:t>PECVD</w:t>
            </w:r>
            <w:r>
              <w:rPr>
                <w:rFonts w:asciiTheme="minorEastAsia" w:hAnsiTheme="minorEastAsia" w:cstheme="minorEastAsia" w:hint="eastAsia"/>
                <w:color w:val="000000" w:themeColor="text1"/>
                <w:sz w:val="22"/>
              </w:rPr>
              <w:t>设备推向更广阔的国内外市场。</w:t>
            </w:r>
          </w:p>
        </w:tc>
      </w:tr>
      <w:bookmarkEnd w:id="0"/>
    </w:tbl>
    <w:p w14:paraId="408F16E5" w14:textId="77777777" w:rsidR="00F22458" w:rsidRDefault="00F22458">
      <w:pPr>
        <w:widowControl/>
        <w:jc w:val="left"/>
        <w:rPr>
          <w:rFonts w:ascii="宋体" w:eastAsia="宋体" w:hAnsi="宋体" w:cs="Times New Roman"/>
          <w:iCs/>
          <w:sz w:val="24"/>
          <w:szCs w:val="24"/>
        </w:rPr>
        <w:sectPr w:rsidR="00F22458">
          <w:headerReference w:type="default" r:id="rId8"/>
          <w:pgSz w:w="11906" w:h="16838"/>
          <w:pgMar w:top="1440" w:right="1800" w:bottom="1440" w:left="1800" w:header="851" w:footer="992" w:gutter="0"/>
          <w:cols w:space="425"/>
          <w:docGrid w:type="lines" w:linePitch="312"/>
        </w:sectPr>
      </w:pPr>
    </w:p>
    <w:p w14:paraId="6E40230A" w14:textId="77777777" w:rsidR="00F22458" w:rsidRDefault="00F12B31">
      <w:pPr>
        <w:widowControl/>
        <w:jc w:val="left"/>
        <w:rPr>
          <w:rFonts w:ascii="宋体" w:eastAsia="宋体" w:hAnsi="宋体" w:cs="Times New Roman"/>
          <w:b/>
          <w:bCs/>
          <w:iCs/>
          <w:sz w:val="24"/>
          <w:szCs w:val="24"/>
        </w:rPr>
      </w:pPr>
      <w:r>
        <w:rPr>
          <w:rFonts w:ascii="宋体" w:eastAsia="宋体" w:hAnsi="宋体" w:cs="Times New Roman" w:hint="eastAsia"/>
          <w:b/>
          <w:bCs/>
          <w:iCs/>
          <w:sz w:val="24"/>
          <w:szCs w:val="24"/>
        </w:rPr>
        <w:lastRenderedPageBreak/>
        <w:t>附：参与单位名称</w:t>
      </w:r>
    </w:p>
    <w:p w14:paraId="2D8D2454" w14:textId="77777777" w:rsidR="00F22458" w:rsidRDefault="00F22458">
      <w:pPr>
        <w:widowControl/>
        <w:jc w:val="left"/>
        <w:rPr>
          <w:rFonts w:ascii="宋体" w:eastAsia="宋体" w:hAnsi="宋体" w:cs="Times New Roman"/>
          <w:iCs/>
          <w:sz w:val="24"/>
          <w:szCs w:val="24"/>
        </w:rPr>
      </w:pPr>
    </w:p>
    <w:p w14:paraId="1AB7815C"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Oxbow Capital Management (HK) Limited</w:t>
      </w:r>
    </w:p>
    <w:p w14:paraId="0CEA6DE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PleiadInvestmentAdvisorsLimited</w:t>
      </w:r>
    </w:p>
    <w:p w14:paraId="18871BB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SoutheasternAssetManagement,Inc.</w:t>
      </w:r>
    </w:p>
    <w:p w14:paraId="123E614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WCM</w:t>
      </w:r>
    </w:p>
    <w:p w14:paraId="7E26533A"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爱建证券有限责任公司</w:t>
      </w:r>
    </w:p>
    <w:p w14:paraId="1F53DCF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百年保险资产管理有限责任公司</w:t>
      </w:r>
    </w:p>
    <w:p w14:paraId="6F51DF1A"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北京枫泉投资管理有限公司</w:t>
      </w:r>
    </w:p>
    <w:p w14:paraId="32E8D8B0"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北京泽铭投资有限公司</w:t>
      </w:r>
    </w:p>
    <w:p w14:paraId="29CDB5AD"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博时基金管理有限公司</w:t>
      </w:r>
    </w:p>
    <w:p w14:paraId="53BF6A3D"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财信基金管理有限公司</w:t>
      </w:r>
    </w:p>
    <w:p w14:paraId="715B8F6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财信证券股份有限公司</w:t>
      </w:r>
    </w:p>
    <w:p w14:paraId="609A770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诚通证券股份有限公司</w:t>
      </w:r>
    </w:p>
    <w:p w14:paraId="20D5425A"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第一创业证券股份有限公司</w:t>
      </w:r>
    </w:p>
    <w:p w14:paraId="305F455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东北证券股份有限公司</w:t>
      </w:r>
    </w:p>
    <w:p w14:paraId="51F51CB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东方财富证券股份有限公司</w:t>
      </w:r>
    </w:p>
    <w:p w14:paraId="435B4BB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东方基金管理股份有限公司</w:t>
      </w:r>
    </w:p>
    <w:p w14:paraId="20752811"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东海证券股份有限公司</w:t>
      </w:r>
    </w:p>
    <w:p w14:paraId="498ED391"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东兴基金管理有限公司</w:t>
      </w:r>
    </w:p>
    <w:p w14:paraId="07572EC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冯源</w:t>
      </w:r>
      <w:r>
        <w:rPr>
          <w:rFonts w:ascii="宋体" w:eastAsia="宋体" w:hAnsi="宋体" w:cs="Times New Roman" w:hint="eastAsia"/>
          <w:iCs/>
          <w:sz w:val="24"/>
          <w:szCs w:val="24"/>
        </w:rPr>
        <w:t>(</w:t>
      </w:r>
      <w:r>
        <w:rPr>
          <w:rFonts w:ascii="宋体" w:eastAsia="宋体" w:hAnsi="宋体" w:cs="Times New Roman" w:hint="eastAsia"/>
          <w:iCs/>
          <w:sz w:val="24"/>
          <w:szCs w:val="24"/>
        </w:rPr>
        <w:t>宁波</w:t>
      </w:r>
      <w:r>
        <w:rPr>
          <w:rFonts w:ascii="宋体" w:eastAsia="宋体" w:hAnsi="宋体" w:cs="Times New Roman" w:hint="eastAsia"/>
          <w:iCs/>
          <w:sz w:val="24"/>
          <w:szCs w:val="24"/>
        </w:rPr>
        <w:t>)</w:t>
      </w:r>
      <w:r>
        <w:rPr>
          <w:rFonts w:ascii="宋体" w:eastAsia="宋体" w:hAnsi="宋体" w:cs="Times New Roman" w:hint="eastAsia"/>
          <w:iCs/>
          <w:sz w:val="24"/>
          <w:szCs w:val="24"/>
        </w:rPr>
        <w:t>私募基金管理有限公司</w:t>
      </w:r>
    </w:p>
    <w:p w14:paraId="36AA5E9C"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富兰克林邓普顿投资管理</w:t>
      </w:r>
      <w:r>
        <w:rPr>
          <w:rFonts w:ascii="宋体" w:eastAsia="宋体" w:hAnsi="宋体" w:cs="Times New Roman" w:hint="eastAsia"/>
          <w:iCs/>
          <w:sz w:val="24"/>
          <w:szCs w:val="24"/>
        </w:rPr>
        <w:t>(</w:t>
      </w:r>
      <w:r>
        <w:rPr>
          <w:rFonts w:ascii="宋体" w:eastAsia="宋体" w:hAnsi="宋体" w:cs="Times New Roman" w:hint="eastAsia"/>
          <w:iCs/>
          <w:sz w:val="24"/>
          <w:szCs w:val="24"/>
        </w:rPr>
        <w:t>上海</w:t>
      </w:r>
      <w:r>
        <w:rPr>
          <w:rFonts w:ascii="宋体" w:eastAsia="宋体" w:hAnsi="宋体" w:cs="Times New Roman" w:hint="eastAsia"/>
          <w:iCs/>
          <w:sz w:val="24"/>
          <w:szCs w:val="24"/>
        </w:rPr>
        <w:t>)</w:t>
      </w:r>
      <w:r>
        <w:rPr>
          <w:rFonts w:ascii="宋体" w:eastAsia="宋体" w:hAnsi="宋体" w:cs="Times New Roman" w:hint="eastAsia"/>
          <w:iCs/>
          <w:sz w:val="24"/>
          <w:szCs w:val="24"/>
        </w:rPr>
        <w:t>有限公司</w:t>
      </w:r>
    </w:p>
    <w:p w14:paraId="40FC6A1A"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高盛</w:t>
      </w:r>
      <w:r>
        <w:rPr>
          <w:rFonts w:ascii="宋体" w:eastAsia="宋体" w:hAnsi="宋体" w:cs="Times New Roman" w:hint="eastAsia"/>
          <w:iCs/>
          <w:sz w:val="24"/>
          <w:szCs w:val="24"/>
        </w:rPr>
        <w:t>(</w:t>
      </w:r>
      <w:r>
        <w:rPr>
          <w:rFonts w:ascii="宋体" w:eastAsia="宋体" w:hAnsi="宋体" w:cs="Times New Roman" w:hint="eastAsia"/>
          <w:iCs/>
          <w:sz w:val="24"/>
          <w:szCs w:val="24"/>
        </w:rPr>
        <w:t>中国</w:t>
      </w:r>
      <w:r>
        <w:rPr>
          <w:rFonts w:ascii="宋体" w:eastAsia="宋体" w:hAnsi="宋体" w:cs="Times New Roman" w:hint="eastAsia"/>
          <w:iCs/>
          <w:sz w:val="24"/>
          <w:szCs w:val="24"/>
        </w:rPr>
        <w:t>)</w:t>
      </w:r>
      <w:r>
        <w:rPr>
          <w:rFonts w:ascii="宋体" w:eastAsia="宋体" w:hAnsi="宋体" w:cs="Times New Roman" w:hint="eastAsia"/>
          <w:iCs/>
          <w:sz w:val="24"/>
          <w:szCs w:val="24"/>
        </w:rPr>
        <w:t>证券有限责任公司</w:t>
      </w:r>
    </w:p>
    <w:p w14:paraId="2E7F42B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高盛资产管理</w:t>
      </w:r>
      <w:r>
        <w:rPr>
          <w:rFonts w:ascii="宋体" w:eastAsia="宋体" w:hAnsi="宋体" w:cs="Times New Roman" w:hint="eastAsia"/>
          <w:iCs/>
          <w:sz w:val="24"/>
          <w:szCs w:val="24"/>
        </w:rPr>
        <w:t>(</w:t>
      </w:r>
      <w:r>
        <w:rPr>
          <w:rFonts w:ascii="宋体" w:eastAsia="宋体" w:hAnsi="宋体" w:cs="Times New Roman" w:hint="eastAsia"/>
          <w:iCs/>
          <w:sz w:val="24"/>
          <w:szCs w:val="24"/>
        </w:rPr>
        <w:t>香港</w:t>
      </w:r>
      <w:r>
        <w:rPr>
          <w:rFonts w:ascii="宋体" w:eastAsia="宋体" w:hAnsi="宋体" w:cs="Times New Roman" w:hint="eastAsia"/>
          <w:iCs/>
          <w:sz w:val="24"/>
          <w:szCs w:val="24"/>
        </w:rPr>
        <w:t>)</w:t>
      </w:r>
      <w:r>
        <w:rPr>
          <w:rFonts w:ascii="宋体" w:eastAsia="宋体" w:hAnsi="宋体" w:cs="Times New Roman" w:hint="eastAsia"/>
          <w:iCs/>
          <w:sz w:val="24"/>
          <w:szCs w:val="24"/>
        </w:rPr>
        <w:t>有限公司</w:t>
      </w:r>
    </w:p>
    <w:p w14:paraId="632EFCB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高维私募基金管理</w:t>
      </w:r>
      <w:r>
        <w:rPr>
          <w:rFonts w:ascii="宋体" w:eastAsia="宋体" w:hAnsi="宋体" w:cs="Times New Roman" w:hint="eastAsia"/>
          <w:iCs/>
          <w:sz w:val="24"/>
          <w:szCs w:val="24"/>
        </w:rPr>
        <w:t>(</w:t>
      </w:r>
      <w:r>
        <w:rPr>
          <w:rFonts w:ascii="宋体" w:eastAsia="宋体" w:hAnsi="宋体" w:cs="Times New Roman" w:hint="eastAsia"/>
          <w:iCs/>
          <w:sz w:val="24"/>
          <w:szCs w:val="24"/>
        </w:rPr>
        <w:t>上海</w:t>
      </w:r>
      <w:r>
        <w:rPr>
          <w:rFonts w:ascii="宋体" w:eastAsia="宋体" w:hAnsi="宋体" w:cs="Times New Roman" w:hint="eastAsia"/>
          <w:iCs/>
          <w:sz w:val="24"/>
          <w:szCs w:val="24"/>
        </w:rPr>
        <w:t>)</w:t>
      </w:r>
      <w:r>
        <w:rPr>
          <w:rFonts w:ascii="宋体" w:eastAsia="宋体" w:hAnsi="宋体" w:cs="Times New Roman" w:hint="eastAsia"/>
          <w:iCs/>
          <w:sz w:val="24"/>
          <w:szCs w:val="24"/>
        </w:rPr>
        <w:t>有限公司</w:t>
      </w:r>
    </w:p>
    <w:p w14:paraId="1CA2901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耕霁</w:t>
      </w:r>
      <w:r>
        <w:rPr>
          <w:rFonts w:ascii="宋体" w:eastAsia="宋体" w:hAnsi="宋体" w:cs="Times New Roman" w:hint="eastAsia"/>
          <w:iCs/>
          <w:sz w:val="24"/>
          <w:szCs w:val="24"/>
        </w:rPr>
        <w:t>(</w:t>
      </w:r>
      <w:r>
        <w:rPr>
          <w:rFonts w:ascii="宋体" w:eastAsia="宋体" w:hAnsi="宋体" w:cs="Times New Roman" w:hint="eastAsia"/>
          <w:iCs/>
          <w:sz w:val="24"/>
          <w:szCs w:val="24"/>
        </w:rPr>
        <w:t>上海</w:t>
      </w:r>
      <w:r>
        <w:rPr>
          <w:rFonts w:ascii="宋体" w:eastAsia="宋体" w:hAnsi="宋体" w:cs="Times New Roman" w:hint="eastAsia"/>
          <w:iCs/>
          <w:sz w:val="24"/>
          <w:szCs w:val="24"/>
        </w:rPr>
        <w:t>)</w:t>
      </w:r>
      <w:r>
        <w:rPr>
          <w:rFonts w:ascii="宋体" w:eastAsia="宋体" w:hAnsi="宋体" w:cs="Times New Roman" w:hint="eastAsia"/>
          <w:iCs/>
          <w:sz w:val="24"/>
          <w:szCs w:val="24"/>
        </w:rPr>
        <w:t>投资管理有限公司</w:t>
      </w:r>
    </w:p>
    <w:p w14:paraId="237F7DE1"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观富</w:t>
      </w:r>
      <w:r>
        <w:rPr>
          <w:rFonts w:ascii="宋体" w:eastAsia="宋体" w:hAnsi="宋体" w:cs="Times New Roman" w:hint="eastAsia"/>
          <w:iCs/>
          <w:sz w:val="24"/>
          <w:szCs w:val="24"/>
        </w:rPr>
        <w:t>(</w:t>
      </w:r>
      <w:r>
        <w:rPr>
          <w:rFonts w:ascii="宋体" w:eastAsia="宋体" w:hAnsi="宋体" w:cs="Times New Roman" w:hint="eastAsia"/>
          <w:iCs/>
          <w:sz w:val="24"/>
          <w:szCs w:val="24"/>
        </w:rPr>
        <w:t>北京</w:t>
      </w:r>
      <w:r>
        <w:rPr>
          <w:rFonts w:ascii="宋体" w:eastAsia="宋体" w:hAnsi="宋体" w:cs="Times New Roman" w:hint="eastAsia"/>
          <w:iCs/>
          <w:sz w:val="24"/>
          <w:szCs w:val="24"/>
        </w:rPr>
        <w:t>)</w:t>
      </w:r>
      <w:r>
        <w:rPr>
          <w:rFonts w:ascii="宋体" w:eastAsia="宋体" w:hAnsi="宋体" w:cs="Times New Roman" w:hint="eastAsia"/>
          <w:iCs/>
          <w:sz w:val="24"/>
          <w:szCs w:val="24"/>
        </w:rPr>
        <w:t>资产管理有限公司</w:t>
      </w:r>
    </w:p>
    <w:p w14:paraId="6D0CF64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广东时代传媒集团有限公司</w:t>
      </w:r>
    </w:p>
    <w:p w14:paraId="2551F8D0"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广东正圆私募基金管理有限公司</w:t>
      </w:r>
    </w:p>
    <w:p w14:paraId="54C2FB6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国金证券股份有限公司</w:t>
      </w:r>
    </w:p>
    <w:p w14:paraId="5732C4CD"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国泰海通证券股份有限公司</w:t>
      </w:r>
    </w:p>
    <w:p w14:paraId="51B4E36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国新投资有限公司</w:t>
      </w:r>
    </w:p>
    <w:p w14:paraId="23840A8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国信证券股份有限公司</w:t>
      </w:r>
    </w:p>
    <w:p w14:paraId="1B95CF44"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海南羊角私募基金管理合伙企业</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5D3D29D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海通国际证券集团有限公司</w:t>
      </w:r>
    </w:p>
    <w:p w14:paraId="0E7AD12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杭州红骅投资管理有限公司</w:t>
      </w:r>
    </w:p>
    <w:p w14:paraId="18B7B4C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杭州科策投资管理合伙企业</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5A9EA1FC"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荷荷</w:t>
      </w:r>
      <w:r>
        <w:rPr>
          <w:rFonts w:ascii="宋体" w:eastAsia="宋体" w:hAnsi="宋体" w:cs="Times New Roman" w:hint="eastAsia"/>
          <w:iCs/>
          <w:sz w:val="24"/>
          <w:szCs w:val="24"/>
        </w:rPr>
        <w:t>(</w:t>
      </w:r>
      <w:r>
        <w:rPr>
          <w:rFonts w:ascii="宋体" w:eastAsia="宋体" w:hAnsi="宋体" w:cs="Times New Roman" w:hint="eastAsia"/>
          <w:iCs/>
          <w:sz w:val="24"/>
          <w:szCs w:val="24"/>
        </w:rPr>
        <w:t>北京</w:t>
      </w:r>
      <w:r>
        <w:rPr>
          <w:rFonts w:ascii="宋体" w:eastAsia="宋体" w:hAnsi="宋体" w:cs="Times New Roman" w:hint="eastAsia"/>
          <w:iCs/>
          <w:sz w:val="24"/>
          <w:szCs w:val="24"/>
        </w:rPr>
        <w:t>)</w:t>
      </w:r>
      <w:r>
        <w:rPr>
          <w:rFonts w:ascii="宋体" w:eastAsia="宋体" w:hAnsi="宋体" w:cs="Times New Roman" w:hint="eastAsia"/>
          <w:iCs/>
          <w:sz w:val="24"/>
          <w:szCs w:val="24"/>
        </w:rPr>
        <w:t>私募基金管理有限公司</w:t>
      </w:r>
    </w:p>
    <w:p w14:paraId="12B9382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鸿运私募</w:t>
      </w:r>
      <w:r>
        <w:rPr>
          <w:rFonts w:ascii="宋体" w:eastAsia="宋体" w:hAnsi="宋体" w:cs="Times New Roman" w:hint="eastAsia"/>
          <w:iCs/>
          <w:sz w:val="24"/>
          <w:szCs w:val="24"/>
        </w:rPr>
        <w:t>基金管理</w:t>
      </w:r>
      <w:r>
        <w:rPr>
          <w:rFonts w:ascii="宋体" w:eastAsia="宋体" w:hAnsi="宋体" w:cs="Times New Roman" w:hint="eastAsia"/>
          <w:iCs/>
          <w:sz w:val="24"/>
          <w:szCs w:val="24"/>
        </w:rPr>
        <w:t>(</w:t>
      </w:r>
      <w:r>
        <w:rPr>
          <w:rFonts w:ascii="宋体" w:eastAsia="宋体" w:hAnsi="宋体" w:cs="Times New Roman" w:hint="eastAsia"/>
          <w:iCs/>
          <w:sz w:val="24"/>
          <w:szCs w:val="24"/>
        </w:rPr>
        <w:t>海南</w:t>
      </w:r>
      <w:r>
        <w:rPr>
          <w:rFonts w:ascii="宋体" w:eastAsia="宋体" w:hAnsi="宋体" w:cs="Times New Roman" w:hint="eastAsia"/>
          <w:iCs/>
          <w:sz w:val="24"/>
          <w:szCs w:val="24"/>
        </w:rPr>
        <w:t>)</w:t>
      </w:r>
      <w:r>
        <w:rPr>
          <w:rFonts w:ascii="宋体" w:eastAsia="宋体" w:hAnsi="宋体" w:cs="Times New Roman" w:hint="eastAsia"/>
          <w:iCs/>
          <w:sz w:val="24"/>
          <w:szCs w:val="24"/>
        </w:rPr>
        <w:t>有限公司</w:t>
      </w:r>
    </w:p>
    <w:p w14:paraId="66AB464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湖南八零后资产管理有限公司</w:t>
      </w:r>
    </w:p>
    <w:p w14:paraId="53B4923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花旗環球金融亞洲有限公司</w:t>
      </w:r>
    </w:p>
    <w:p w14:paraId="5159780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华福证券股份有限公司</w:t>
      </w:r>
    </w:p>
    <w:p w14:paraId="705EAC0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华金证券股份有限公司</w:t>
      </w:r>
    </w:p>
    <w:p w14:paraId="7AF9D88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华杉瑞联基金管理有限公司</w:t>
      </w:r>
    </w:p>
    <w:p w14:paraId="5DF4094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lastRenderedPageBreak/>
        <w:t>华泰金融控股</w:t>
      </w:r>
      <w:r>
        <w:rPr>
          <w:rFonts w:ascii="宋体" w:eastAsia="宋体" w:hAnsi="宋体" w:cs="Times New Roman" w:hint="eastAsia"/>
          <w:iCs/>
          <w:sz w:val="24"/>
          <w:szCs w:val="24"/>
        </w:rPr>
        <w:t>(</w:t>
      </w:r>
      <w:r>
        <w:rPr>
          <w:rFonts w:ascii="宋体" w:eastAsia="宋体" w:hAnsi="宋体" w:cs="Times New Roman" w:hint="eastAsia"/>
          <w:iCs/>
          <w:sz w:val="24"/>
          <w:szCs w:val="24"/>
        </w:rPr>
        <w:t>香港</w:t>
      </w:r>
      <w:r>
        <w:rPr>
          <w:rFonts w:ascii="宋体" w:eastAsia="宋体" w:hAnsi="宋体" w:cs="Times New Roman" w:hint="eastAsia"/>
          <w:iCs/>
          <w:sz w:val="24"/>
          <w:szCs w:val="24"/>
        </w:rPr>
        <w:t>)</w:t>
      </w:r>
      <w:r>
        <w:rPr>
          <w:rFonts w:ascii="宋体" w:eastAsia="宋体" w:hAnsi="宋体" w:cs="Times New Roman" w:hint="eastAsia"/>
          <w:iCs/>
          <w:sz w:val="24"/>
          <w:szCs w:val="24"/>
        </w:rPr>
        <w:t>有限公司</w:t>
      </w:r>
    </w:p>
    <w:p w14:paraId="7615EEF1"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华泰证券股份有限公司</w:t>
      </w:r>
    </w:p>
    <w:p w14:paraId="427C8C2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华西证券股份有限公司</w:t>
      </w:r>
    </w:p>
    <w:p w14:paraId="3F1AD1F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汇丰前海证券有限责任公司</w:t>
      </w:r>
    </w:p>
    <w:p w14:paraId="02F7053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惠州市创新投资有限公司</w:t>
      </w:r>
    </w:p>
    <w:p w14:paraId="598F15AC"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江苏瑞华投资控股集团有限公司</w:t>
      </w:r>
    </w:p>
    <w:p w14:paraId="613F3E6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径流资本有限公司</w:t>
      </w:r>
    </w:p>
    <w:p w14:paraId="5249DAD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凯基证券亚洲有限公司</w:t>
      </w:r>
    </w:p>
    <w:p w14:paraId="765E749A"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览众资本有限公司</w:t>
      </w:r>
    </w:p>
    <w:p w14:paraId="20AC1EC0"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立格资本投资有限公司</w:t>
      </w:r>
    </w:p>
    <w:p w14:paraId="0624675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摩根大通证券</w:t>
      </w:r>
      <w:r>
        <w:rPr>
          <w:rFonts w:ascii="宋体" w:eastAsia="宋体" w:hAnsi="宋体" w:cs="Times New Roman" w:hint="eastAsia"/>
          <w:iCs/>
          <w:sz w:val="24"/>
          <w:szCs w:val="24"/>
        </w:rPr>
        <w:t>(</w:t>
      </w:r>
      <w:r>
        <w:rPr>
          <w:rFonts w:ascii="宋体" w:eastAsia="宋体" w:hAnsi="宋体" w:cs="Times New Roman" w:hint="eastAsia"/>
          <w:iCs/>
          <w:sz w:val="24"/>
          <w:szCs w:val="24"/>
        </w:rPr>
        <w:t>中国</w:t>
      </w:r>
      <w:r>
        <w:rPr>
          <w:rFonts w:ascii="宋体" w:eastAsia="宋体" w:hAnsi="宋体" w:cs="Times New Roman" w:hint="eastAsia"/>
          <w:iCs/>
          <w:sz w:val="24"/>
          <w:szCs w:val="24"/>
        </w:rPr>
        <w:t>)</w:t>
      </w:r>
      <w:r>
        <w:rPr>
          <w:rFonts w:ascii="宋体" w:eastAsia="宋体" w:hAnsi="宋体" w:cs="Times New Roman" w:hint="eastAsia"/>
          <w:iCs/>
          <w:sz w:val="24"/>
          <w:szCs w:val="24"/>
        </w:rPr>
        <w:t>有限公司</w:t>
      </w:r>
    </w:p>
    <w:p w14:paraId="3D9C77C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南昌产投投资基金管理有限公司</w:t>
      </w:r>
    </w:p>
    <w:p w14:paraId="36ABCF9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南京睿澜私募基金管理有限公司</w:t>
      </w:r>
    </w:p>
    <w:p w14:paraId="78483DA1"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农银人寿保险股份有限公司</w:t>
      </w:r>
    </w:p>
    <w:p w14:paraId="06713EE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平安信托有限责任公司</w:t>
      </w:r>
    </w:p>
    <w:p w14:paraId="4186EFAC"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平安银行股份有限公司</w:t>
      </w:r>
    </w:p>
    <w:p w14:paraId="70A5657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平安证券股份有限公司</w:t>
      </w:r>
    </w:p>
    <w:p w14:paraId="143240C1"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群益国际控股有限公司</w:t>
      </w:r>
    </w:p>
    <w:p w14:paraId="66EADA5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瑞银证券有限责任公司</w:t>
      </w:r>
    </w:p>
    <w:p w14:paraId="5AC73E94"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厦门中略投资管理有限公司</w:t>
      </w:r>
    </w:p>
    <w:p w14:paraId="28B8A11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山东铁路发展基金有限公司</w:t>
      </w:r>
    </w:p>
    <w:p w14:paraId="4E08A35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山东中金融仕科技股份有限公司</w:t>
      </w:r>
    </w:p>
    <w:p w14:paraId="3C6FB62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山西证券股份有限公司</w:t>
      </w:r>
    </w:p>
    <w:p w14:paraId="24AB8C59"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上海安洪投资管理有限公司</w:t>
      </w:r>
    </w:p>
    <w:p w14:paraId="6434032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上海博笃投资管理有限公司</w:t>
      </w:r>
    </w:p>
    <w:p w14:paraId="3A6AD52D"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上海晨燕资产管理中心</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2F80F48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上海度势投资有限公司</w:t>
      </w:r>
    </w:p>
    <w:p w14:paraId="0132402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上海禾升投资管理有限公司</w:t>
      </w:r>
    </w:p>
    <w:p w14:paraId="7FD2FE5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上海恒复投资管理有限公司</w:t>
      </w:r>
    </w:p>
    <w:p w14:paraId="5C742CF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上海嘉世私募基金管理有限公司</w:t>
      </w:r>
    </w:p>
    <w:p w14:paraId="6FEDF18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上海景领投资管理有限公司</w:t>
      </w:r>
    </w:p>
    <w:p w14:paraId="16585E54"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上海九祥资产管理有限公司</w:t>
      </w:r>
    </w:p>
    <w:p w14:paraId="572787A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上海聆泽私募基金管理有限公司</w:t>
      </w:r>
    </w:p>
    <w:p w14:paraId="228C8C1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上海名世私募基金管理有限公司</w:t>
      </w:r>
    </w:p>
    <w:p w14:paraId="04E6B6C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上海宁泉资产管理有限公司</w:t>
      </w:r>
    </w:p>
    <w:p w14:paraId="21FDDBA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上海盘京投资管理中心</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22DFC7A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上海璞智投资管理有限公司</w:t>
      </w:r>
    </w:p>
    <w:p w14:paraId="7DFBC19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上海浦东海望私募基金管理有限公司</w:t>
      </w:r>
    </w:p>
    <w:p w14:paraId="3E3E88DC"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上海钦沐资产管理合伙企业</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0015330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上海申银万国证券研究所有限公司</w:t>
      </w:r>
    </w:p>
    <w:p w14:paraId="48530B2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上海顺领资产管理中心</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34DFA3D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上海五地私募基金管理有限公司</w:t>
      </w:r>
    </w:p>
    <w:p w14:paraId="029C8FCD"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上海行知创业投资有限公司</w:t>
      </w:r>
    </w:p>
    <w:p w14:paraId="4B455D2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上海益和源资产管理有限公司</w:t>
      </w:r>
    </w:p>
    <w:p w14:paraId="3F13650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lastRenderedPageBreak/>
        <w:t>上海银行股份有限公司</w:t>
      </w:r>
    </w:p>
    <w:p w14:paraId="6618AA4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上海中域资产管理中心</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5B49E1C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上银基金管理有限公司</w:t>
      </w:r>
    </w:p>
    <w:p w14:paraId="3C6763AA"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申万菱信基金管理有限公司</w:t>
      </w:r>
    </w:p>
    <w:p w14:paraId="6567387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深圳宏鼎财富管理有限公司</w:t>
      </w:r>
    </w:p>
    <w:p w14:paraId="43EE008D"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深圳金泊投资管理有限公司</w:t>
      </w:r>
    </w:p>
    <w:p w14:paraId="1C97FA7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深圳前海辰星私募证券投资基金管理合伙企业</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0D706786"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深圳前海君安资产管理有限公司</w:t>
      </w:r>
    </w:p>
    <w:p w14:paraId="2C402D50"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深圳市国晖投资有限公司</w:t>
      </w:r>
    </w:p>
    <w:p w14:paraId="3517214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深圳市坤厚私募证券投资基金管理有限公司</w:t>
      </w:r>
    </w:p>
    <w:p w14:paraId="5364FBC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深圳市珞瑜私募证券基金管理有限公司</w:t>
      </w:r>
    </w:p>
    <w:p w14:paraId="641D0B90"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深圳市尚诚资产管理有限责任公司</w:t>
      </w:r>
    </w:p>
    <w:p w14:paraId="49518B9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深圳市微宏长期资产管理有限公司</w:t>
      </w:r>
    </w:p>
    <w:p w14:paraId="58644E5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深圳市奕金安投资管理有限公司</w:t>
      </w:r>
    </w:p>
    <w:p w14:paraId="1B1DFB1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深圳市裕晋投资有限公司</w:t>
      </w:r>
    </w:p>
    <w:p w14:paraId="683707A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深圳拓森投资控股有限公司</w:t>
      </w:r>
    </w:p>
    <w:p w14:paraId="222EAC5A"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深圳中天汇富基金管理有限公司</w:t>
      </w:r>
    </w:p>
    <w:p w14:paraId="7396C21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苏州启元股权投资管理合伙企业</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79A21FC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苏州永鑫方舟股权投资管理合伙企业</w:t>
      </w:r>
      <w:r>
        <w:rPr>
          <w:rFonts w:ascii="宋体" w:eastAsia="宋体" w:hAnsi="宋体" w:cs="Times New Roman" w:hint="eastAsia"/>
          <w:iCs/>
          <w:sz w:val="24"/>
          <w:szCs w:val="24"/>
        </w:rPr>
        <w:t>(</w:t>
      </w:r>
      <w:r>
        <w:rPr>
          <w:rFonts w:ascii="宋体" w:eastAsia="宋体" w:hAnsi="宋体" w:cs="Times New Roman" w:hint="eastAsia"/>
          <w:iCs/>
          <w:sz w:val="24"/>
          <w:szCs w:val="24"/>
        </w:rPr>
        <w:t>普通合伙</w:t>
      </w:r>
      <w:r>
        <w:rPr>
          <w:rFonts w:ascii="宋体" w:eastAsia="宋体" w:hAnsi="宋体" w:cs="Times New Roman" w:hint="eastAsia"/>
          <w:iCs/>
          <w:sz w:val="24"/>
          <w:szCs w:val="24"/>
        </w:rPr>
        <w:t>)</w:t>
      </w:r>
    </w:p>
    <w:p w14:paraId="5BA9697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天风证券股份有限公司上海证券自营分公司</w:t>
      </w:r>
    </w:p>
    <w:p w14:paraId="0D3FA3D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惟像资本</w:t>
      </w:r>
    </w:p>
    <w:p w14:paraId="5D7C5B7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伟星资产管理</w:t>
      </w:r>
      <w:r>
        <w:rPr>
          <w:rFonts w:ascii="宋体" w:eastAsia="宋体" w:hAnsi="宋体" w:cs="Times New Roman" w:hint="eastAsia"/>
          <w:iCs/>
          <w:sz w:val="24"/>
          <w:szCs w:val="24"/>
        </w:rPr>
        <w:t>(</w:t>
      </w:r>
      <w:r>
        <w:rPr>
          <w:rFonts w:ascii="宋体" w:eastAsia="宋体" w:hAnsi="宋体" w:cs="Times New Roman" w:hint="eastAsia"/>
          <w:iCs/>
          <w:sz w:val="24"/>
          <w:szCs w:val="24"/>
        </w:rPr>
        <w:t>上海</w:t>
      </w:r>
      <w:r>
        <w:rPr>
          <w:rFonts w:ascii="宋体" w:eastAsia="宋体" w:hAnsi="宋体" w:cs="Times New Roman" w:hint="eastAsia"/>
          <w:iCs/>
          <w:sz w:val="24"/>
          <w:szCs w:val="24"/>
        </w:rPr>
        <w:t>)</w:t>
      </w:r>
      <w:r>
        <w:rPr>
          <w:rFonts w:ascii="宋体" w:eastAsia="宋体" w:hAnsi="宋体" w:cs="Times New Roman" w:hint="eastAsia"/>
          <w:iCs/>
          <w:sz w:val="24"/>
          <w:szCs w:val="24"/>
        </w:rPr>
        <w:t>有限公司</w:t>
      </w:r>
    </w:p>
    <w:p w14:paraId="06CEF76C"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西安江岳私募基金管理有限公司</w:t>
      </w:r>
    </w:p>
    <w:p w14:paraId="4CF6AD5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西部利得基金管理有限公司</w:t>
      </w:r>
    </w:p>
    <w:p w14:paraId="2E65E5C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西部证券股份有限公司</w:t>
      </w:r>
    </w:p>
    <w:p w14:paraId="162C31EC"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西京投资管理有限公司</w:t>
      </w:r>
    </w:p>
    <w:p w14:paraId="3883FA89"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信泰人寿保险股份有限公司</w:t>
      </w:r>
    </w:p>
    <w:p w14:paraId="3A2F1E6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玄卜投资</w:t>
      </w:r>
      <w:r>
        <w:rPr>
          <w:rFonts w:ascii="宋体" w:eastAsia="宋体" w:hAnsi="宋体" w:cs="Times New Roman" w:hint="eastAsia"/>
          <w:iCs/>
          <w:sz w:val="24"/>
          <w:szCs w:val="24"/>
        </w:rPr>
        <w:t>(</w:t>
      </w:r>
      <w:r>
        <w:rPr>
          <w:rFonts w:ascii="宋体" w:eastAsia="宋体" w:hAnsi="宋体" w:cs="Times New Roman" w:hint="eastAsia"/>
          <w:iCs/>
          <w:sz w:val="24"/>
          <w:szCs w:val="24"/>
        </w:rPr>
        <w:t>上海</w:t>
      </w:r>
      <w:r>
        <w:rPr>
          <w:rFonts w:ascii="宋体" w:eastAsia="宋体" w:hAnsi="宋体" w:cs="Times New Roman" w:hint="eastAsia"/>
          <w:iCs/>
          <w:sz w:val="24"/>
          <w:szCs w:val="24"/>
        </w:rPr>
        <w:t>)</w:t>
      </w:r>
      <w:r>
        <w:rPr>
          <w:rFonts w:ascii="宋体" w:eastAsia="宋体" w:hAnsi="宋体" w:cs="Times New Roman" w:hint="eastAsia"/>
          <w:iCs/>
          <w:sz w:val="24"/>
          <w:szCs w:val="24"/>
        </w:rPr>
        <w:t>有限公司</w:t>
      </w:r>
    </w:p>
    <w:p w14:paraId="3CAE3DF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一村资本有限公司</w:t>
      </w:r>
    </w:p>
    <w:p w14:paraId="038B2F4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赢舟资产管理有限公司</w:t>
      </w:r>
    </w:p>
    <w:p w14:paraId="0DA27444"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永赢基金管理有限公司</w:t>
      </w:r>
    </w:p>
    <w:p w14:paraId="2C531FA2"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涌德瑞烜</w:t>
      </w:r>
      <w:r>
        <w:rPr>
          <w:rFonts w:ascii="宋体" w:eastAsia="宋体" w:hAnsi="宋体" w:cs="Times New Roman" w:hint="eastAsia"/>
          <w:iCs/>
          <w:sz w:val="24"/>
          <w:szCs w:val="24"/>
        </w:rPr>
        <w:t>(</w:t>
      </w:r>
      <w:r>
        <w:rPr>
          <w:rFonts w:ascii="宋体" w:eastAsia="宋体" w:hAnsi="宋体" w:cs="Times New Roman" w:hint="eastAsia"/>
          <w:iCs/>
          <w:sz w:val="24"/>
          <w:szCs w:val="24"/>
        </w:rPr>
        <w:t>上海</w:t>
      </w:r>
      <w:r>
        <w:rPr>
          <w:rFonts w:ascii="宋体" w:eastAsia="宋体" w:hAnsi="宋体" w:cs="Times New Roman" w:hint="eastAsia"/>
          <w:iCs/>
          <w:sz w:val="24"/>
          <w:szCs w:val="24"/>
        </w:rPr>
        <w:t>)</w:t>
      </w:r>
      <w:r>
        <w:rPr>
          <w:rFonts w:ascii="宋体" w:eastAsia="宋体" w:hAnsi="宋体" w:cs="Times New Roman" w:hint="eastAsia"/>
          <w:iCs/>
          <w:sz w:val="24"/>
          <w:szCs w:val="24"/>
        </w:rPr>
        <w:t>私募基金管理有限公司</w:t>
      </w:r>
    </w:p>
    <w:p w14:paraId="0BF155E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粤港澳大湾区科技创新产业投资基金</w:t>
      </w:r>
      <w:r>
        <w:rPr>
          <w:rFonts w:ascii="宋体" w:eastAsia="宋体" w:hAnsi="宋体" w:cs="Times New Roman" w:hint="eastAsia"/>
          <w:iCs/>
          <w:sz w:val="24"/>
          <w:szCs w:val="24"/>
        </w:rPr>
        <w:t>(</w:t>
      </w:r>
      <w:r>
        <w:rPr>
          <w:rFonts w:ascii="宋体" w:eastAsia="宋体" w:hAnsi="宋体" w:cs="Times New Roman" w:hint="eastAsia"/>
          <w:iCs/>
          <w:sz w:val="24"/>
          <w:szCs w:val="24"/>
        </w:rPr>
        <w:t>有限合伙</w:t>
      </w:r>
      <w:r>
        <w:rPr>
          <w:rFonts w:ascii="宋体" w:eastAsia="宋体" w:hAnsi="宋体" w:cs="Times New Roman" w:hint="eastAsia"/>
          <w:iCs/>
          <w:sz w:val="24"/>
          <w:szCs w:val="24"/>
        </w:rPr>
        <w:t>)</w:t>
      </w:r>
    </w:p>
    <w:p w14:paraId="447966C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长城财富保险资产管理股份有限公司</w:t>
      </w:r>
    </w:p>
    <w:p w14:paraId="006863F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长江证券股份有限公司</w:t>
      </w:r>
    </w:p>
    <w:p w14:paraId="3FCFD0C0"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长盛基金管理有限公司</w:t>
      </w:r>
    </w:p>
    <w:p w14:paraId="22881D4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长信基金管理有限责任公司</w:t>
      </w:r>
    </w:p>
    <w:p w14:paraId="5AD9337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招商证券股份有限公司</w:t>
      </w:r>
    </w:p>
    <w:p w14:paraId="59985F4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浙江墨钜资产管理有限公司</w:t>
      </w:r>
    </w:p>
    <w:p w14:paraId="458C1B1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浙商证券股份有限公司</w:t>
      </w:r>
    </w:p>
    <w:p w14:paraId="2AF7CADF"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中国国际金融股份有限公司</w:t>
      </w:r>
    </w:p>
    <w:p w14:paraId="7F2EA97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中国人寿保险</w:t>
      </w:r>
      <w:r>
        <w:rPr>
          <w:rFonts w:ascii="宋体" w:eastAsia="宋体" w:hAnsi="宋体" w:cs="Times New Roman" w:hint="eastAsia"/>
          <w:iCs/>
          <w:sz w:val="24"/>
          <w:szCs w:val="24"/>
        </w:rPr>
        <w:t>(</w:t>
      </w:r>
      <w:r>
        <w:rPr>
          <w:rFonts w:ascii="宋体" w:eastAsia="宋体" w:hAnsi="宋体" w:cs="Times New Roman" w:hint="eastAsia"/>
          <w:iCs/>
          <w:sz w:val="24"/>
          <w:szCs w:val="24"/>
        </w:rPr>
        <w:t>集团</w:t>
      </w:r>
      <w:r>
        <w:rPr>
          <w:rFonts w:ascii="宋体" w:eastAsia="宋体" w:hAnsi="宋体" w:cs="Times New Roman" w:hint="eastAsia"/>
          <w:iCs/>
          <w:sz w:val="24"/>
          <w:szCs w:val="24"/>
        </w:rPr>
        <w:t>)</w:t>
      </w:r>
      <w:r>
        <w:rPr>
          <w:rFonts w:ascii="宋体" w:eastAsia="宋体" w:hAnsi="宋体" w:cs="Times New Roman" w:hint="eastAsia"/>
          <w:iCs/>
          <w:sz w:val="24"/>
          <w:szCs w:val="24"/>
        </w:rPr>
        <w:t>公司</w:t>
      </w:r>
    </w:p>
    <w:p w14:paraId="3C28665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中国银河证券股份有限公司</w:t>
      </w:r>
    </w:p>
    <w:p w14:paraId="74EAFA48"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中海基金管理有限公司</w:t>
      </w:r>
    </w:p>
    <w:p w14:paraId="7590A4D3"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lastRenderedPageBreak/>
        <w:t>中荷人寿保险有限公司</w:t>
      </w:r>
    </w:p>
    <w:p w14:paraId="4910187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中华联合保险集团股份有限公司</w:t>
      </w:r>
    </w:p>
    <w:p w14:paraId="0987FAD5"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中汇人寿保险股份有限公司</w:t>
      </w:r>
    </w:p>
    <w:p w14:paraId="40AE702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中泰证券股份有限公司</w:t>
      </w:r>
    </w:p>
    <w:p w14:paraId="7F127464"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中信里昂证券有限公司</w:t>
      </w:r>
    </w:p>
    <w:p w14:paraId="02081ED0" w14:textId="77777777" w:rsidR="00F22458" w:rsidRDefault="00F12B31">
      <w:pPr>
        <w:rPr>
          <w:rFonts w:ascii="宋体" w:eastAsia="宋体" w:hAnsi="宋体" w:cs="Times New Roman"/>
          <w:iCs/>
          <w:sz w:val="24"/>
          <w:szCs w:val="24"/>
        </w:rPr>
      </w:pPr>
      <w:r>
        <w:rPr>
          <w:rFonts w:ascii="宋体" w:eastAsia="宋体" w:hAnsi="宋体" w:cs="Times New Roman" w:hint="eastAsia"/>
          <w:iCs/>
          <w:sz w:val="24"/>
          <w:szCs w:val="24"/>
        </w:rPr>
        <w:t>中信证券股份有限公司</w:t>
      </w:r>
    </w:p>
    <w:p w14:paraId="0C92B60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中银基金管理有限公司</w:t>
      </w:r>
    </w:p>
    <w:p w14:paraId="735EFC2B"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中英人寿保险有限公司</w:t>
      </w:r>
    </w:p>
    <w:p w14:paraId="1DFD0097"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中邮证券有限责任公司</w:t>
      </w:r>
    </w:p>
    <w:p w14:paraId="0E0C58A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珠海德若私募基金管理有限公司</w:t>
      </w:r>
    </w:p>
    <w:p w14:paraId="0AB2CB0E" w14:textId="77777777" w:rsidR="00F22458" w:rsidRDefault="00F12B31">
      <w:pPr>
        <w:widowControl/>
        <w:jc w:val="left"/>
        <w:rPr>
          <w:rFonts w:ascii="宋体" w:eastAsia="宋体" w:hAnsi="宋体" w:cs="Times New Roman"/>
          <w:iCs/>
          <w:sz w:val="24"/>
          <w:szCs w:val="24"/>
        </w:rPr>
      </w:pPr>
      <w:r>
        <w:rPr>
          <w:rFonts w:ascii="宋体" w:eastAsia="宋体" w:hAnsi="宋体" w:cs="Times New Roman" w:hint="eastAsia"/>
          <w:iCs/>
          <w:sz w:val="24"/>
          <w:szCs w:val="24"/>
        </w:rPr>
        <w:t>资衡</w:t>
      </w:r>
      <w:r>
        <w:rPr>
          <w:rFonts w:ascii="宋体" w:eastAsia="宋体" w:hAnsi="宋体" w:cs="Times New Roman" w:hint="eastAsia"/>
          <w:iCs/>
          <w:sz w:val="24"/>
          <w:szCs w:val="24"/>
        </w:rPr>
        <w:t>(</w:t>
      </w:r>
      <w:r>
        <w:rPr>
          <w:rFonts w:ascii="宋体" w:eastAsia="宋体" w:hAnsi="宋体" w:cs="Times New Roman" w:hint="eastAsia"/>
          <w:iCs/>
          <w:sz w:val="24"/>
          <w:szCs w:val="24"/>
        </w:rPr>
        <w:t>上海</w:t>
      </w:r>
      <w:r>
        <w:rPr>
          <w:rFonts w:ascii="宋体" w:eastAsia="宋体" w:hAnsi="宋体" w:cs="Times New Roman" w:hint="eastAsia"/>
          <w:iCs/>
          <w:sz w:val="24"/>
          <w:szCs w:val="24"/>
        </w:rPr>
        <w:t>)</w:t>
      </w:r>
      <w:r>
        <w:rPr>
          <w:rFonts w:ascii="宋体" w:eastAsia="宋体" w:hAnsi="宋体" w:cs="Times New Roman" w:hint="eastAsia"/>
          <w:iCs/>
          <w:sz w:val="24"/>
          <w:szCs w:val="24"/>
        </w:rPr>
        <w:t>商业管理有限公司</w:t>
      </w:r>
    </w:p>
    <w:sectPr w:rsidR="00F22458">
      <w:head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F52E5" w14:textId="77777777" w:rsidR="00F12B31" w:rsidRDefault="00F12B31">
      <w:r>
        <w:separator/>
      </w:r>
    </w:p>
  </w:endnote>
  <w:endnote w:type="continuationSeparator" w:id="0">
    <w:p w14:paraId="1399E488" w14:textId="77777777" w:rsidR="00F12B31" w:rsidRDefault="00F12B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304DF1" w14:textId="77777777" w:rsidR="00F12B31" w:rsidRDefault="00F12B31">
      <w:r>
        <w:separator/>
      </w:r>
    </w:p>
  </w:footnote>
  <w:footnote w:type="continuationSeparator" w:id="0">
    <w:p w14:paraId="5387CE44" w14:textId="77777777" w:rsidR="00F12B31" w:rsidRDefault="00F12B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67DA" w14:textId="77777777" w:rsidR="00F22458" w:rsidRDefault="00F12B31">
    <w:pPr>
      <w:pStyle w:val="a9"/>
    </w:pPr>
    <w:r>
      <w:rPr>
        <w:noProof/>
      </w:rPr>
      <w:drawing>
        <wp:anchor distT="0" distB="0" distL="114300" distR="114300" simplePos="0" relativeHeight="251659264" behindDoc="0" locked="0" layoutInCell="1" allowOverlap="1">
          <wp:simplePos x="0" y="0"/>
          <wp:positionH relativeFrom="column">
            <wp:posOffset>-29845</wp:posOffset>
          </wp:positionH>
          <wp:positionV relativeFrom="paragraph">
            <wp:posOffset>-133350</wp:posOffset>
          </wp:positionV>
          <wp:extent cx="396240" cy="255905"/>
          <wp:effectExtent l="0" t="0" r="381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BA06F" w14:textId="77777777" w:rsidR="00F22458" w:rsidRDefault="00F12B31">
    <w:pPr>
      <w:pStyle w:val="a9"/>
    </w:pPr>
    <w:r>
      <w:rPr>
        <w:noProof/>
      </w:rPr>
      <w:drawing>
        <wp:anchor distT="0" distB="0" distL="114300" distR="114300" simplePos="0" relativeHeight="251660288" behindDoc="0" locked="0" layoutInCell="1" allowOverlap="1">
          <wp:simplePos x="0" y="0"/>
          <wp:positionH relativeFrom="column">
            <wp:posOffset>-29845</wp:posOffset>
          </wp:positionH>
          <wp:positionV relativeFrom="paragraph">
            <wp:posOffset>-133350</wp:posOffset>
          </wp:positionV>
          <wp:extent cx="396240" cy="255905"/>
          <wp:effectExtent l="0" t="0" r="3810" b="0"/>
          <wp:wrapNone/>
          <wp:docPr id="1772694622" name="图片 17726946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94622" name="图片 177269462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396416" cy="25581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6C7A52"/>
    <w:multiLevelType w:val="multilevel"/>
    <w:tmpl w:val="3A6C7A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6CD"/>
    <w:rsid w:val="0000466C"/>
    <w:rsid w:val="00006EAB"/>
    <w:rsid w:val="00007952"/>
    <w:rsid w:val="00011BC7"/>
    <w:rsid w:val="00014EDC"/>
    <w:rsid w:val="00014F2A"/>
    <w:rsid w:val="00021F69"/>
    <w:rsid w:val="00023F7B"/>
    <w:rsid w:val="000241F0"/>
    <w:rsid w:val="00024642"/>
    <w:rsid w:val="000269F1"/>
    <w:rsid w:val="00026CD7"/>
    <w:rsid w:val="00026E2B"/>
    <w:rsid w:val="000270E5"/>
    <w:rsid w:val="00027D0A"/>
    <w:rsid w:val="000323F8"/>
    <w:rsid w:val="000333DF"/>
    <w:rsid w:val="00036EDB"/>
    <w:rsid w:val="00041E25"/>
    <w:rsid w:val="00042C46"/>
    <w:rsid w:val="00042EEA"/>
    <w:rsid w:val="000443F9"/>
    <w:rsid w:val="000444E5"/>
    <w:rsid w:val="00050011"/>
    <w:rsid w:val="00050BA7"/>
    <w:rsid w:val="000528A8"/>
    <w:rsid w:val="0005452E"/>
    <w:rsid w:val="00063DB5"/>
    <w:rsid w:val="0006434F"/>
    <w:rsid w:val="00070593"/>
    <w:rsid w:val="00070C3B"/>
    <w:rsid w:val="00070C8D"/>
    <w:rsid w:val="00071B11"/>
    <w:rsid w:val="000736E8"/>
    <w:rsid w:val="00073AFD"/>
    <w:rsid w:val="000760AD"/>
    <w:rsid w:val="00077A28"/>
    <w:rsid w:val="00081B36"/>
    <w:rsid w:val="000828F8"/>
    <w:rsid w:val="000844AF"/>
    <w:rsid w:val="00086C90"/>
    <w:rsid w:val="00095F45"/>
    <w:rsid w:val="000A1420"/>
    <w:rsid w:val="000A2025"/>
    <w:rsid w:val="000A64AC"/>
    <w:rsid w:val="000A65EF"/>
    <w:rsid w:val="000B45C6"/>
    <w:rsid w:val="000B462B"/>
    <w:rsid w:val="000B5299"/>
    <w:rsid w:val="000B6918"/>
    <w:rsid w:val="000B6FFD"/>
    <w:rsid w:val="000B7409"/>
    <w:rsid w:val="000C2F52"/>
    <w:rsid w:val="000C5707"/>
    <w:rsid w:val="000C6613"/>
    <w:rsid w:val="000D1A05"/>
    <w:rsid w:val="000F15EB"/>
    <w:rsid w:val="000F295B"/>
    <w:rsid w:val="000F6BEB"/>
    <w:rsid w:val="001004FC"/>
    <w:rsid w:val="00103C4E"/>
    <w:rsid w:val="00103E08"/>
    <w:rsid w:val="00105F14"/>
    <w:rsid w:val="00111EF4"/>
    <w:rsid w:val="00113C72"/>
    <w:rsid w:val="00114CEA"/>
    <w:rsid w:val="001221B8"/>
    <w:rsid w:val="00126191"/>
    <w:rsid w:val="001263C3"/>
    <w:rsid w:val="001304EB"/>
    <w:rsid w:val="001334C1"/>
    <w:rsid w:val="00136BC5"/>
    <w:rsid w:val="00137300"/>
    <w:rsid w:val="00142F11"/>
    <w:rsid w:val="001439E6"/>
    <w:rsid w:val="00143A57"/>
    <w:rsid w:val="00146172"/>
    <w:rsid w:val="00151B55"/>
    <w:rsid w:val="00154F64"/>
    <w:rsid w:val="001606F3"/>
    <w:rsid w:val="001672FF"/>
    <w:rsid w:val="001819EF"/>
    <w:rsid w:val="00184AC1"/>
    <w:rsid w:val="00186DBB"/>
    <w:rsid w:val="00187077"/>
    <w:rsid w:val="00191637"/>
    <w:rsid w:val="00194C3E"/>
    <w:rsid w:val="001965A6"/>
    <w:rsid w:val="001A125C"/>
    <w:rsid w:val="001A1337"/>
    <w:rsid w:val="001B00D8"/>
    <w:rsid w:val="001B011E"/>
    <w:rsid w:val="001B140B"/>
    <w:rsid w:val="001B508F"/>
    <w:rsid w:val="001B51B7"/>
    <w:rsid w:val="001B723E"/>
    <w:rsid w:val="001B7B58"/>
    <w:rsid w:val="001B7D68"/>
    <w:rsid w:val="001C07BF"/>
    <w:rsid w:val="001C40CA"/>
    <w:rsid w:val="001C49D9"/>
    <w:rsid w:val="001C6742"/>
    <w:rsid w:val="001C6F2F"/>
    <w:rsid w:val="001C7C07"/>
    <w:rsid w:val="001D5222"/>
    <w:rsid w:val="001D7715"/>
    <w:rsid w:val="001D7A5D"/>
    <w:rsid w:val="001E117B"/>
    <w:rsid w:val="001E2BC5"/>
    <w:rsid w:val="001E5E64"/>
    <w:rsid w:val="001E7F7C"/>
    <w:rsid w:val="001F0DCC"/>
    <w:rsid w:val="001F2572"/>
    <w:rsid w:val="001F327E"/>
    <w:rsid w:val="001F47A5"/>
    <w:rsid w:val="001F5B62"/>
    <w:rsid w:val="00201646"/>
    <w:rsid w:val="00201BF2"/>
    <w:rsid w:val="002043B7"/>
    <w:rsid w:val="0020724D"/>
    <w:rsid w:val="002118DC"/>
    <w:rsid w:val="00214C8F"/>
    <w:rsid w:val="00221E78"/>
    <w:rsid w:val="002239C5"/>
    <w:rsid w:val="002278FB"/>
    <w:rsid w:val="00230F6A"/>
    <w:rsid w:val="00232813"/>
    <w:rsid w:val="00234237"/>
    <w:rsid w:val="00234D03"/>
    <w:rsid w:val="00236082"/>
    <w:rsid w:val="00241B33"/>
    <w:rsid w:val="00243B13"/>
    <w:rsid w:val="002450D7"/>
    <w:rsid w:val="0024743C"/>
    <w:rsid w:val="00251EF8"/>
    <w:rsid w:val="002525E9"/>
    <w:rsid w:val="0025271B"/>
    <w:rsid w:val="00255B4A"/>
    <w:rsid w:val="00256250"/>
    <w:rsid w:val="0025686C"/>
    <w:rsid w:val="00262368"/>
    <w:rsid w:val="00263229"/>
    <w:rsid w:val="0026427F"/>
    <w:rsid w:val="002650F9"/>
    <w:rsid w:val="00266A22"/>
    <w:rsid w:val="00267056"/>
    <w:rsid w:val="0027034A"/>
    <w:rsid w:val="00271324"/>
    <w:rsid w:val="00271800"/>
    <w:rsid w:val="002722E0"/>
    <w:rsid w:val="002739C7"/>
    <w:rsid w:val="00273BE7"/>
    <w:rsid w:val="00273D9E"/>
    <w:rsid w:val="0028148B"/>
    <w:rsid w:val="002835F7"/>
    <w:rsid w:val="00286F7B"/>
    <w:rsid w:val="002879B6"/>
    <w:rsid w:val="002916F6"/>
    <w:rsid w:val="0029285E"/>
    <w:rsid w:val="00293FBB"/>
    <w:rsid w:val="00293FFD"/>
    <w:rsid w:val="00295236"/>
    <w:rsid w:val="0029536D"/>
    <w:rsid w:val="00297A54"/>
    <w:rsid w:val="002A15B6"/>
    <w:rsid w:val="002B0AD4"/>
    <w:rsid w:val="002B2AD7"/>
    <w:rsid w:val="002B75F5"/>
    <w:rsid w:val="002C1C3B"/>
    <w:rsid w:val="002C23DD"/>
    <w:rsid w:val="002C3AD1"/>
    <w:rsid w:val="002D15D1"/>
    <w:rsid w:val="002D23B6"/>
    <w:rsid w:val="002D3753"/>
    <w:rsid w:val="002D3890"/>
    <w:rsid w:val="002D543D"/>
    <w:rsid w:val="002E1CE3"/>
    <w:rsid w:val="002F1B04"/>
    <w:rsid w:val="002F3DFE"/>
    <w:rsid w:val="002F4C46"/>
    <w:rsid w:val="002F5458"/>
    <w:rsid w:val="002F6EAD"/>
    <w:rsid w:val="002F7A65"/>
    <w:rsid w:val="00306AE8"/>
    <w:rsid w:val="00306E75"/>
    <w:rsid w:val="00307607"/>
    <w:rsid w:val="00307EC1"/>
    <w:rsid w:val="0031032E"/>
    <w:rsid w:val="00311D65"/>
    <w:rsid w:val="003131C3"/>
    <w:rsid w:val="0031371B"/>
    <w:rsid w:val="00320D2C"/>
    <w:rsid w:val="00320D9D"/>
    <w:rsid w:val="00320EA7"/>
    <w:rsid w:val="00325F60"/>
    <w:rsid w:val="00327330"/>
    <w:rsid w:val="00327CE4"/>
    <w:rsid w:val="00330A90"/>
    <w:rsid w:val="00331AE4"/>
    <w:rsid w:val="00333A41"/>
    <w:rsid w:val="00336191"/>
    <w:rsid w:val="00337123"/>
    <w:rsid w:val="00340A0E"/>
    <w:rsid w:val="003413FD"/>
    <w:rsid w:val="00341FA4"/>
    <w:rsid w:val="0034208C"/>
    <w:rsid w:val="00346C02"/>
    <w:rsid w:val="0035053A"/>
    <w:rsid w:val="003508D5"/>
    <w:rsid w:val="003524BC"/>
    <w:rsid w:val="0035572A"/>
    <w:rsid w:val="0035672A"/>
    <w:rsid w:val="00357207"/>
    <w:rsid w:val="00362CD0"/>
    <w:rsid w:val="00363384"/>
    <w:rsid w:val="00366005"/>
    <w:rsid w:val="00367719"/>
    <w:rsid w:val="00367F59"/>
    <w:rsid w:val="0037038A"/>
    <w:rsid w:val="00370EA6"/>
    <w:rsid w:val="003722F1"/>
    <w:rsid w:val="0037245D"/>
    <w:rsid w:val="00374A09"/>
    <w:rsid w:val="00376EB2"/>
    <w:rsid w:val="0038034C"/>
    <w:rsid w:val="00381281"/>
    <w:rsid w:val="003826F3"/>
    <w:rsid w:val="0038311C"/>
    <w:rsid w:val="0038319A"/>
    <w:rsid w:val="00383FA5"/>
    <w:rsid w:val="00385068"/>
    <w:rsid w:val="00386F86"/>
    <w:rsid w:val="00387320"/>
    <w:rsid w:val="00397642"/>
    <w:rsid w:val="003A2EB2"/>
    <w:rsid w:val="003A6970"/>
    <w:rsid w:val="003A7179"/>
    <w:rsid w:val="003B12EA"/>
    <w:rsid w:val="003B13A4"/>
    <w:rsid w:val="003B49D2"/>
    <w:rsid w:val="003B7F90"/>
    <w:rsid w:val="003C0703"/>
    <w:rsid w:val="003C0892"/>
    <w:rsid w:val="003C1712"/>
    <w:rsid w:val="003C31F7"/>
    <w:rsid w:val="003C3FDF"/>
    <w:rsid w:val="003C5829"/>
    <w:rsid w:val="003C67F8"/>
    <w:rsid w:val="003C6A2B"/>
    <w:rsid w:val="003D1782"/>
    <w:rsid w:val="003D2A88"/>
    <w:rsid w:val="003D2F73"/>
    <w:rsid w:val="003D40E0"/>
    <w:rsid w:val="003D452A"/>
    <w:rsid w:val="003D6D81"/>
    <w:rsid w:val="003E2989"/>
    <w:rsid w:val="003E5D54"/>
    <w:rsid w:val="003F2A5A"/>
    <w:rsid w:val="003F6D0B"/>
    <w:rsid w:val="00400B90"/>
    <w:rsid w:val="0040142B"/>
    <w:rsid w:val="00401581"/>
    <w:rsid w:val="0040439F"/>
    <w:rsid w:val="00404723"/>
    <w:rsid w:val="004106EC"/>
    <w:rsid w:val="00411262"/>
    <w:rsid w:val="00414684"/>
    <w:rsid w:val="00415FC4"/>
    <w:rsid w:val="00417B0B"/>
    <w:rsid w:val="00420071"/>
    <w:rsid w:val="00421493"/>
    <w:rsid w:val="0042182D"/>
    <w:rsid w:val="00422C85"/>
    <w:rsid w:val="00424F55"/>
    <w:rsid w:val="00425BB1"/>
    <w:rsid w:val="004265AA"/>
    <w:rsid w:val="00432964"/>
    <w:rsid w:val="00432BE6"/>
    <w:rsid w:val="00433835"/>
    <w:rsid w:val="00435DFE"/>
    <w:rsid w:val="00442E50"/>
    <w:rsid w:val="004460A1"/>
    <w:rsid w:val="00450320"/>
    <w:rsid w:val="00450F55"/>
    <w:rsid w:val="00455457"/>
    <w:rsid w:val="00457FBC"/>
    <w:rsid w:val="00461E22"/>
    <w:rsid w:val="00462285"/>
    <w:rsid w:val="00462C70"/>
    <w:rsid w:val="0046519C"/>
    <w:rsid w:val="00467171"/>
    <w:rsid w:val="00467B9C"/>
    <w:rsid w:val="00470346"/>
    <w:rsid w:val="0047142B"/>
    <w:rsid w:val="00472F77"/>
    <w:rsid w:val="004736A2"/>
    <w:rsid w:val="00473CA1"/>
    <w:rsid w:val="00473F91"/>
    <w:rsid w:val="00482D5D"/>
    <w:rsid w:val="004831CD"/>
    <w:rsid w:val="004859A7"/>
    <w:rsid w:val="00487DC9"/>
    <w:rsid w:val="00495655"/>
    <w:rsid w:val="004A2A0A"/>
    <w:rsid w:val="004A54C9"/>
    <w:rsid w:val="004A58CB"/>
    <w:rsid w:val="004A7FDD"/>
    <w:rsid w:val="004B500C"/>
    <w:rsid w:val="004B5578"/>
    <w:rsid w:val="004B75FB"/>
    <w:rsid w:val="004C1168"/>
    <w:rsid w:val="004C3E41"/>
    <w:rsid w:val="004C4DA1"/>
    <w:rsid w:val="004C6956"/>
    <w:rsid w:val="004D05EA"/>
    <w:rsid w:val="004D0B86"/>
    <w:rsid w:val="004D0FFB"/>
    <w:rsid w:val="004D14EA"/>
    <w:rsid w:val="004D4156"/>
    <w:rsid w:val="004D614E"/>
    <w:rsid w:val="004E25DD"/>
    <w:rsid w:val="004E32B5"/>
    <w:rsid w:val="004E4CBB"/>
    <w:rsid w:val="004F1712"/>
    <w:rsid w:val="004F2B4E"/>
    <w:rsid w:val="004F5C3F"/>
    <w:rsid w:val="004F6A32"/>
    <w:rsid w:val="00502B91"/>
    <w:rsid w:val="00504DF9"/>
    <w:rsid w:val="00507071"/>
    <w:rsid w:val="00510286"/>
    <w:rsid w:val="0051329D"/>
    <w:rsid w:val="00515865"/>
    <w:rsid w:val="005162D4"/>
    <w:rsid w:val="0052170C"/>
    <w:rsid w:val="00524D04"/>
    <w:rsid w:val="00534D66"/>
    <w:rsid w:val="005359DD"/>
    <w:rsid w:val="00537A32"/>
    <w:rsid w:val="00540A4D"/>
    <w:rsid w:val="0054404C"/>
    <w:rsid w:val="00547346"/>
    <w:rsid w:val="00553B7A"/>
    <w:rsid w:val="0055435B"/>
    <w:rsid w:val="00555CAF"/>
    <w:rsid w:val="00570E68"/>
    <w:rsid w:val="00572A6D"/>
    <w:rsid w:val="00581B43"/>
    <w:rsid w:val="00582D78"/>
    <w:rsid w:val="00583357"/>
    <w:rsid w:val="00584526"/>
    <w:rsid w:val="00584C0A"/>
    <w:rsid w:val="00584D8F"/>
    <w:rsid w:val="00587DAB"/>
    <w:rsid w:val="005902F1"/>
    <w:rsid w:val="00590DC4"/>
    <w:rsid w:val="00591336"/>
    <w:rsid w:val="005917EA"/>
    <w:rsid w:val="00594A86"/>
    <w:rsid w:val="00594B89"/>
    <w:rsid w:val="005953E9"/>
    <w:rsid w:val="00596F10"/>
    <w:rsid w:val="00597162"/>
    <w:rsid w:val="005A0CBE"/>
    <w:rsid w:val="005A17E4"/>
    <w:rsid w:val="005A1A37"/>
    <w:rsid w:val="005A3CFE"/>
    <w:rsid w:val="005A4D77"/>
    <w:rsid w:val="005A706A"/>
    <w:rsid w:val="005B17EF"/>
    <w:rsid w:val="005B3D04"/>
    <w:rsid w:val="005B527A"/>
    <w:rsid w:val="005B628F"/>
    <w:rsid w:val="005C0846"/>
    <w:rsid w:val="005C19C5"/>
    <w:rsid w:val="005C2899"/>
    <w:rsid w:val="005C5706"/>
    <w:rsid w:val="005C6678"/>
    <w:rsid w:val="005D087C"/>
    <w:rsid w:val="005D08DB"/>
    <w:rsid w:val="005D20DD"/>
    <w:rsid w:val="005D34BF"/>
    <w:rsid w:val="005D4CCA"/>
    <w:rsid w:val="005E0E40"/>
    <w:rsid w:val="005E3D89"/>
    <w:rsid w:val="005E4107"/>
    <w:rsid w:val="005E4F20"/>
    <w:rsid w:val="005E5F7A"/>
    <w:rsid w:val="005E6CC4"/>
    <w:rsid w:val="005E7539"/>
    <w:rsid w:val="005E76E6"/>
    <w:rsid w:val="005F2C62"/>
    <w:rsid w:val="005F3897"/>
    <w:rsid w:val="005F617B"/>
    <w:rsid w:val="005F6250"/>
    <w:rsid w:val="005F7318"/>
    <w:rsid w:val="006016A0"/>
    <w:rsid w:val="00604BB7"/>
    <w:rsid w:val="00605119"/>
    <w:rsid w:val="00605FD9"/>
    <w:rsid w:val="00606A42"/>
    <w:rsid w:val="006100F6"/>
    <w:rsid w:val="0061328E"/>
    <w:rsid w:val="00617CC4"/>
    <w:rsid w:val="00623855"/>
    <w:rsid w:val="00625477"/>
    <w:rsid w:val="00626FB3"/>
    <w:rsid w:val="0063129A"/>
    <w:rsid w:val="006323B5"/>
    <w:rsid w:val="00636C62"/>
    <w:rsid w:val="00641888"/>
    <w:rsid w:val="00642382"/>
    <w:rsid w:val="00643F90"/>
    <w:rsid w:val="0064637F"/>
    <w:rsid w:val="00646412"/>
    <w:rsid w:val="00650F6D"/>
    <w:rsid w:val="00651CD7"/>
    <w:rsid w:val="00653190"/>
    <w:rsid w:val="006535A0"/>
    <w:rsid w:val="00653A71"/>
    <w:rsid w:val="00655835"/>
    <w:rsid w:val="00656E6F"/>
    <w:rsid w:val="00656F4B"/>
    <w:rsid w:val="00660563"/>
    <w:rsid w:val="00661BAD"/>
    <w:rsid w:val="00663D01"/>
    <w:rsid w:val="00664034"/>
    <w:rsid w:val="00665ACA"/>
    <w:rsid w:val="00667252"/>
    <w:rsid w:val="00667FB5"/>
    <w:rsid w:val="00672C00"/>
    <w:rsid w:val="00686E4C"/>
    <w:rsid w:val="00687532"/>
    <w:rsid w:val="00690CCE"/>
    <w:rsid w:val="00692F04"/>
    <w:rsid w:val="006946CB"/>
    <w:rsid w:val="0069619A"/>
    <w:rsid w:val="006A2E11"/>
    <w:rsid w:val="006A3184"/>
    <w:rsid w:val="006A3925"/>
    <w:rsid w:val="006B169A"/>
    <w:rsid w:val="006B5BFE"/>
    <w:rsid w:val="006C10F7"/>
    <w:rsid w:val="006C63BE"/>
    <w:rsid w:val="006C6843"/>
    <w:rsid w:val="006C7C54"/>
    <w:rsid w:val="006D693E"/>
    <w:rsid w:val="006E3B82"/>
    <w:rsid w:val="006E59BD"/>
    <w:rsid w:val="006E7372"/>
    <w:rsid w:val="006F06CA"/>
    <w:rsid w:val="006F1C3C"/>
    <w:rsid w:val="006F32A2"/>
    <w:rsid w:val="006F438E"/>
    <w:rsid w:val="007000BC"/>
    <w:rsid w:val="0070024F"/>
    <w:rsid w:val="00701E34"/>
    <w:rsid w:val="007118F2"/>
    <w:rsid w:val="007130B8"/>
    <w:rsid w:val="00713A75"/>
    <w:rsid w:val="00716093"/>
    <w:rsid w:val="0072040F"/>
    <w:rsid w:val="007252C2"/>
    <w:rsid w:val="00725F85"/>
    <w:rsid w:val="00730963"/>
    <w:rsid w:val="00730B79"/>
    <w:rsid w:val="00733488"/>
    <w:rsid w:val="00735117"/>
    <w:rsid w:val="00735F4D"/>
    <w:rsid w:val="00741BD9"/>
    <w:rsid w:val="00743481"/>
    <w:rsid w:val="00743DE4"/>
    <w:rsid w:val="00746249"/>
    <w:rsid w:val="00751592"/>
    <w:rsid w:val="00756A97"/>
    <w:rsid w:val="00757362"/>
    <w:rsid w:val="0076183F"/>
    <w:rsid w:val="00770B3F"/>
    <w:rsid w:val="00771843"/>
    <w:rsid w:val="00771A91"/>
    <w:rsid w:val="00773213"/>
    <w:rsid w:val="0077702F"/>
    <w:rsid w:val="007777FD"/>
    <w:rsid w:val="00780105"/>
    <w:rsid w:val="00784770"/>
    <w:rsid w:val="00785284"/>
    <w:rsid w:val="0078597E"/>
    <w:rsid w:val="00787697"/>
    <w:rsid w:val="0079430A"/>
    <w:rsid w:val="00794C8B"/>
    <w:rsid w:val="00795940"/>
    <w:rsid w:val="00796BDE"/>
    <w:rsid w:val="007A31D3"/>
    <w:rsid w:val="007A414A"/>
    <w:rsid w:val="007A4905"/>
    <w:rsid w:val="007B196F"/>
    <w:rsid w:val="007B7F17"/>
    <w:rsid w:val="007C39F3"/>
    <w:rsid w:val="007C7447"/>
    <w:rsid w:val="007C7D09"/>
    <w:rsid w:val="007D18B8"/>
    <w:rsid w:val="007D2983"/>
    <w:rsid w:val="007D2FF9"/>
    <w:rsid w:val="007D44C7"/>
    <w:rsid w:val="007D6DE3"/>
    <w:rsid w:val="007E0ADA"/>
    <w:rsid w:val="007E135A"/>
    <w:rsid w:val="007E1E48"/>
    <w:rsid w:val="007E1F58"/>
    <w:rsid w:val="007E5B3A"/>
    <w:rsid w:val="007E7FC7"/>
    <w:rsid w:val="007F2176"/>
    <w:rsid w:val="007F4095"/>
    <w:rsid w:val="007F6A17"/>
    <w:rsid w:val="008053CD"/>
    <w:rsid w:val="00806573"/>
    <w:rsid w:val="00814484"/>
    <w:rsid w:val="00815105"/>
    <w:rsid w:val="008160A1"/>
    <w:rsid w:val="00816A5F"/>
    <w:rsid w:val="00816CED"/>
    <w:rsid w:val="008206BE"/>
    <w:rsid w:val="008210D5"/>
    <w:rsid w:val="00821685"/>
    <w:rsid w:val="00822672"/>
    <w:rsid w:val="0082770A"/>
    <w:rsid w:val="00827C6C"/>
    <w:rsid w:val="00830F92"/>
    <w:rsid w:val="008326C1"/>
    <w:rsid w:val="00832AAE"/>
    <w:rsid w:val="00834932"/>
    <w:rsid w:val="00835006"/>
    <w:rsid w:val="00836E8C"/>
    <w:rsid w:val="008453D5"/>
    <w:rsid w:val="008478C8"/>
    <w:rsid w:val="008545D7"/>
    <w:rsid w:val="00857E84"/>
    <w:rsid w:val="0086024E"/>
    <w:rsid w:val="00864031"/>
    <w:rsid w:val="00864B6A"/>
    <w:rsid w:val="00866C94"/>
    <w:rsid w:val="00866CC8"/>
    <w:rsid w:val="00873293"/>
    <w:rsid w:val="00875E95"/>
    <w:rsid w:val="008914C8"/>
    <w:rsid w:val="00894406"/>
    <w:rsid w:val="008965E9"/>
    <w:rsid w:val="008A120E"/>
    <w:rsid w:val="008A50B8"/>
    <w:rsid w:val="008B381C"/>
    <w:rsid w:val="008B4886"/>
    <w:rsid w:val="008C04C9"/>
    <w:rsid w:val="008C3760"/>
    <w:rsid w:val="008C4D32"/>
    <w:rsid w:val="008C6B72"/>
    <w:rsid w:val="008C6CE2"/>
    <w:rsid w:val="008C7588"/>
    <w:rsid w:val="008D1301"/>
    <w:rsid w:val="008D17A9"/>
    <w:rsid w:val="008D22FE"/>
    <w:rsid w:val="008D2B96"/>
    <w:rsid w:val="008D3726"/>
    <w:rsid w:val="008E119D"/>
    <w:rsid w:val="008E133A"/>
    <w:rsid w:val="008E1A28"/>
    <w:rsid w:val="008E245B"/>
    <w:rsid w:val="008E2B88"/>
    <w:rsid w:val="008E4910"/>
    <w:rsid w:val="008E5963"/>
    <w:rsid w:val="008E7C04"/>
    <w:rsid w:val="008F5F3A"/>
    <w:rsid w:val="008F6569"/>
    <w:rsid w:val="00900A1B"/>
    <w:rsid w:val="00900BAF"/>
    <w:rsid w:val="00901C99"/>
    <w:rsid w:val="00902361"/>
    <w:rsid w:val="009041D2"/>
    <w:rsid w:val="009046E2"/>
    <w:rsid w:val="00904731"/>
    <w:rsid w:val="009108F5"/>
    <w:rsid w:val="00911481"/>
    <w:rsid w:val="0091400E"/>
    <w:rsid w:val="009157EF"/>
    <w:rsid w:val="00917773"/>
    <w:rsid w:val="009224F5"/>
    <w:rsid w:val="009238DD"/>
    <w:rsid w:val="00924412"/>
    <w:rsid w:val="00924A53"/>
    <w:rsid w:val="0092574C"/>
    <w:rsid w:val="00927051"/>
    <w:rsid w:val="00931F79"/>
    <w:rsid w:val="0093238D"/>
    <w:rsid w:val="00935CDA"/>
    <w:rsid w:val="0094001E"/>
    <w:rsid w:val="00941808"/>
    <w:rsid w:val="00942951"/>
    <w:rsid w:val="009457DF"/>
    <w:rsid w:val="009501ED"/>
    <w:rsid w:val="0095035C"/>
    <w:rsid w:val="009553B1"/>
    <w:rsid w:val="00955917"/>
    <w:rsid w:val="00957693"/>
    <w:rsid w:val="0096018C"/>
    <w:rsid w:val="00963B84"/>
    <w:rsid w:val="00966B65"/>
    <w:rsid w:val="00966C22"/>
    <w:rsid w:val="009672ED"/>
    <w:rsid w:val="009676A1"/>
    <w:rsid w:val="009678BF"/>
    <w:rsid w:val="00976302"/>
    <w:rsid w:val="009776A7"/>
    <w:rsid w:val="00980694"/>
    <w:rsid w:val="009834DA"/>
    <w:rsid w:val="0098528D"/>
    <w:rsid w:val="009856EE"/>
    <w:rsid w:val="00985F3E"/>
    <w:rsid w:val="00985FF4"/>
    <w:rsid w:val="009863EA"/>
    <w:rsid w:val="009868C0"/>
    <w:rsid w:val="00991961"/>
    <w:rsid w:val="009B0057"/>
    <w:rsid w:val="009B4357"/>
    <w:rsid w:val="009C06A4"/>
    <w:rsid w:val="009C06DA"/>
    <w:rsid w:val="009C59AC"/>
    <w:rsid w:val="009C63B1"/>
    <w:rsid w:val="009D170D"/>
    <w:rsid w:val="009D665C"/>
    <w:rsid w:val="009D6867"/>
    <w:rsid w:val="009E0B46"/>
    <w:rsid w:val="009E3D68"/>
    <w:rsid w:val="009F31AF"/>
    <w:rsid w:val="00A007CE"/>
    <w:rsid w:val="00A01612"/>
    <w:rsid w:val="00A029FE"/>
    <w:rsid w:val="00A03AA1"/>
    <w:rsid w:val="00A04996"/>
    <w:rsid w:val="00A05042"/>
    <w:rsid w:val="00A064B4"/>
    <w:rsid w:val="00A10F5B"/>
    <w:rsid w:val="00A110CF"/>
    <w:rsid w:val="00A16F6F"/>
    <w:rsid w:val="00A23094"/>
    <w:rsid w:val="00A248A0"/>
    <w:rsid w:val="00A31B20"/>
    <w:rsid w:val="00A32B4E"/>
    <w:rsid w:val="00A32B73"/>
    <w:rsid w:val="00A32ED1"/>
    <w:rsid w:val="00A365EA"/>
    <w:rsid w:val="00A37775"/>
    <w:rsid w:val="00A37D70"/>
    <w:rsid w:val="00A40825"/>
    <w:rsid w:val="00A41A06"/>
    <w:rsid w:val="00A430BC"/>
    <w:rsid w:val="00A46A80"/>
    <w:rsid w:val="00A47EED"/>
    <w:rsid w:val="00A55CB1"/>
    <w:rsid w:val="00A56101"/>
    <w:rsid w:val="00A57863"/>
    <w:rsid w:val="00A6487E"/>
    <w:rsid w:val="00A70EC0"/>
    <w:rsid w:val="00A7148D"/>
    <w:rsid w:val="00A71BFD"/>
    <w:rsid w:val="00A76F0C"/>
    <w:rsid w:val="00A77B3C"/>
    <w:rsid w:val="00A84537"/>
    <w:rsid w:val="00A878CB"/>
    <w:rsid w:val="00A92A9C"/>
    <w:rsid w:val="00A93A2A"/>
    <w:rsid w:val="00A97143"/>
    <w:rsid w:val="00A97D76"/>
    <w:rsid w:val="00AA26E4"/>
    <w:rsid w:val="00AA2952"/>
    <w:rsid w:val="00AA3673"/>
    <w:rsid w:val="00AA5E76"/>
    <w:rsid w:val="00AA701C"/>
    <w:rsid w:val="00AA7480"/>
    <w:rsid w:val="00AB03BB"/>
    <w:rsid w:val="00AB2414"/>
    <w:rsid w:val="00AB45D6"/>
    <w:rsid w:val="00AC0B99"/>
    <w:rsid w:val="00AC366B"/>
    <w:rsid w:val="00AC765D"/>
    <w:rsid w:val="00AD08A0"/>
    <w:rsid w:val="00AD237A"/>
    <w:rsid w:val="00AD395A"/>
    <w:rsid w:val="00AD445E"/>
    <w:rsid w:val="00AD4B08"/>
    <w:rsid w:val="00AD73A5"/>
    <w:rsid w:val="00AD7842"/>
    <w:rsid w:val="00AE00B6"/>
    <w:rsid w:val="00AE0140"/>
    <w:rsid w:val="00AE3EE3"/>
    <w:rsid w:val="00AE43CC"/>
    <w:rsid w:val="00AE539B"/>
    <w:rsid w:val="00AE5789"/>
    <w:rsid w:val="00AF610B"/>
    <w:rsid w:val="00AF6EE4"/>
    <w:rsid w:val="00B012CC"/>
    <w:rsid w:val="00B01475"/>
    <w:rsid w:val="00B07508"/>
    <w:rsid w:val="00B1058F"/>
    <w:rsid w:val="00B12278"/>
    <w:rsid w:val="00B14663"/>
    <w:rsid w:val="00B166ED"/>
    <w:rsid w:val="00B21A7F"/>
    <w:rsid w:val="00B23C9F"/>
    <w:rsid w:val="00B25FC8"/>
    <w:rsid w:val="00B27BFA"/>
    <w:rsid w:val="00B27C19"/>
    <w:rsid w:val="00B33EDD"/>
    <w:rsid w:val="00B358A1"/>
    <w:rsid w:val="00B36A53"/>
    <w:rsid w:val="00B4298C"/>
    <w:rsid w:val="00B43B2C"/>
    <w:rsid w:val="00B446BA"/>
    <w:rsid w:val="00B470E6"/>
    <w:rsid w:val="00B47853"/>
    <w:rsid w:val="00B52130"/>
    <w:rsid w:val="00B54886"/>
    <w:rsid w:val="00B57667"/>
    <w:rsid w:val="00B577E9"/>
    <w:rsid w:val="00B61BCB"/>
    <w:rsid w:val="00B62214"/>
    <w:rsid w:val="00B66888"/>
    <w:rsid w:val="00B67838"/>
    <w:rsid w:val="00B67B65"/>
    <w:rsid w:val="00B70645"/>
    <w:rsid w:val="00B71078"/>
    <w:rsid w:val="00B73683"/>
    <w:rsid w:val="00B7382F"/>
    <w:rsid w:val="00B73AED"/>
    <w:rsid w:val="00B758BA"/>
    <w:rsid w:val="00B7635E"/>
    <w:rsid w:val="00B77CE1"/>
    <w:rsid w:val="00B80D88"/>
    <w:rsid w:val="00B82CFC"/>
    <w:rsid w:val="00B855F5"/>
    <w:rsid w:val="00B8596B"/>
    <w:rsid w:val="00B8618F"/>
    <w:rsid w:val="00B86DBF"/>
    <w:rsid w:val="00B87C18"/>
    <w:rsid w:val="00B922C8"/>
    <w:rsid w:val="00B948F2"/>
    <w:rsid w:val="00B94BDE"/>
    <w:rsid w:val="00B952B5"/>
    <w:rsid w:val="00B95F5D"/>
    <w:rsid w:val="00B97618"/>
    <w:rsid w:val="00BA11D5"/>
    <w:rsid w:val="00BA1BCF"/>
    <w:rsid w:val="00BA2D78"/>
    <w:rsid w:val="00BA2D89"/>
    <w:rsid w:val="00BA69B8"/>
    <w:rsid w:val="00BB10F3"/>
    <w:rsid w:val="00BB1DCE"/>
    <w:rsid w:val="00BB20B3"/>
    <w:rsid w:val="00BB479D"/>
    <w:rsid w:val="00BB4821"/>
    <w:rsid w:val="00BB62E1"/>
    <w:rsid w:val="00BC0D1C"/>
    <w:rsid w:val="00BC3137"/>
    <w:rsid w:val="00BC507D"/>
    <w:rsid w:val="00BC593A"/>
    <w:rsid w:val="00BE0789"/>
    <w:rsid w:val="00BE20BB"/>
    <w:rsid w:val="00BE277C"/>
    <w:rsid w:val="00BE3116"/>
    <w:rsid w:val="00BE366F"/>
    <w:rsid w:val="00BE4EA3"/>
    <w:rsid w:val="00BE54C4"/>
    <w:rsid w:val="00BE5D9C"/>
    <w:rsid w:val="00BE5FA8"/>
    <w:rsid w:val="00BE65C4"/>
    <w:rsid w:val="00BE73FB"/>
    <w:rsid w:val="00BF0B35"/>
    <w:rsid w:val="00BF1133"/>
    <w:rsid w:val="00BF37CD"/>
    <w:rsid w:val="00BF3BA0"/>
    <w:rsid w:val="00BF47C2"/>
    <w:rsid w:val="00BF5E02"/>
    <w:rsid w:val="00C001F3"/>
    <w:rsid w:val="00C02B5E"/>
    <w:rsid w:val="00C057FA"/>
    <w:rsid w:val="00C05F27"/>
    <w:rsid w:val="00C0613B"/>
    <w:rsid w:val="00C104B8"/>
    <w:rsid w:val="00C11FEE"/>
    <w:rsid w:val="00C13415"/>
    <w:rsid w:val="00C1636B"/>
    <w:rsid w:val="00C207C2"/>
    <w:rsid w:val="00C24A09"/>
    <w:rsid w:val="00C302DD"/>
    <w:rsid w:val="00C32714"/>
    <w:rsid w:val="00C3446D"/>
    <w:rsid w:val="00C3537C"/>
    <w:rsid w:val="00C35512"/>
    <w:rsid w:val="00C37AAB"/>
    <w:rsid w:val="00C40B1A"/>
    <w:rsid w:val="00C42788"/>
    <w:rsid w:val="00C46495"/>
    <w:rsid w:val="00C47614"/>
    <w:rsid w:val="00C50923"/>
    <w:rsid w:val="00C5254A"/>
    <w:rsid w:val="00C52CF5"/>
    <w:rsid w:val="00C52F40"/>
    <w:rsid w:val="00C531CC"/>
    <w:rsid w:val="00C55E93"/>
    <w:rsid w:val="00C56171"/>
    <w:rsid w:val="00C62E33"/>
    <w:rsid w:val="00C70DF2"/>
    <w:rsid w:val="00C7174C"/>
    <w:rsid w:val="00C71889"/>
    <w:rsid w:val="00C753B2"/>
    <w:rsid w:val="00C7576E"/>
    <w:rsid w:val="00C777AA"/>
    <w:rsid w:val="00C84CC9"/>
    <w:rsid w:val="00C860DF"/>
    <w:rsid w:val="00C91519"/>
    <w:rsid w:val="00C9168C"/>
    <w:rsid w:val="00C91FD9"/>
    <w:rsid w:val="00C934A1"/>
    <w:rsid w:val="00C951AA"/>
    <w:rsid w:val="00CA370C"/>
    <w:rsid w:val="00CA4978"/>
    <w:rsid w:val="00CB3FBF"/>
    <w:rsid w:val="00CB65E2"/>
    <w:rsid w:val="00CC092E"/>
    <w:rsid w:val="00CC4FD6"/>
    <w:rsid w:val="00CC6538"/>
    <w:rsid w:val="00CC6E14"/>
    <w:rsid w:val="00CC78CC"/>
    <w:rsid w:val="00CD0470"/>
    <w:rsid w:val="00CD419D"/>
    <w:rsid w:val="00CD5CAD"/>
    <w:rsid w:val="00CD65D6"/>
    <w:rsid w:val="00CD66E0"/>
    <w:rsid w:val="00CE13C9"/>
    <w:rsid w:val="00CE2FBE"/>
    <w:rsid w:val="00CE40BC"/>
    <w:rsid w:val="00CE5ABF"/>
    <w:rsid w:val="00CE6D72"/>
    <w:rsid w:val="00CF1410"/>
    <w:rsid w:val="00CF1697"/>
    <w:rsid w:val="00CF1A30"/>
    <w:rsid w:val="00CF6F6C"/>
    <w:rsid w:val="00D00565"/>
    <w:rsid w:val="00D04EB8"/>
    <w:rsid w:val="00D100A7"/>
    <w:rsid w:val="00D12BD7"/>
    <w:rsid w:val="00D13CFA"/>
    <w:rsid w:val="00D16AED"/>
    <w:rsid w:val="00D170E1"/>
    <w:rsid w:val="00D208A4"/>
    <w:rsid w:val="00D251F3"/>
    <w:rsid w:val="00D274B6"/>
    <w:rsid w:val="00D31DFE"/>
    <w:rsid w:val="00D327C1"/>
    <w:rsid w:val="00D35061"/>
    <w:rsid w:val="00D37CB6"/>
    <w:rsid w:val="00D37FC0"/>
    <w:rsid w:val="00D401FA"/>
    <w:rsid w:val="00D40382"/>
    <w:rsid w:val="00D40C13"/>
    <w:rsid w:val="00D41E36"/>
    <w:rsid w:val="00D43C6D"/>
    <w:rsid w:val="00D43D66"/>
    <w:rsid w:val="00D51BA4"/>
    <w:rsid w:val="00D53BFC"/>
    <w:rsid w:val="00D554DE"/>
    <w:rsid w:val="00D5622E"/>
    <w:rsid w:val="00D5762E"/>
    <w:rsid w:val="00D62CFE"/>
    <w:rsid w:val="00D63DEC"/>
    <w:rsid w:val="00D714BA"/>
    <w:rsid w:val="00D7402B"/>
    <w:rsid w:val="00D7427C"/>
    <w:rsid w:val="00D7687A"/>
    <w:rsid w:val="00D76F2A"/>
    <w:rsid w:val="00D80B2A"/>
    <w:rsid w:val="00D82F39"/>
    <w:rsid w:val="00D8348F"/>
    <w:rsid w:val="00D841AE"/>
    <w:rsid w:val="00D84613"/>
    <w:rsid w:val="00D84DF8"/>
    <w:rsid w:val="00D85C88"/>
    <w:rsid w:val="00D925CC"/>
    <w:rsid w:val="00D93D53"/>
    <w:rsid w:val="00D96FB9"/>
    <w:rsid w:val="00D9799B"/>
    <w:rsid w:val="00DA0C33"/>
    <w:rsid w:val="00DA4962"/>
    <w:rsid w:val="00DA54D1"/>
    <w:rsid w:val="00DA5894"/>
    <w:rsid w:val="00DA6AAD"/>
    <w:rsid w:val="00DB1B2A"/>
    <w:rsid w:val="00DB1D3C"/>
    <w:rsid w:val="00DB66A4"/>
    <w:rsid w:val="00DC1143"/>
    <w:rsid w:val="00DC1D52"/>
    <w:rsid w:val="00DC3C62"/>
    <w:rsid w:val="00DC44C6"/>
    <w:rsid w:val="00DC62FA"/>
    <w:rsid w:val="00DC79AF"/>
    <w:rsid w:val="00DD2242"/>
    <w:rsid w:val="00DD27C7"/>
    <w:rsid w:val="00DD2C5F"/>
    <w:rsid w:val="00DD399A"/>
    <w:rsid w:val="00DE10DE"/>
    <w:rsid w:val="00DE31A5"/>
    <w:rsid w:val="00DE744F"/>
    <w:rsid w:val="00DE7F6D"/>
    <w:rsid w:val="00DF2964"/>
    <w:rsid w:val="00DF780C"/>
    <w:rsid w:val="00E0172D"/>
    <w:rsid w:val="00E0304A"/>
    <w:rsid w:val="00E06B3E"/>
    <w:rsid w:val="00E07C47"/>
    <w:rsid w:val="00E20C2C"/>
    <w:rsid w:val="00E21A72"/>
    <w:rsid w:val="00E24E41"/>
    <w:rsid w:val="00E32A31"/>
    <w:rsid w:val="00E34472"/>
    <w:rsid w:val="00E420CD"/>
    <w:rsid w:val="00E46561"/>
    <w:rsid w:val="00E51205"/>
    <w:rsid w:val="00E53347"/>
    <w:rsid w:val="00E53783"/>
    <w:rsid w:val="00E54502"/>
    <w:rsid w:val="00E6180D"/>
    <w:rsid w:val="00E61A61"/>
    <w:rsid w:val="00E62EAD"/>
    <w:rsid w:val="00E64488"/>
    <w:rsid w:val="00E668C5"/>
    <w:rsid w:val="00E7694B"/>
    <w:rsid w:val="00E803AB"/>
    <w:rsid w:val="00E80B56"/>
    <w:rsid w:val="00E9011C"/>
    <w:rsid w:val="00E93DA5"/>
    <w:rsid w:val="00E946CB"/>
    <w:rsid w:val="00E96C1D"/>
    <w:rsid w:val="00EA0F4E"/>
    <w:rsid w:val="00EA24E5"/>
    <w:rsid w:val="00EA3651"/>
    <w:rsid w:val="00EA6288"/>
    <w:rsid w:val="00EA69E4"/>
    <w:rsid w:val="00EB45CE"/>
    <w:rsid w:val="00EC10E4"/>
    <w:rsid w:val="00EC1ED4"/>
    <w:rsid w:val="00EC28FD"/>
    <w:rsid w:val="00ED1EE9"/>
    <w:rsid w:val="00ED3AB2"/>
    <w:rsid w:val="00ED4B34"/>
    <w:rsid w:val="00ED4FF0"/>
    <w:rsid w:val="00ED53EA"/>
    <w:rsid w:val="00ED6D52"/>
    <w:rsid w:val="00EE01DE"/>
    <w:rsid w:val="00EE02A6"/>
    <w:rsid w:val="00EE0D10"/>
    <w:rsid w:val="00EE16DD"/>
    <w:rsid w:val="00EE26CD"/>
    <w:rsid w:val="00EE7AD2"/>
    <w:rsid w:val="00EE7C85"/>
    <w:rsid w:val="00EF0642"/>
    <w:rsid w:val="00F06B8F"/>
    <w:rsid w:val="00F113FB"/>
    <w:rsid w:val="00F1256C"/>
    <w:rsid w:val="00F12B31"/>
    <w:rsid w:val="00F142F3"/>
    <w:rsid w:val="00F14B22"/>
    <w:rsid w:val="00F22458"/>
    <w:rsid w:val="00F25812"/>
    <w:rsid w:val="00F270FA"/>
    <w:rsid w:val="00F32FC6"/>
    <w:rsid w:val="00F3416C"/>
    <w:rsid w:val="00F401CA"/>
    <w:rsid w:val="00F4091F"/>
    <w:rsid w:val="00F42E00"/>
    <w:rsid w:val="00F50188"/>
    <w:rsid w:val="00F50567"/>
    <w:rsid w:val="00F50F83"/>
    <w:rsid w:val="00F51380"/>
    <w:rsid w:val="00F5385A"/>
    <w:rsid w:val="00F55EF7"/>
    <w:rsid w:val="00F57E43"/>
    <w:rsid w:val="00F60682"/>
    <w:rsid w:val="00F6394E"/>
    <w:rsid w:val="00F66E15"/>
    <w:rsid w:val="00F676CA"/>
    <w:rsid w:val="00F67EAF"/>
    <w:rsid w:val="00F73C74"/>
    <w:rsid w:val="00F743F0"/>
    <w:rsid w:val="00F744EC"/>
    <w:rsid w:val="00F74675"/>
    <w:rsid w:val="00F76634"/>
    <w:rsid w:val="00F842A3"/>
    <w:rsid w:val="00F86D5D"/>
    <w:rsid w:val="00F870FA"/>
    <w:rsid w:val="00F87C66"/>
    <w:rsid w:val="00F91550"/>
    <w:rsid w:val="00F91980"/>
    <w:rsid w:val="00F93AD8"/>
    <w:rsid w:val="00F9738B"/>
    <w:rsid w:val="00F976E7"/>
    <w:rsid w:val="00FA054B"/>
    <w:rsid w:val="00FA45D7"/>
    <w:rsid w:val="00FA56AE"/>
    <w:rsid w:val="00FA5B38"/>
    <w:rsid w:val="00FB28D9"/>
    <w:rsid w:val="00FB28F5"/>
    <w:rsid w:val="00FB4A0F"/>
    <w:rsid w:val="00FB4C30"/>
    <w:rsid w:val="00FB51AE"/>
    <w:rsid w:val="00FB605A"/>
    <w:rsid w:val="00FB723A"/>
    <w:rsid w:val="00FC12C0"/>
    <w:rsid w:val="00FC19DF"/>
    <w:rsid w:val="00FC2937"/>
    <w:rsid w:val="00FC358E"/>
    <w:rsid w:val="00FC4AB1"/>
    <w:rsid w:val="00FC55FE"/>
    <w:rsid w:val="00FC575E"/>
    <w:rsid w:val="00FD05FC"/>
    <w:rsid w:val="00FD225E"/>
    <w:rsid w:val="00FD5D3F"/>
    <w:rsid w:val="00FD657A"/>
    <w:rsid w:val="00FD67A9"/>
    <w:rsid w:val="00FD7094"/>
    <w:rsid w:val="00FD75A5"/>
    <w:rsid w:val="00FD7EF8"/>
    <w:rsid w:val="00FE33A1"/>
    <w:rsid w:val="00FE6D51"/>
    <w:rsid w:val="00FE6ED9"/>
    <w:rsid w:val="00FF05C2"/>
    <w:rsid w:val="00FF291F"/>
    <w:rsid w:val="00FF4F78"/>
    <w:rsid w:val="05576CA3"/>
    <w:rsid w:val="059E0C9D"/>
    <w:rsid w:val="06143BAD"/>
    <w:rsid w:val="084E723D"/>
    <w:rsid w:val="0A9F10DF"/>
    <w:rsid w:val="11BE2AFF"/>
    <w:rsid w:val="15152076"/>
    <w:rsid w:val="15F5339A"/>
    <w:rsid w:val="1BBF7815"/>
    <w:rsid w:val="2F064DB0"/>
    <w:rsid w:val="32242D99"/>
    <w:rsid w:val="34650269"/>
    <w:rsid w:val="4088168E"/>
    <w:rsid w:val="467F0394"/>
    <w:rsid w:val="4939123A"/>
    <w:rsid w:val="496D32ED"/>
    <w:rsid w:val="4CF7225E"/>
    <w:rsid w:val="4EDB6CAE"/>
    <w:rsid w:val="51CE0E52"/>
    <w:rsid w:val="5E151E13"/>
    <w:rsid w:val="65726429"/>
    <w:rsid w:val="685428D3"/>
    <w:rsid w:val="6B910CB2"/>
    <w:rsid w:val="71331857"/>
    <w:rsid w:val="71B2624C"/>
    <w:rsid w:val="76FF7FC5"/>
    <w:rsid w:val="7D9832A7"/>
    <w:rsid w:val="7DD54C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45336699-0C63-4D41-9D14-39BC13953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e">
    <w:name w:val="FollowedHyperlink"/>
    <w:basedOn w:val="a0"/>
    <w:uiPriority w:val="99"/>
    <w:semiHidden/>
    <w:unhideWhenUsed/>
    <w:qFormat/>
    <w:rPr>
      <w:color w:val="800080"/>
      <w:u w:val="single"/>
    </w:rPr>
  </w:style>
  <w:style w:type="character" w:styleId="af">
    <w:name w:val="Hyperlink"/>
    <w:basedOn w:val="a0"/>
    <w:uiPriority w:val="99"/>
    <w:semiHidden/>
    <w:unhideWhenUsed/>
    <w:qFormat/>
    <w:rPr>
      <w:color w:val="0000FF"/>
      <w:u w:val="single"/>
    </w:rPr>
  </w:style>
  <w:style w:type="character" w:styleId="af0">
    <w:name w:val="annotation reference"/>
    <w:basedOn w:val="a0"/>
    <w:uiPriority w:val="99"/>
    <w:semiHidden/>
    <w:unhideWhenUsed/>
    <w:qFormat/>
    <w:rPr>
      <w:sz w:val="21"/>
      <w:szCs w:val="21"/>
    </w:rPr>
  </w:style>
  <w:style w:type="character" w:customStyle="1" w:styleId="a4">
    <w:name w:val="批注文字 字符"/>
    <w:basedOn w:val="a0"/>
    <w:link w:val="a3"/>
    <w:uiPriority w:val="99"/>
    <w:semiHidden/>
    <w:qFormat/>
    <w:rPr>
      <w:kern w:val="2"/>
      <w:sz w:val="21"/>
      <w:szCs w:val="22"/>
    </w:rPr>
  </w:style>
  <w:style w:type="character" w:customStyle="1" w:styleId="a6">
    <w:name w:val="批注框文本 字符"/>
    <w:basedOn w:val="a0"/>
    <w:link w:val="a5"/>
    <w:uiPriority w:val="99"/>
    <w:semiHidden/>
    <w:qFormat/>
    <w:rPr>
      <w:kern w:val="2"/>
      <w:sz w:val="18"/>
      <w:szCs w:val="18"/>
    </w:rPr>
  </w:style>
  <w:style w:type="character" w:customStyle="1" w:styleId="a8">
    <w:name w:val="页脚 字符"/>
    <w:basedOn w:val="a0"/>
    <w:link w:val="a7"/>
    <w:uiPriority w:val="99"/>
    <w:qFormat/>
    <w:rPr>
      <w:kern w:val="2"/>
      <w:sz w:val="18"/>
      <w:szCs w:val="18"/>
    </w:rPr>
  </w:style>
  <w:style w:type="character" w:customStyle="1" w:styleId="aa">
    <w:name w:val="页眉 字符"/>
    <w:basedOn w:val="a0"/>
    <w:link w:val="a9"/>
    <w:uiPriority w:val="99"/>
    <w:qFormat/>
    <w:rPr>
      <w:kern w:val="2"/>
      <w:sz w:val="18"/>
      <w:szCs w:val="18"/>
    </w:rPr>
  </w:style>
  <w:style w:type="character" w:customStyle="1" w:styleId="ac">
    <w:name w:val="批注主题 字符"/>
    <w:basedOn w:val="a4"/>
    <w:link w:val="ab"/>
    <w:uiPriority w:val="99"/>
    <w:semiHidden/>
    <w:qFormat/>
    <w:rPr>
      <w:b/>
      <w:bCs/>
      <w:kern w:val="2"/>
      <w:sz w:val="21"/>
      <w:szCs w:val="22"/>
    </w:rPr>
  </w:style>
  <w:style w:type="paragraph" w:styleId="af1">
    <w:name w:val="List Paragraph"/>
    <w:basedOn w:val="a"/>
    <w:uiPriority w:val="34"/>
    <w:qFormat/>
    <w:pPr>
      <w:ind w:firstLineChars="200" w:firstLine="420"/>
    </w:pPr>
  </w:style>
  <w:style w:type="paragraph" w:customStyle="1" w:styleId="1">
    <w:name w:val="列出段落1"/>
    <w:basedOn w:val="a"/>
    <w:uiPriority w:val="34"/>
    <w:qFormat/>
    <w:pPr>
      <w:ind w:firstLineChars="200" w:firstLine="420"/>
    </w:pPr>
    <w:rPr>
      <w:sz w:val="24"/>
      <w:szCs w:val="24"/>
    </w:rPr>
  </w:style>
  <w:style w:type="paragraph" w:customStyle="1" w:styleId="10">
    <w:name w:val="修订1"/>
    <w:hidden/>
    <w:uiPriority w:val="99"/>
    <w:semiHidden/>
    <w:qFormat/>
    <w:rPr>
      <w:rFonts w:asciiTheme="minorHAnsi" w:eastAsiaTheme="minorEastAsia" w:hAnsiTheme="minorHAnsi" w:cstheme="minorBidi"/>
      <w:kern w:val="2"/>
      <w:sz w:val="21"/>
      <w:szCs w:val="22"/>
    </w:rPr>
  </w:style>
  <w:style w:type="paragraph" w:customStyle="1" w:styleId="msonormal0">
    <w:name w:val="msonormal"/>
    <w:basedOn w:val="a"/>
    <w:qFormat/>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
    <w:qFormat/>
    <w:pPr>
      <w:widowControl/>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pPr>
    <w:rPr>
      <w:rFonts w:ascii="宋体" w:eastAsia="宋体" w:hAnsi="宋体" w:cs="宋体"/>
      <w:b/>
      <w:bCs/>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80186-49D7-4536-8CD6-A6A2EAF09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2365</Words>
  <Characters>2556</Characters>
  <Application>Microsoft Office Word</Application>
  <DocSecurity>0</DocSecurity>
  <Lines>159</Lines>
  <Paragraphs>196</Paragraphs>
  <ScaleCrop>false</ScaleCrop>
  <Company>P R C</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tianyu.chen</dc:creator>
  <cp:lastModifiedBy>dingyu.dang</cp:lastModifiedBy>
  <cp:revision>3</cp:revision>
  <cp:lastPrinted>2023-11-13T04:32:00Z</cp:lastPrinted>
  <dcterms:created xsi:type="dcterms:W3CDTF">2026-03-12T12:03:00Z</dcterms:created>
  <dcterms:modified xsi:type="dcterms:W3CDTF">2026-03-12T12:14:00Z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KSOTemplateDocerSaveRecord">
    <vt:lpwstr>eyJoZGlkIjoiMWJiMGZlN2YzZDRhMzA2YzI0NDRkOTM5MGVkNGZmY2YiLCJ1c2VySWQiOiIyODkwMTkwMjcifQ==</vt:lpwstr>
  </property>
  <property fmtid="{D5CDD505-2E9C-101B-9397-08002B2CF9AE}" pid="4" name="ICV">
    <vt:lpwstr>587A22B20A384C189AA5B3D314AED121_13</vt:lpwstr>
  </property>
</Properties>
</file>