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20" w:line="259" w:lineRule="auto"/>
        <w:jc w:val="left"/>
        <w:rPr>
          <w:rFonts w:ascii="Calibri" w:hAnsi="Calibri" w:eastAsia="Times New Roman" w:cs="Calibri"/>
          <w:color w:val="000000"/>
          <w:sz w:val="22"/>
        </w:rPr>
      </w:pPr>
      <w:r>
        <w:rPr>
          <w:rFonts w:hint="eastAsia" w:ascii="宋体" w:hAnsi="宋体" w:eastAsia="宋体" w:cs="宋体"/>
          <w:color w:val="000000"/>
          <w:sz w:val="24"/>
        </w:rPr>
        <w:t>证券代码：</w:t>
      </w:r>
      <w:r>
        <w:rPr>
          <w:rFonts w:ascii="宋体" w:hAnsi="宋体" w:eastAsia="宋体" w:cs="宋体"/>
          <w:color w:val="000000"/>
          <w:sz w:val="24"/>
        </w:rPr>
        <w:t xml:space="preserve">688328                                    </w:t>
      </w:r>
      <w:r>
        <w:rPr>
          <w:rFonts w:hint="eastAsia" w:ascii="宋体" w:hAnsi="宋体" w:eastAsia="宋体" w:cs="宋体"/>
          <w:color w:val="000000"/>
          <w:sz w:val="24"/>
        </w:rPr>
        <w:t>证券简称：深科达</w:t>
      </w:r>
      <w:r>
        <w:rPr>
          <w:rFonts w:ascii="宋体" w:hAnsi="宋体" w:eastAsia="宋体" w:cs="宋体"/>
          <w:color w:val="000000"/>
          <w:sz w:val="24"/>
        </w:rPr>
        <w:t xml:space="preserve">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360" w:lineRule="auto"/>
        <w:ind w:firstLine="1606" w:firstLineChars="500"/>
        <w:jc w:val="left"/>
        <w:textAlignment w:val="auto"/>
        <w:rPr>
          <w:rFonts w:hint="eastAsia" w:ascii="宋体" w:hAnsi="宋体" w:eastAsia="宋体" w:cs="宋体"/>
          <w:b/>
          <w:color w:val="000000"/>
          <w:sz w:val="32"/>
        </w:rPr>
      </w:pPr>
      <w:r>
        <w:rPr>
          <w:rFonts w:hint="eastAsia" w:ascii="宋体" w:hAnsi="宋体" w:eastAsia="宋体" w:cs="宋体"/>
          <w:b/>
          <w:color w:val="000000"/>
          <w:sz w:val="32"/>
        </w:rPr>
        <w:t>深圳市深科达智能装备股份有限公司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570" w:firstLineChars="800"/>
        <w:jc w:val="left"/>
        <w:textAlignment w:val="auto"/>
        <w:rPr>
          <w:rFonts w:hint="eastAsia" w:ascii="宋体" w:hAnsi="宋体" w:eastAsia="宋体" w:cs="宋体"/>
          <w:b/>
          <w:color w:val="000000"/>
          <w:sz w:val="32"/>
        </w:rPr>
      </w:pPr>
      <w:r>
        <w:rPr>
          <w:rFonts w:hint="eastAsia" w:ascii="宋体" w:hAnsi="宋体" w:eastAsia="宋体" w:cs="宋体"/>
          <w:b/>
          <w:color w:val="000000"/>
          <w:sz w:val="32"/>
        </w:rPr>
        <w:t>投资者关系活动记录表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1179"/>
        <w:jc w:val="right"/>
        <w:textAlignment w:val="auto"/>
        <w:rPr>
          <w:rFonts w:ascii="Calibri" w:hAnsi="Calibri" w:eastAsia="Times New Roman" w:cs="Calibri"/>
          <w:color w:val="000000"/>
          <w:sz w:val="22"/>
        </w:rPr>
      </w:pPr>
    </w:p>
    <w:tbl>
      <w:tblPr>
        <w:tblStyle w:val="9"/>
        <w:tblW w:w="9976" w:type="dxa"/>
        <w:tblInd w:w="-743" w:type="dxa"/>
        <w:tblLayout w:type="fixed"/>
        <w:tblCellMar>
          <w:top w:w="0" w:type="dxa"/>
          <w:left w:w="108" w:type="dxa"/>
          <w:bottom w:w="41" w:type="dxa"/>
          <w:right w:w="0" w:type="dxa"/>
        </w:tblCellMar>
      </w:tblPr>
      <w:tblGrid>
        <w:gridCol w:w="2100"/>
        <w:gridCol w:w="7876"/>
      </w:tblGrid>
      <w:tr>
        <w:tblPrEx>
          <w:tblLayout w:type="fixed"/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2413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投资者关系</w:t>
            </w:r>
          </w:p>
          <w:p>
            <w:pPr>
              <w:widowControl/>
              <w:snapToGrid w:val="0"/>
              <w:spacing w:after="0" w:line="360" w:lineRule="auto"/>
              <w:jc w:val="center"/>
              <w:rPr>
                <w:rFonts w:hint="eastAsia" w:ascii="宋体" w:hAnsi="宋体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0" w:line="36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特定对象调研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分析师会议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媒体采访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业绩说明会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新闻发布会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路演活动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现场参观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一对一沟通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1417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参与单位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0" w:line="360" w:lineRule="auto"/>
              <w:ind w:left="105" w:left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工银理财  南方基金  博时基金  中金公司  中国中信金融资产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05" w:left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建信基金  大成基金  诺安基金  太平资产  申万菱信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05" w:left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摩根士丹利基金  兴业证券投资部  国华兴益保险资管  敦和资产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05" w:left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华创证券  金鹰基金  恒生前海基金  仁桥资产  沣京资本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05" w:left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创金合信  信达澳亚  财通基金  东方基金  蜂巢基金  格林基金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05" w:left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汉和汉华资本  石锋资产  趣时资产  域秀资本  神农投资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05" w:left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望正资产  昆仑健康保险  上海证券  中融汇信期货  博普资产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05" w:left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珺容投资  鹤禧投资  珞珈方圆资产  禾升投资  玄卜投资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05" w:left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精砚私募  明亚基金  云溪基金  象上私募  恒邦兆丰私募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05" w:leftChars="50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俊腾私募  海金投资  仙人掌资产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567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156" w:beforeLines="50" w:after="0" w:line="360" w:lineRule="auto"/>
              <w:ind w:right="110"/>
              <w:jc w:val="center"/>
              <w:rPr>
                <w:rFonts w:hint="eastAsia" w:ascii="宋体" w:hAnsi="宋体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0" w:line="360" w:lineRule="auto"/>
              <w:ind w:left="105" w:leftChars="50"/>
              <w:jc w:val="left"/>
              <w:textAlignment w:val="auto"/>
              <w:rPr>
                <w:rFonts w:hint="default" w:ascii="宋体" w:hAnsi="宋体" w:eastAsia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Calibri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  <w:highlight w:val="none"/>
                <w:lang w:val="en-US" w:eastAsia="zh-CN"/>
              </w:rPr>
              <w:t>16日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567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156" w:beforeLines="50" w:after="0" w:line="360" w:lineRule="auto"/>
              <w:ind w:right="110"/>
              <w:jc w:val="center"/>
              <w:rPr>
                <w:rFonts w:hint="eastAsia" w:ascii="宋体" w:hAnsi="宋体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0" w:line="360" w:lineRule="auto"/>
              <w:ind w:left="105" w:leftChars="50"/>
              <w:textAlignment w:val="auto"/>
              <w:rPr>
                <w:rFonts w:hint="default" w:ascii="宋体" w:hAnsi="宋体" w:eastAsia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  <w:lang w:val="en-US" w:eastAsia="zh-CN"/>
              </w:rPr>
              <w:t>线上会议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567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156" w:beforeLines="50" w:after="0" w:line="360" w:lineRule="auto"/>
              <w:jc w:val="center"/>
              <w:rPr>
                <w:rFonts w:hint="eastAsia" w:ascii="宋体" w:hAnsi="宋体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接待人员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0" w:line="360" w:lineRule="auto"/>
              <w:ind w:left="105" w:leftChars="50"/>
              <w:textAlignment w:val="auto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  <w:t>董事会秘书：郑亦平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49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right="11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ind w:left="105" w:leftChars="50" w:right="105" w:rightChars="50"/>
              <w:jc w:val="left"/>
              <w:textAlignment w:val="auto"/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公司主要业务都有哪些？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105" w:leftChars="50" w:right="105" w:rightChars="50"/>
              <w:jc w:val="left"/>
              <w:textAlignment w:val="auto"/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公司是一家专业的智能装备及核心部件制造厂商，拥有科学完整的研发、生产和销售运营体系，能够为客户提供相关自动化设备的整体解决方案。公司主要从事半导体类设备、平板显示模组类设备、以及智能装备关键零部件的研发、生产和销售。公司产品广泛应用于半导体封测、平板显示器件（显示模组、触控模组、指纹识别模组）的自动化组装和智能化检测，并向智能装备关键零部件等领域进行延伸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105" w:leftChars="50" w:right="105" w:rightChars="50"/>
              <w:jc w:val="left"/>
              <w:textAlignment w:val="auto"/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公司目前半导体设备业务订单情况？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105" w:leftChars="50" w:right="105" w:rightChars="50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随着全球半导体设备行业景气度持续复苏，公司通过持续推进产品迭代升级，不断提升产品的综合竞争力。其中，转塔式测试分选机保持与国内外半导体封测厂商、IDM企业的良好合作；平移式测试分选机上一年度市场开拓取得阶段性成果，获得下游客户高度认可，已实现批量订单落地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105" w:leftChars="50" w:right="105" w:rightChars="50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公司2025年整体的经营情况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?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105" w:leftChars="50" w:right="105" w:rightChars="50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根据公司2026年2月28日披露的业绩快报数据：2025年公司实现营业收入67,268.71万元，与上年同期相比增长32.14%；实现营业利润4,037.90万元，实现利润总额3,939.94万元，实现归属于母公司所有者的净利润2,502.01万元，实现归属于母公司所有者的扣除非经常性损益的净利润2,223.50万元，与上年同期相比，实现扭亏为盈。以上数据为公司财务初步核算结果，具体以经审计的2025年年报为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105" w:leftChars="50" w:right="105" w:rightChars="50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公司在存储设备市场布局情况？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105" w:leftChars="50" w:right="105" w:rightChars="50"/>
              <w:jc w:val="left"/>
              <w:textAlignment w:val="auto"/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AI算力爆发带动存储需求持续增长，行业供需偏紧，存储产线扩产与自动化升级需求旺盛。公司依托精密贴合、半导体设备领域的技术积累，切入存储设备赛道。现阶段公司已与北美存储客户建立直接合作，为其提供存储AOI检测设备、高精度芯片贴合设备、磁头测试产线自动化设备等多款产品。虽然当前该业务在手订单占公司整体营收比例较小，但公司将持续把握行业发展机遇，稳步推进相关业务的拓展。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105" w:leftChars="50" w:right="105" w:rightChars="50"/>
              <w:jc w:val="left"/>
              <w:textAlignment w:val="auto"/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bookmarkStart w:id="1" w:name="OLE_LINK3"/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公司与</w:t>
            </w:r>
            <w:bookmarkStart w:id="2" w:name="OLE_LINK2"/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北美存储客户</w:t>
            </w:r>
            <w:bookmarkEnd w:id="2"/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的合作情况及需求来源？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105" w:leftChars="50" w:right="105" w:rightChars="50"/>
              <w:jc w:val="left"/>
              <w:textAlignment w:val="auto"/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答：公司自2019年起与该存储客户展开合作切入存储领域。近两年来，公司持续积极配合客户推进上述相关设备产品的研发</w:t>
            </w:r>
            <w:bookmarkEnd w:id="0"/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及订单交付，现阶段公司是该客户对应业务的唯一合作供应商。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105" w:leftChars="50" w:right="105" w:rightChars="50"/>
              <w:jc w:val="left"/>
              <w:textAlignment w:val="auto"/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客户对相关存储设备需求主要来源于其布局HAMR技术（热辅助磁记录技术），旨在突破传统硬盘密度瓶颈，进一步提高硬盘容量，进而实现产品性能的显著优化。</w:t>
            </w:r>
            <w:bookmarkEnd w:id="1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105" w:leftChars="50" w:right="105" w:rightChars="50"/>
              <w:jc w:val="left"/>
              <w:textAlignment w:val="auto"/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6、公司近期是否有资本运作计划，如实施新的股权激励计划？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105" w:leftChars="50" w:right="105" w:rightChars="50"/>
              <w:jc w:val="left"/>
              <w:textAlignment w:val="auto"/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公司目前暂无相关资本运作计划，短期内亦无新的股权激励计划及再融资安排。公司已于2026年3月6日披露公告，综合考虑股权激励费用大幅增加等多重因素的影响，决定终止前次股权激励计划；未来公司将结合经营发展状况，择机推进适配的股权激励方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Chars="50" w:right="105" w:rightChars="50"/>
              <w:jc w:val="left"/>
              <w:textAlignment w:val="auto"/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7、公司3月16日股价下跌是否因公司经营情况发生变化？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105" w:leftChars="50" w:right="105" w:rightChars="50"/>
              <w:jc w:val="left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答：公司目前生产经营活动一切正常，经营情况良好，主营业务及内外部经营环境未发生重大变化。二级市场股价波动受宏观环境、行业政策、市场情绪等多重因素综合影响。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49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 w:cs="宋体"/>
        <w:sz w:val="22"/>
        <w:szCs w:val="22"/>
        <w:lang w:val="en-US" w:eastAsia="zh-CN"/>
      </w:rPr>
    </w:pPr>
    <w:r>
      <w:rPr>
        <w:rFonts w:hint="eastAsia" w:ascii="宋体" w:hAnsi="宋体" w:eastAsia="宋体" w:cs="宋体"/>
        <w:sz w:val="22"/>
        <w:szCs w:val="22"/>
      </w:rPr>
      <w:t>投资者关系调研记录表2026年3月</w:t>
    </w:r>
    <w:r>
      <w:rPr>
        <w:rFonts w:hint="eastAsia" w:ascii="宋体" w:hAnsi="宋体" w:eastAsia="宋体" w:cs="宋体"/>
        <w:sz w:val="22"/>
        <w:szCs w:val="22"/>
        <w:lang w:val="en-US" w:eastAsia="zh-CN"/>
      </w:rPr>
      <w:t>16日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194188"/>
    <w:multiLevelType w:val="singleLevel"/>
    <w:tmpl w:val="9019418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3A"/>
    <w:rsid w:val="00007BB1"/>
    <w:rsid w:val="00024DA0"/>
    <w:rsid w:val="0003789B"/>
    <w:rsid w:val="00045150"/>
    <w:rsid w:val="0005228C"/>
    <w:rsid w:val="00066488"/>
    <w:rsid w:val="000911B1"/>
    <w:rsid w:val="000B022D"/>
    <w:rsid w:val="000C66AC"/>
    <w:rsid w:val="000C7ECB"/>
    <w:rsid w:val="000E3444"/>
    <w:rsid w:val="000F2088"/>
    <w:rsid w:val="000F68A3"/>
    <w:rsid w:val="000F7B15"/>
    <w:rsid w:val="00111A9F"/>
    <w:rsid w:val="001218C5"/>
    <w:rsid w:val="001268B5"/>
    <w:rsid w:val="00127CFF"/>
    <w:rsid w:val="00141788"/>
    <w:rsid w:val="001618D4"/>
    <w:rsid w:val="00172897"/>
    <w:rsid w:val="00174135"/>
    <w:rsid w:val="001762DD"/>
    <w:rsid w:val="001770C5"/>
    <w:rsid w:val="001B4BAE"/>
    <w:rsid w:val="002149F8"/>
    <w:rsid w:val="002153C4"/>
    <w:rsid w:val="00215CCC"/>
    <w:rsid w:val="002169BA"/>
    <w:rsid w:val="00227609"/>
    <w:rsid w:val="002313D0"/>
    <w:rsid w:val="00234889"/>
    <w:rsid w:val="002542FB"/>
    <w:rsid w:val="00260363"/>
    <w:rsid w:val="002641F9"/>
    <w:rsid w:val="002735E9"/>
    <w:rsid w:val="002A78AB"/>
    <w:rsid w:val="002E03FF"/>
    <w:rsid w:val="002E25DA"/>
    <w:rsid w:val="002E593A"/>
    <w:rsid w:val="002E6F1D"/>
    <w:rsid w:val="002F2186"/>
    <w:rsid w:val="002F5B4F"/>
    <w:rsid w:val="002F60BE"/>
    <w:rsid w:val="003036D7"/>
    <w:rsid w:val="003244D1"/>
    <w:rsid w:val="00341321"/>
    <w:rsid w:val="00343140"/>
    <w:rsid w:val="00365D58"/>
    <w:rsid w:val="0039175E"/>
    <w:rsid w:val="0039424D"/>
    <w:rsid w:val="003A7B13"/>
    <w:rsid w:val="003D33FB"/>
    <w:rsid w:val="003D68CE"/>
    <w:rsid w:val="00431189"/>
    <w:rsid w:val="00441FB0"/>
    <w:rsid w:val="00486001"/>
    <w:rsid w:val="004916E5"/>
    <w:rsid w:val="0049390B"/>
    <w:rsid w:val="00495744"/>
    <w:rsid w:val="004B283F"/>
    <w:rsid w:val="004B42CE"/>
    <w:rsid w:val="004B7A64"/>
    <w:rsid w:val="004E2779"/>
    <w:rsid w:val="004F6DDF"/>
    <w:rsid w:val="00540F5E"/>
    <w:rsid w:val="00543E0D"/>
    <w:rsid w:val="00550A02"/>
    <w:rsid w:val="005631F4"/>
    <w:rsid w:val="00571C96"/>
    <w:rsid w:val="005B6EDB"/>
    <w:rsid w:val="005E4214"/>
    <w:rsid w:val="005F75DD"/>
    <w:rsid w:val="00601B64"/>
    <w:rsid w:val="006215DB"/>
    <w:rsid w:val="00626B1E"/>
    <w:rsid w:val="00636A0A"/>
    <w:rsid w:val="0067019D"/>
    <w:rsid w:val="00676756"/>
    <w:rsid w:val="00680FF1"/>
    <w:rsid w:val="00684A28"/>
    <w:rsid w:val="00697E06"/>
    <w:rsid w:val="006A13AE"/>
    <w:rsid w:val="006A7ED1"/>
    <w:rsid w:val="00715EA3"/>
    <w:rsid w:val="00727C4E"/>
    <w:rsid w:val="00745BBF"/>
    <w:rsid w:val="00767398"/>
    <w:rsid w:val="00795411"/>
    <w:rsid w:val="007C3DC5"/>
    <w:rsid w:val="007C50C8"/>
    <w:rsid w:val="007E0A19"/>
    <w:rsid w:val="007E0A94"/>
    <w:rsid w:val="00802E87"/>
    <w:rsid w:val="00812C38"/>
    <w:rsid w:val="0083205D"/>
    <w:rsid w:val="00887839"/>
    <w:rsid w:val="008A2209"/>
    <w:rsid w:val="008A4F1F"/>
    <w:rsid w:val="008A7678"/>
    <w:rsid w:val="008C5CF2"/>
    <w:rsid w:val="009018B3"/>
    <w:rsid w:val="009314BC"/>
    <w:rsid w:val="0093153E"/>
    <w:rsid w:val="00947AB4"/>
    <w:rsid w:val="009709F1"/>
    <w:rsid w:val="009824CC"/>
    <w:rsid w:val="009868E8"/>
    <w:rsid w:val="00993534"/>
    <w:rsid w:val="009B4D09"/>
    <w:rsid w:val="009B60F4"/>
    <w:rsid w:val="009E6F6B"/>
    <w:rsid w:val="00A13212"/>
    <w:rsid w:val="00A24ADD"/>
    <w:rsid w:val="00A46D6F"/>
    <w:rsid w:val="00A47956"/>
    <w:rsid w:val="00A706F0"/>
    <w:rsid w:val="00A77639"/>
    <w:rsid w:val="00A94AA5"/>
    <w:rsid w:val="00AA3F47"/>
    <w:rsid w:val="00AB058C"/>
    <w:rsid w:val="00AB3988"/>
    <w:rsid w:val="00AB3C08"/>
    <w:rsid w:val="00AD5482"/>
    <w:rsid w:val="00B13D78"/>
    <w:rsid w:val="00B47FFC"/>
    <w:rsid w:val="00B55D98"/>
    <w:rsid w:val="00B64F28"/>
    <w:rsid w:val="00B65EEF"/>
    <w:rsid w:val="00B91208"/>
    <w:rsid w:val="00BB6EA5"/>
    <w:rsid w:val="00BC6542"/>
    <w:rsid w:val="00BE70D1"/>
    <w:rsid w:val="00C107F4"/>
    <w:rsid w:val="00C128FA"/>
    <w:rsid w:val="00C17808"/>
    <w:rsid w:val="00C63707"/>
    <w:rsid w:val="00C77C49"/>
    <w:rsid w:val="00C81511"/>
    <w:rsid w:val="00C96B6A"/>
    <w:rsid w:val="00CA1F21"/>
    <w:rsid w:val="00CA7C41"/>
    <w:rsid w:val="00CB6E74"/>
    <w:rsid w:val="00CC6EB0"/>
    <w:rsid w:val="00CD73E6"/>
    <w:rsid w:val="00D24A99"/>
    <w:rsid w:val="00D37291"/>
    <w:rsid w:val="00D52FCE"/>
    <w:rsid w:val="00D5453C"/>
    <w:rsid w:val="00D56F6B"/>
    <w:rsid w:val="00D621D0"/>
    <w:rsid w:val="00D77A3C"/>
    <w:rsid w:val="00D805F2"/>
    <w:rsid w:val="00D85CDB"/>
    <w:rsid w:val="00DA135F"/>
    <w:rsid w:val="00DC7844"/>
    <w:rsid w:val="00DE774C"/>
    <w:rsid w:val="00E00937"/>
    <w:rsid w:val="00E01D3A"/>
    <w:rsid w:val="00E2458D"/>
    <w:rsid w:val="00E51CC7"/>
    <w:rsid w:val="00E54EED"/>
    <w:rsid w:val="00E86C58"/>
    <w:rsid w:val="00EA1183"/>
    <w:rsid w:val="00EA3843"/>
    <w:rsid w:val="00EA6014"/>
    <w:rsid w:val="00EA62D7"/>
    <w:rsid w:val="00EA7E01"/>
    <w:rsid w:val="00EB08A9"/>
    <w:rsid w:val="00EC3F83"/>
    <w:rsid w:val="00EF5ED5"/>
    <w:rsid w:val="00F021A1"/>
    <w:rsid w:val="00F05203"/>
    <w:rsid w:val="00F2068D"/>
    <w:rsid w:val="00F33166"/>
    <w:rsid w:val="00F5285A"/>
    <w:rsid w:val="00F53094"/>
    <w:rsid w:val="00F646A1"/>
    <w:rsid w:val="00F83D1C"/>
    <w:rsid w:val="00FA2E3A"/>
    <w:rsid w:val="00FA2EE7"/>
    <w:rsid w:val="00FB1548"/>
    <w:rsid w:val="00FB4B62"/>
    <w:rsid w:val="00FB7A77"/>
    <w:rsid w:val="00FD032E"/>
    <w:rsid w:val="00FD4A7B"/>
    <w:rsid w:val="00FD5EE0"/>
    <w:rsid w:val="00FE5B9D"/>
    <w:rsid w:val="00FF2F64"/>
    <w:rsid w:val="00FF5EA0"/>
    <w:rsid w:val="03FF46F8"/>
    <w:rsid w:val="070519D5"/>
    <w:rsid w:val="07DC36FC"/>
    <w:rsid w:val="08AA603E"/>
    <w:rsid w:val="08CA2837"/>
    <w:rsid w:val="0A323E60"/>
    <w:rsid w:val="0A461515"/>
    <w:rsid w:val="0AD831E7"/>
    <w:rsid w:val="0AE52540"/>
    <w:rsid w:val="0B2E3881"/>
    <w:rsid w:val="0CF40F9C"/>
    <w:rsid w:val="0EF15888"/>
    <w:rsid w:val="113C7F4E"/>
    <w:rsid w:val="127A176A"/>
    <w:rsid w:val="13C6161B"/>
    <w:rsid w:val="13FE3348"/>
    <w:rsid w:val="16B33E43"/>
    <w:rsid w:val="181C5855"/>
    <w:rsid w:val="19F8608D"/>
    <w:rsid w:val="1C6F1AEE"/>
    <w:rsid w:val="1E4C5702"/>
    <w:rsid w:val="1E576A97"/>
    <w:rsid w:val="1EFC317A"/>
    <w:rsid w:val="1FD1227A"/>
    <w:rsid w:val="21CA15BA"/>
    <w:rsid w:val="23805F5D"/>
    <w:rsid w:val="23AD4385"/>
    <w:rsid w:val="23E74C33"/>
    <w:rsid w:val="24136357"/>
    <w:rsid w:val="27274D6D"/>
    <w:rsid w:val="290F0F12"/>
    <w:rsid w:val="2C19452D"/>
    <w:rsid w:val="2CA82B03"/>
    <w:rsid w:val="2D042D03"/>
    <w:rsid w:val="2E8C4480"/>
    <w:rsid w:val="2EED3F38"/>
    <w:rsid w:val="307964C9"/>
    <w:rsid w:val="30F40BA7"/>
    <w:rsid w:val="338147B2"/>
    <w:rsid w:val="34921D00"/>
    <w:rsid w:val="34AC20C7"/>
    <w:rsid w:val="37D509E5"/>
    <w:rsid w:val="38E07FB3"/>
    <w:rsid w:val="3A93645F"/>
    <w:rsid w:val="3AF40B74"/>
    <w:rsid w:val="3AF95225"/>
    <w:rsid w:val="3E83599B"/>
    <w:rsid w:val="3EBE74CE"/>
    <w:rsid w:val="3F5C661A"/>
    <w:rsid w:val="3FEB3EB8"/>
    <w:rsid w:val="40371276"/>
    <w:rsid w:val="41AF7E19"/>
    <w:rsid w:val="421744D1"/>
    <w:rsid w:val="425012F0"/>
    <w:rsid w:val="42A51C2B"/>
    <w:rsid w:val="42E44775"/>
    <w:rsid w:val="45475D7C"/>
    <w:rsid w:val="479D73F7"/>
    <w:rsid w:val="4B8F3130"/>
    <w:rsid w:val="4BF556C1"/>
    <w:rsid w:val="4F8B5508"/>
    <w:rsid w:val="504B4F3C"/>
    <w:rsid w:val="50546DA2"/>
    <w:rsid w:val="526A29C1"/>
    <w:rsid w:val="54CB79D2"/>
    <w:rsid w:val="55126471"/>
    <w:rsid w:val="55D3319D"/>
    <w:rsid w:val="57E3341F"/>
    <w:rsid w:val="58A41150"/>
    <w:rsid w:val="5B367A53"/>
    <w:rsid w:val="5BB9138A"/>
    <w:rsid w:val="5C727963"/>
    <w:rsid w:val="5D721689"/>
    <w:rsid w:val="5FE95136"/>
    <w:rsid w:val="611B2D5E"/>
    <w:rsid w:val="61372C59"/>
    <w:rsid w:val="620A5D9B"/>
    <w:rsid w:val="623F48B3"/>
    <w:rsid w:val="634F6D7E"/>
    <w:rsid w:val="660E7524"/>
    <w:rsid w:val="66FD4A34"/>
    <w:rsid w:val="6777756D"/>
    <w:rsid w:val="6C7526BB"/>
    <w:rsid w:val="6D3A1C18"/>
    <w:rsid w:val="70394C4A"/>
    <w:rsid w:val="7291323F"/>
    <w:rsid w:val="74235E76"/>
    <w:rsid w:val="74B356D7"/>
    <w:rsid w:val="760F3358"/>
    <w:rsid w:val="773158CF"/>
    <w:rsid w:val="77790EFF"/>
    <w:rsid w:val="77FF0C55"/>
    <w:rsid w:val="7CA74AD0"/>
    <w:rsid w:val="7D7F7E81"/>
    <w:rsid w:val="7EB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table" w:customStyle="1" w:styleId="9">
    <w:name w:val="TableGrid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QN</Company>
  <Pages>5</Pages>
  <Words>492</Words>
  <Characters>2811</Characters>
  <Lines>23</Lines>
  <Paragraphs>6</Paragraphs>
  <TotalTime>3</TotalTime>
  <ScaleCrop>false</ScaleCrop>
  <LinksUpToDate>false</LinksUpToDate>
  <CharactersWithSpaces>3297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2025-06-20T09:06:00Z</dcterms:created>
  <dc:creator>HYC_财务部_任艺男</dc:creator>
  <cp:lastModifiedBy>skd</cp:lastModifiedBy>
  <cp:lastPrinted>2025-10-17T05:50:00Z</cp:lastPrinted>
  <dcterms:modified xsi:type="dcterms:W3CDTF">2026-03-17T08:58:44Z</dcterms:modified>
  <dc:title>证券代码：688328                                    证券简称：深科达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