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eastAsia="zh-CN"/>
        </w:rPr>
        <w:t>2026年3月18日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453A9D1">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安信基金管理有限责任公司</w:t>
            </w:r>
            <w:bookmarkStart w:id="0" w:name="_GoBack"/>
            <w:bookmarkEnd w:id="0"/>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2026年3月18日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52ECD8D7">
            <w:pPr>
              <w:pStyle w:val="16"/>
              <w:keepNext w:val="0"/>
              <w:keepLines w:val="0"/>
              <w:suppressLineNumbers w:val="0"/>
              <w:spacing w:before="120" w:beforeLines="50" w:beforeAutospacing="0" w:after="0" w:afterAutospacing="0" w:line="360" w:lineRule="auto"/>
              <w:ind w:left="0" w:right="0"/>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3C3305B2">
            <w:pPr>
              <w:pStyle w:val="18"/>
              <w:spacing w:before="120" w:after="120" w:afterLines="50"/>
              <w:ind w:firstLine="482"/>
              <w:rPr>
                <w:rFonts w:hint="default" w:ascii="Times New Roman" w:hAnsi="Times New Roman" w:cs="Times New Roman"/>
                <w:b/>
                <w:bCs/>
                <w:szCs w:val="24"/>
                <w:lang w:val="en-US"/>
              </w:rPr>
            </w:pPr>
            <w:r>
              <w:rPr>
                <w:rFonts w:hint="default" w:ascii="Times New Roman" w:hAnsi="Times New Roman" w:cs="Times New Roman"/>
                <w:b/>
                <w:bCs/>
                <w:szCs w:val="24"/>
                <w:lang w:val="en-US"/>
              </w:rPr>
              <w:t>一、请介绍一下公司</w:t>
            </w:r>
            <w:r>
              <w:rPr>
                <w:rFonts w:hint="eastAsia" w:cs="Times New Roman"/>
                <w:b/>
                <w:bCs/>
                <w:szCs w:val="24"/>
                <w:lang w:val="en-US" w:eastAsia="zh-CN"/>
              </w:rPr>
              <w:t>2025年度</w:t>
            </w:r>
            <w:r>
              <w:rPr>
                <w:rFonts w:hint="default" w:ascii="Times New Roman" w:hAnsi="Times New Roman" w:cs="Times New Roman"/>
                <w:b/>
                <w:bCs/>
                <w:szCs w:val="24"/>
                <w:lang w:val="en-US" w:eastAsia="zh-CN"/>
              </w:rPr>
              <w:t>经营情况</w:t>
            </w:r>
            <w:r>
              <w:rPr>
                <w:rFonts w:hint="default" w:ascii="Times New Roman" w:hAnsi="Times New Roman" w:cs="Times New Roman"/>
                <w:b/>
                <w:bCs/>
                <w:szCs w:val="24"/>
                <w:lang w:val="en-US"/>
              </w:rPr>
              <w:t>？</w:t>
            </w:r>
          </w:p>
          <w:p w14:paraId="00A00E7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根据公司</w:t>
            </w:r>
            <w:r>
              <w:rPr>
                <w:rFonts w:hint="eastAsia" w:ascii="Times New Roman" w:hAnsi="Times New Roman" w:cs="Times New Roman"/>
                <w:sz w:val="24"/>
                <w:szCs w:val="24"/>
                <w:lang w:val="en-US" w:eastAsia="zh-CN"/>
              </w:rPr>
              <w:t>2025年度</w:t>
            </w:r>
            <w:r>
              <w:rPr>
                <w:rFonts w:hint="default" w:ascii="Times New Roman" w:hAnsi="Times New Roman" w:cs="Times New Roman"/>
                <w:sz w:val="24"/>
                <w:szCs w:val="24"/>
                <w:lang w:val="en-US" w:eastAsia="zh-CN"/>
              </w:rPr>
              <w:t>业绩快报，</w:t>
            </w:r>
            <w:r>
              <w:rPr>
                <w:rFonts w:hint="default" w:ascii="Times New Roman" w:hAnsi="Times New Roman" w:eastAsia="宋体" w:cs="Times New Roman"/>
                <w:sz w:val="24"/>
                <w:szCs w:val="24"/>
              </w:rPr>
              <w:t>公司</w:t>
            </w:r>
            <w:r>
              <w:rPr>
                <w:rFonts w:hint="eastAsia" w:ascii="Times New Roman" w:hAnsi="Times New Roman" w:cs="Times New Roman"/>
                <w:sz w:val="24"/>
                <w:szCs w:val="24"/>
                <w:lang w:eastAsia="zh-CN"/>
              </w:rPr>
              <w:t>2025年度</w:t>
            </w:r>
            <w:r>
              <w:rPr>
                <w:rFonts w:hint="default" w:ascii="Times New Roman" w:hAnsi="Times New Roman" w:eastAsia="宋体" w:cs="Times New Roman"/>
                <w:sz w:val="24"/>
                <w:szCs w:val="24"/>
              </w:rPr>
              <w:t>实现营业收入</w:t>
            </w:r>
            <w:r>
              <w:rPr>
                <w:rFonts w:hint="eastAsia" w:ascii="Times New Roman" w:hAnsi="Times New Roman" w:eastAsia="宋体" w:cs="Times New Roman"/>
                <w:i w:val="0"/>
                <w:iCs w:val="0"/>
                <w:color w:val="000000"/>
                <w:kern w:val="0"/>
                <w:sz w:val="24"/>
                <w:szCs w:val="24"/>
                <w:u w:val="none"/>
                <w:lang w:val="en-US" w:eastAsia="zh-CN" w:bidi="ar"/>
              </w:rPr>
              <w:t>101,445.67</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33.65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；实现营业利润</w:t>
            </w:r>
            <w:r>
              <w:rPr>
                <w:rFonts w:hint="eastAsia" w:ascii="Times New Roman" w:hAnsi="Times New Roman" w:eastAsia="宋体" w:cs="Times New Roman"/>
                <w:i w:val="0"/>
                <w:iCs w:val="0"/>
                <w:color w:val="000000"/>
                <w:kern w:val="0"/>
                <w:sz w:val="24"/>
                <w:szCs w:val="24"/>
                <w:u w:val="none"/>
                <w:lang w:val="en-US" w:eastAsia="zh-CN" w:bidi="ar"/>
              </w:rPr>
              <w:t>21,157.13</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75.77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；实现利润总额</w:t>
            </w:r>
            <w:r>
              <w:rPr>
                <w:rFonts w:hint="eastAsia" w:ascii="Times New Roman" w:hAnsi="Times New Roman" w:eastAsia="宋体" w:cs="Times New Roman"/>
                <w:i w:val="0"/>
                <w:iCs w:val="0"/>
                <w:color w:val="000000"/>
                <w:kern w:val="0"/>
                <w:sz w:val="24"/>
                <w:szCs w:val="24"/>
                <w:u w:val="none"/>
                <w:lang w:val="en-US" w:eastAsia="zh-CN" w:bidi="ar"/>
              </w:rPr>
              <w:t>21,103.15</w:t>
            </w:r>
            <w:r>
              <w:rPr>
                <w:rFonts w:hint="default" w:ascii="Times New Roman" w:hAnsi="Times New Roman" w:eastAsia="宋体" w:cs="Times New Roman"/>
                <w:sz w:val="24"/>
                <w:szCs w:val="24"/>
              </w:rPr>
              <w:t>万元，与去年同期相</w:t>
            </w:r>
            <w:r>
              <w:rPr>
                <w:rFonts w:hint="default" w:ascii="Times New Roman" w:hAnsi="Times New Roman" w:eastAsia="宋体" w:cs="Times New Roman"/>
                <w:sz w:val="24"/>
                <w:szCs w:val="24"/>
                <w:lang w:val="en-US" w:eastAsia="zh-CN"/>
              </w:rPr>
              <w:t>比下降</w:t>
            </w:r>
            <w:r>
              <w:rPr>
                <w:rFonts w:hint="eastAsia" w:ascii="Times New Roman" w:hAnsi="Times New Roman" w:eastAsia="宋体" w:cs="Times New Roman"/>
                <w:i w:val="0"/>
                <w:iCs w:val="0"/>
                <w:color w:val="000000"/>
                <w:kern w:val="0"/>
                <w:sz w:val="24"/>
                <w:szCs w:val="24"/>
                <w:u w:val="none"/>
                <w:lang w:val="en-US" w:eastAsia="zh-CN" w:bidi="ar"/>
              </w:rPr>
              <w:t>75.71</w:t>
            </w:r>
            <w:r>
              <w:rPr>
                <w:rFonts w:hint="default" w:ascii="Times New Roman" w:hAnsi="Times New Roman" w:eastAsia="宋体" w:cs="Times New Roman"/>
                <w:sz w:val="24"/>
                <w:szCs w:val="24"/>
              </w:rPr>
              <w:t>%；实现归属于母公司所有者的净利润</w:t>
            </w:r>
            <w:r>
              <w:rPr>
                <w:rFonts w:hint="eastAsia" w:ascii="Times New Roman" w:hAnsi="Times New Roman" w:eastAsia="宋体" w:cs="Times New Roman"/>
                <w:i w:val="0"/>
                <w:iCs w:val="0"/>
                <w:color w:val="000000"/>
                <w:kern w:val="0"/>
                <w:sz w:val="24"/>
                <w:szCs w:val="24"/>
                <w:u w:val="none"/>
                <w:lang w:val="en-US" w:eastAsia="zh-CN" w:bidi="ar"/>
              </w:rPr>
              <w:t>18,676.29</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74.61</w:t>
            </w:r>
            <w:r>
              <w:rPr>
                <w:rFonts w:hint="default" w:ascii="Times New Roman" w:hAnsi="Times New Roman" w:eastAsia="宋体" w:cs="Times New Roman"/>
                <w:sz w:val="24"/>
                <w:szCs w:val="24"/>
              </w:rPr>
              <w:t>%；实现归属于母公司所有者的扣除非经常性损益的净利润</w:t>
            </w:r>
            <w:r>
              <w:rPr>
                <w:rFonts w:hint="eastAsia" w:ascii="Times New Roman" w:hAnsi="Times New Roman" w:eastAsia="宋体" w:cs="Times New Roman"/>
                <w:i w:val="0"/>
                <w:iCs w:val="0"/>
                <w:color w:val="000000"/>
                <w:kern w:val="0"/>
                <w:sz w:val="24"/>
                <w:szCs w:val="24"/>
                <w:u w:val="none"/>
                <w:lang w:val="en-US" w:eastAsia="zh-CN" w:bidi="ar"/>
              </w:rPr>
              <w:t>18,480.94</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77.17</w:t>
            </w:r>
            <w:r>
              <w:rPr>
                <w:rFonts w:hint="default" w:ascii="Times New Roman" w:hAnsi="Times New Roman" w:eastAsia="宋体" w:cs="Times New Roman"/>
                <w:sz w:val="24"/>
                <w:szCs w:val="24"/>
              </w:rPr>
              <w:t>%。</w:t>
            </w:r>
          </w:p>
          <w:p w14:paraId="78BF4E09">
            <w:pPr>
              <w:pStyle w:val="18"/>
              <w:spacing w:before="120" w:after="120" w:afterLines="50"/>
              <w:ind w:firstLine="482"/>
              <w:rPr>
                <w:b/>
                <w:bCs/>
                <w:szCs w:val="24"/>
                <w:lang w:val="en-US"/>
              </w:rPr>
            </w:pPr>
          </w:p>
          <w:p w14:paraId="2FC79E03">
            <w:pPr>
              <w:pStyle w:val="18"/>
              <w:spacing w:before="120" w:after="120" w:afterLines="50"/>
              <w:ind w:firstLine="482"/>
              <w:rPr>
                <w:b/>
                <w:bCs/>
                <w:szCs w:val="24"/>
                <w:lang w:val="en-US"/>
              </w:rPr>
            </w:pPr>
            <w:r>
              <w:rPr>
                <w:rFonts w:hint="eastAsia"/>
                <w:b/>
                <w:bCs/>
                <w:szCs w:val="24"/>
                <w:lang w:val="en-US"/>
              </w:rPr>
              <w:t>二、请介绍一下影响</w:t>
            </w:r>
            <w:r>
              <w:rPr>
                <w:rFonts w:hint="eastAsia"/>
                <w:b/>
                <w:bCs/>
                <w:szCs w:val="24"/>
                <w:lang w:val="en-US" w:eastAsia="zh-CN"/>
              </w:rPr>
              <w:t>公司2025年度</w:t>
            </w:r>
            <w:r>
              <w:rPr>
                <w:rFonts w:hint="eastAsia"/>
                <w:b/>
                <w:bCs/>
                <w:szCs w:val="24"/>
                <w:lang w:val="en-US"/>
              </w:rPr>
              <w:t>经营业绩的主要因素？</w:t>
            </w:r>
          </w:p>
          <w:p w14:paraId="6F656F59">
            <w:pPr>
              <w:pStyle w:val="18"/>
              <w:spacing w:before="120" w:after="120" w:afterLines="50"/>
              <w:ind w:firstLine="480"/>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根据公司</w:t>
            </w:r>
            <w:r>
              <w:rPr>
                <w:rFonts w:hint="eastAsia" w:cs="Times New Roman"/>
                <w:sz w:val="24"/>
                <w:szCs w:val="24"/>
                <w:lang w:val="en-US" w:eastAsia="zh-CN"/>
              </w:rPr>
              <w:t>2025年度</w:t>
            </w:r>
            <w:r>
              <w:rPr>
                <w:rFonts w:hint="eastAsia" w:ascii="Times New Roman" w:hAnsi="Times New Roman" w:cs="Times New Roman"/>
                <w:sz w:val="24"/>
                <w:szCs w:val="24"/>
                <w:lang w:val="en-US" w:eastAsia="zh-CN"/>
              </w:rPr>
              <w:t>业绩快报，</w:t>
            </w:r>
            <w:r>
              <w:rPr>
                <w:rFonts w:hint="default" w:ascii="Times New Roman" w:hAnsi="Times New Roman" w:eastAsia="宋体" w:cs="Times New Roman"/>
                <w:lang w:val="en-US" w:eastAsia="zh-CN"/>
              </w:rPr>
              <w:t>公司整体经营业绩有所增长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3F2CB8DF">
            <w:pPr>
              <w:pStyle w:val="18"/>
              <w:spacing w:before="120" w:after="120" w:afterLines="50"/>
              <w:ind w:firstLine="480"/>
              <w:rPr>
                <w:rFonts w:hint="default" w:ascii="Times New Roman" w:hAnsi="Times New Roman" w:eastAsia="宋体" w:cs="Times New Roman"/>
                <w:lang w:val="en-US" w:eastAsia="zh-CN"/>
              </w:rPr>
            </w:pPr>
          </w:p>
          <w:p w14:paraId="6D3D1A18">
            <w:pPr>
              <w:numPr>
                <w:ilvl w:val="0"/>
                <w:numId w:val="0"/>
              </w:numPr>
              <w:spacing w:before="120" w:beforeLines="50" w:line="360" w:lineRule="auto"/>
              <w:ind w:firstLine="442" w:firstLineChars="200"/>
              <w:jc w:val="both"/>
              <w:rPr>
                <w:rFonts w:hint="default"/>
                <w:b/>
                <w:bCs/>
                <w:szCs w:val="24"/>
                <w:lang w:val="en-US"/>
              </w:rPr>
            </w:pPr>
            <w:r>
              <w:rPr>
                <w:rFonts w:hint="eastAsia"/>
                <w:b/>
                <w:bCs/>
                <w:szCs w:val="24"/>
                <w:lang w:val="en-US" w:eastAsia="zh-CN"/>
              </w:rPr>
              <w:t>三</w:t>
            </w:r>
            <w:r>
              <w:rPr>
                <w:rFonts w:hint="eastAsia"/>
                <w:b/>
                <w:bCs/>
                <w:szCs w:val="24"/>
                <w:lang w:val="en-US"/>
              </w:rPr>
              <w:t>、</w:t>
            </w:r>
            <w:r>
              <w:rPr>
                <w:rFonts w:hint="eastAsia" w:ascii="Times New Roman" w:hAnsi="Times New Roman" w:cs="Times New Roman"/>
                <w:b/>
                <w:bCs/>
                <w:sz w:val="24"/>
                <w:szCs w:val="24"/>
                <w:lang w:val="en-US" w:eastAsia="zh-CN"/>
              </w:rPr>
              <w:t>请问原材料上涨后公司的应对措施是什么?</w:t>
            </w:r>
          </w:p>
          <w:p w14:paraId="25F59E49">
            <w:pPr>
              <w:pStyle w:val="18"/>
              <w:spacing w:before="120" w:after="120" w:afterLines="50"/>
              <w:ind w:firstLine="482"/>
              <w:rPr>
                <w:rFonts w:hint="default" w:ascii="Times New Roman" w:hAnsi="Times New Roman" w:eastAsia="宋体" w:cs="Times New Roman"/>
                <w:lang w:val="en-US" w:eastAsia="zh-CN"/>
              </w:rPr>
            </w:pPr>
            <w:r>
              <w:rPr>
                <w:rFonts w:hint="eastAsia" w:cs="Times New Roman"/>
                <w:sz w:val="24"/>
                <w:szCs w:val="22"/>
                <w:highlight w:val="none"/>
                <w:lang w:val="en-US" w:eastAsia="zh-CN" w:bidi="zh-CN"/>
              </w:rPr>
              <w:t>公司针对原材料价格波动采取了以下主要措施：（</w:t>
            </w:r>
            <w:r>
              <w:rPr>
                <w:rFonts w:hint="eastAsia" w:ascii="Times New Roman" w:hAnsi="Times New Roman" w:eastAsia="宋体" w:cs="Times New Roman"/>
                <w:sz w:val="24"/>
                <w:szCs w:val="22"/>
                <w:highlight w:val="none"/>
                <w:lang w:val="en-US" w:eastAsia="zh-CN" w:bidi="zh-CN"/>
              </w:rPr>
              <w:t>1</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建立了较为完善的原材料价格跟踪体系，在原材料价格上涨的情形下，一方面公司会与主要原材料供应商签订框架协议、提前预付款锁定价格和数量的方式控制原材料成本支出，取得市场上较为优惠的采购价格；另一方面，公司已采取提前备库的策略，提前储备适量原材料以应对未来可能存在的持续上涨情形；</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2</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在生产成本的基础上结合产品性能、竞品定价、市场行情、客户采购规模、竞争策略等因素确定产品最终售价。针对2025年以来碳化钨等原材料价格持续上涨的情形，公司相应采取多轮涨价措施，目前价格传导顺利。</w:t>
            </w:r>
          </w:p>
          <w:p w14:paraId="5E65A87F">
            <w:pPr>
              <w:pStyle w:val="18"/>
              <w:spacing w:before="120" w:after="120" w:afterLines="50"/>
              <w:ind w:firstLine="482"/>
              <w:rPr>
                <w:b/>
                <w:bCs/>
                <w:szCs w:val="24"/>
                <w:lang w:val="en-US"/>
              </w:rPr>
            </w:pPr>
          </w:p>
          <w:p w14:paraId="46F6FD5F">
            <w:pPr>
              <w:keepNext w:val="0"/>
              <w:keepLines w:val="0"/>
              <w:numPr>
                <w:ilvl w:val="0"/>
                <w:numId w:val="0"/>
              </w:numPr>
              <w:suppressLineNumbers w:val="0"/>
              <w:spacing w:before="120" w:beforeLines="50" w:beforeAutospacing="0" w:after="120" w:afterLines="50" w:afterAutospacing="0" w:line="360" w:lineRule="auto"/>
              <w:ind w:left="0" w:leftChars="0" w:right="0" w:rightChars="0" w:firstLine="482" w:firstLineChars="200"/>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bidi="zh-CN"/>
              </w:rPr>
              <w:t>四</w:t>
            </w:r>
            <w:r>
              <w:rPr>
                <w:rFonts w:hint="eastAsia" w:ascii="Times New Roman" w:hAnsi="Times New Roman" w:eastAsia="宋体" w:cs="Times New Roman"/>
                <w:b/>
                <w:bCs/>
                <w:sz w:val="24"/>
                <w:szCs w:val="24"/>
                <w:lang w:val="zh-CN" w:eastAsia="zh-CN" w:bidi="zh-CN"/>
              </w:rPr>
              <w:t>、</w:t>
            </w:r>
            <w:r>
              <w:rPr>
                <w:rFonts w:hint="default" w:ascii="Times New Roman" w:hAnsi="Times New Roman" w:cs="Times New Roman"/>
                <w:b/>
                <w:bCs/>
                <w:sz w:val="24"/>
                <w:szCs w:val="24"/>
              </w:rPr>
              <w:t>请介绍一下公司销售模式发展情况？</w:t>
            </w:r>
          </w:p>
          <w:p w14:paraId="5EBDDB72">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公司采用经销为主、直销为辅的销售模式。经过多年的生产经营积累，公司已建立了聚焦华南、华东和华北等国内主要数控刀具集散地，覆盖二十余省市的全国性销售网络。此外，公司近年来也积极拓展海外市场，加快全球布局。</w:t>
            </w:r>
          </w:p>
          <w:p w14:paraId="5ABA30BD">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lang w:val="en-US" w:eastAsia="zh-CN" w:bidi="zh-CN"/>
              </w:rPr>
            </w:pPr>
          </w:p>
          <w:p w14:paraId="6F65C084">
            <w:pPr>
              <w:numPr>
                <w:ilvl w:val="0"/>
                <w:numId w:val="0"/>
              </w:numPr>
              <w:spacing w:before="120" w:beforeLines="50" w:line="360" w:lineRule="auto"/>
              <w:ind w:firstLine="482" w:firstLineChars="200"/>
              <w:jc w:val="both"/>
              <w:rPr>
                <w:rFonts w:hint="default"/>
                <w:b/>
                <w:bCs/>
                <w:szCs w:val="24"/>
                <w:lang w:val="en-US"/>
              </w:rPr>
            </w:pPr>
            <w:r>
              <w:rPr>
                <w:rFonts w:hint="eastAsia" w:cs="Times New Roman"/>
                <w:b/>
                <w:bCs/>
                <w:sz w:val="24"/>
                <w:szCs w:val="24"/>
                <w:lang w:val="en-US" w:eastAsia="zh-CN"/>
              </w:rPr>
              <w:t>五、</w:t>
            </w:r>
            <w:r>
              <w:rPr>
                <w:rFonts w:hint="eastAsia" w:cs="Times New Roman"/>
                <w:b/>
                <w:bCs/>
                <w:sz w:val="24"/>
                <w:szCs w:val="24"/>
              </w:rPr>
              <w:t>请问未来几年刀具企业的成长空间主要来自哪些方面？</w:t>
            </w:r>
          </w:p>
          <w:p w14:paraId="700C1F15">
            <w:pPr>
              <w:pStyle w:val="18"/>
              <w:spacing w:before="120" w:after="120" w:afterLines="50"/>
              <w:ind w:firstLine="482"/>
              <w:rPr>
                <w:rFonts w:hint="eastAsia"/>
                <w:szCs w:val="24"/>
                <w:lang w:val="en-US" w:eastAsia="zh-CN"/>
              </w:rPr>
            </w:pPr>
            <w:r>
              <w:rPr>
                <w:rFonts w:hint="eastAsia" w:cs="Times New Roman"/>
                <w:sz w:val="24"/>
                <w:szCs w:val="22"/>
                <w:highlight w:val="none"/>
                <w:lang w:val="en-US" w:eastAsia="zh-CN" w:bidi="zh-CN"/>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eastAsia="zh-CN"/>
              </w:rPr>
              <w:t>2026年3月18日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34AF"/>
    <w:rsid w:val="017E6BCA"/>
    <w:rsid w:val="018C1DA4"/>
    <w:rsid w:val="0192202D"/>
    <w:rsid w:val="0193608E"/>
    <w:rsid w:val="01C90C10"/>
    <w:rsid w:val="01C963AC"/>
    <w:rsid w:val="01D15B17"/>
    <w:rsid w:val="01D60B10"/>
    <w:rsid w:val="01E274B5"/>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CB3A39"/>
    <w:rsid w:val="04E5656E"/>
    <w:rsid w:val="04FE33F0"/>
    <w:rsid w:val="05076DDD"/>
    <w:rsid w:val="05183735"/>
    <w:rsid w:val="05204B33"/>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A23C86"/>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9A6C23"/>
    <w:rsid w:val="12D31BE1"/>
    <w:rsid w:val="13196AAF"/>
    <w:rsid w:val="131B42F0"/>
    <w:rsid w:val="131F061B"/>
    <w:rsid w:val="133241DB"/>
    <w:rsid w:val="13385187"/>
    <w:rsid w:val="135C36DA"/>
    <w:rsid w:val="13721EF7"/>
    <w:rsid w:val="13877EBC"/>
    <w:rsid w:val="13901FF6"/>
    <w:rsid w:val="13A46379"/>
    <w:rsid w:val="13AC327F"/>
    <w:rsid w:val="13BD3271"/>
    <w:rsid w:val="13D61A1C"/>
    <w:rsid w:val="13DB7787"/>
    <w:rsid w:val="13EE1133"/>
    <w:rsid w:val="13F75067"/>
    <w:rsid w:val="13F758F1"/>
    <w:rsid w:val="141A6B9A"/>
    <w:rsid w:val="141C2C8C"/>
    <w:rsid w:val="14276111"/>
    <w:rsid w:val="142D4720"/>
    <w:rsid w:val="14381F31"/>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C11CE"/>
    <w:rsid w:val="155618F4"/>
    <w:rsid w:val="155B6AD0"/>
    <w:rsid w:val="157B57FF"/>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D78E5"/>
    <w:rsid w:val="1B2D7E89"/>
    <w:rsid w:val="1B342F18"/>
    <w:rsid w:val="1B3A5814"/>
    <w:rsid w:val="1B4712E5"/>
    <w:rsid w:val="1B7F1479"/>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1F52015"/>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65471"/>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8A1772"/>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EFC4149"/>
    <w:rsid w:val="2F00025C"/>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EB727A"/>
    <w:rsid w:val="2FF72667"/>
    <w:rsid w:val="3008283B"/>
    <w:rsid w:val="30093CDB"/>
    <w:rsid w:val="300B664D"/>
    <w:rsid w:val="301377D6"/>
    <w:rsid w:val="304A5C33"/>
    <w:rsid w:val="305B5866"/>
    <w:rsid w:val="30601689"/>
    <w:rsid w:val="309013EB"/>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2F06AE"/>
    <w:rsid w:val="37362CDE"/>
    <w:rsid w:val="373936EB"/>
    <w:rsid w:val="373F6235"/>
    <w:rsid w:val="37436757"/>
    <w:rsid w:val="37490E61"/>
    <w:rsid w:val="375515B4"/>
    <w:rsid w:val="375D66BB"/>
    <w:rsid w:val="375E5072"/>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A0301A"/>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27592"/>
    <w:rsid w:val="3E9545FC"/>
    <w:rsid w:val="3E970ED5"/>
    <w:rsid w:val="3EAF0525"/>
    <w:rsid w:val="3EBB38BF"/>
    <w:rsid w:val="3ED5769D"/>
    <w:rsid w:val="3ED95395"/>
    <w:rsid w:val="3EEC74DA"/>
    <w:rsid w:val="3EED2A1A"/>
    <w:rsid w:val="3EED47C8"/>
    <w:rsid w:val="3F0942F2"/>
    <w:rsid w:val="3F2006FA"/>
    <w:rsid w:val="3F2B4BC7"/>
    <w:rsid w:val="3F3643C1"/>
    <w:rsid w:val="3F392BA0"/>
    <w:rsid w:val="3F455BEE"/>
    <w:rsid w:val="3F4F7231"/>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0A26"/>
    <w:rsid w:val="410F554E"/>
    <w:rsid w:val="41124C72"/>
    <w:rsid w:val="41126768"/>
    <w:rsid w:val="41160006"/>
    <w:rsid w:val="41214B61"/>
    <w:rsid w:val="414663AC"/>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55671"/>
    <w:rsid w:val="43A76C9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1654F"/>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9E50EBD"/>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4828CF"/>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D3D5C"/>
    <w:rsid w:val="5A1E6660"/>
    <w:rsid w:val="5A252118"/>
    <w:rsid w:val="5A492AC8"/>
    <w:rsid w:val="5A657F98"/>
    <w:rsid w:val="5A6845A3"/>
    <w:rsid w:val="5A77291D"/>
    <w:rsid w:val="5A90452E"/>
    <w:rsid w:val="5A953545"/>
    <w:rsid w:val="5A957C3F"/>
    <w:rsid w:val="5AA47FD9"/>
    <w:rsid w:val="5AB52371"/>
    <w:rsid w:val="5AFE4495"/>
    <w:rsid w:val="5B0B6FA6"/>
    <w:rsid w:val="5B184523"/>
    <w:rsid w:val="5B1F687B"/>
    <w:rsid w:val="5B322A36"/>
    <w:rsid w:val="5B3C0F82"/>
    <w:rsid w:val="5B4B3830"/>
    <w:rsid w:val="5B5624AD"/>
    <w:rsid w:val="5B597015"/>
    <w:rsid w:val="5B6D2AC1"/>
    <w:rsid w:val="5B70610D"/>
    <w:rsid w:val="5B7B5CBA"/>
    <w:rsid w:val="5B9242D5"/>
    <w:rsid w:val="5B9C7474"/>
    <w:rsid w:val="5B9E0A3B"/>
    <w:rsid w:val="5BA673C2"/>
    <w:rsid w:val="5BAB5397"/>
    <w:rsid w:val="5BAD6B57"/>
    <w:rsid w:val="5BAF30D9"/>
    <w:rsid w:val="5BB701E0"/>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582108"/>
    <w:rsid w:val="747D5D5D"/>
    <w:rsid w:val="74934EEE"/>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4121E0"/>
    <w:rsid w:val="774464EA"/>
    <w:rsid w:val="775070C7"/>
    <w:rsid w:val="775145CF"/>
    <w:rsid w:val="777257BD"/>
    <w:rsid w:val="777A05E8"/>
    <w:rsid w:val="777B66C8"/>
    <w:rsid w:val="77945309"/>
    <w:rsid w:val="77960662"/>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1439</Words>
  <Characters>1541</Characters>
  <Lines>6</Lines>
  <Paragraphs>1</Paragraphs>
  <TotalTime>0</TotalTime>
  <ScaleCrop>false</ScaleCrop>
  <LinksUpToDate>false</LinksUpToDate>
  <CharactersWithSpaces>1654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2026-03-18T02:53:58Z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2052-12.1.0.25225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