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81F5" w14:textId="77777777" w:rsidR="00457EE5" w:rsidRDefault="00000000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证券代码：688045                            证券简称：必易微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57AB7C5A" w14:textId="77777777" w:rsidR="00457EE5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深圳市必易微电子股份有限公司</w:t>
      </w:r>
    </w:p>
    <w:p w14:paraId="2D585530" w14:textId="77777777" w:rsidR="00457EE5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69D1354" w14:textId="77748E35" w:rsidR="00457EE5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编号：2026-</w:t>
      </w:r>
      <w:r w:rsidR="00116F5C">
        <w:rPr>
          <w:rFonts w:ascii="宋体" w:eastAsia="宋体" w:hAnsi="宋体" w:cs="Times New Roman" w:hint="eastAsia"/>
          <w:b/>
          <w:bCs/>
          <w:sz w:val="24"/>
          <w:szCs w:val="24"/>
        </w:rPr>
        <w:t>00</w:t>
      </w:r>
      <w:r w:rsidR="00116F5C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6193"/>
      </w:tblGrid>
      <w:tr w:rsidR="00457EE5" w14:paraId="456BA5CF" w14:textId="77777777">
        <w:tc>
          <w:tcPr>
            <w:tcW w:w="2467" w:type="dxa"/>
          </w:tcPr>
          <w:p w14:paraId="7C56A639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CFE5FC4" w14:textId="77777777" w:rsidR="00457EE5" w:rsidRDefault="00457EE5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23" w:type="dxa"/>
          </w:tcPr>
          <w:p w14:paraId="4F3FD6F5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930BC39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1552F0F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821DC5A" w14:textId="77777777" w:rsidR="00457EE5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362F0439" w14:textId="77777777" w:rsidR="00457EE5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投资者开放日）</w:t>
            </w:r>
          </w:p>
        </w:tc>
      </w:tr>
      <w:tr w:rsidR="00457EE5" w14:paraId="5807E52F" w14:textId="77777777">
        <w:tc>
          <w:tcPr>
            <w:tcW w:w="2467" w:type="dxa"/>
          </w:tcPr>
          <w:p w14:paraId="0E887761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23" w:type="dxa"/>
          </w:tcPr>
          <w:p w14:paraId="7B93A815" w14:textId="77777777" w:rsidR="00457EE5" w:rsidRDefault="0000000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德邦基金、中泰证券、中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、中信证券、广发证券、申万宏源证券、上海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嘉私募基金、华西证券、国信自营、兴业证券、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森锦投资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、华创证券、五矿证券、原点资产、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永赢基金</w:t>
            </w:r>
            <w:proofErr w:type="gramEnd"/>
          </w:p>
        </w:tc>
      </w:tr>
      <w:tr w:rsidR="00457EE5" w14:paraId="773CFAF4" w14:textId="77777777">
        <w:tc>
          <w:tcPr>
            <w:tcW w:w="2467" w:type="dxa"/>
          </w:tcPr>
          <w:p w14:paraId="3A6A3EDA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323" w:type="dxa"/>
          </w:tcPr>
          <w:p w14:paraId="58A15A28" w14:textId="77777777" w:rsidR="00457EE5" w:rsidRDefault="00000000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6年3月18日</w:t>
            </w:r>
          </w:p>
        </w:tc>
      </w:tr>
      <w:tr w:rsidR="00457EE5" w14:paraId="1CFC2F8A" w14:textId="77777777">
        <w:tc>
          <w:tcPr>
            <w:tcW w:w="2467" w:type="dxa"/>
          </w:tcPr>
          <w:p w14:paraId="41407763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323" w:type="dxa"/>
          </w:tcPr>
          <w:p w14:paraId="033785C0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457EE5" w14:paraId="65985D10" w14:textId="77777777">
        <w:tc>
          <w:tcPr>
            <w:tcW w:w="2467" w:type="dxa"/>
          </w:tcPr>
          <w:p w14:paraId="317BCBB5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、上市公司接待人员姓名</w:t>
            </w:r>
          </w:p>
        </w:tc>
        <w:tc>
          <w:tcPr>
            <w:tcW w:w="6323" w:type="dxa"/>
          </w:tcPr>
          <w:p w14:paraId="7D1D5609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谢朋村</w:t>
            </w:r>
            <w:proofErr w:type="gramEnd"/>
          </w:p>
          <w:p w14:paraId="5F852AC5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副总经理、财务负责人、董事会秘书：高雷</w:t>
            </w:r>
          </w:p>
          <w:p w14:paraId="3465078B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兴感半导体总经理：钟小军</w:t>
            </w:r>
          </w:p>
          <w:p w14:paraId="55B92352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付博</w:t>
            </w:r>
            <w:proofErr w:type="gramEnd"/>
          </w:p>
        </w:tc>
      </w:tr>
      <w:tr w:rsidR="00457EE5" w14:paraId="62020254" w14:textId="77777777">
        <w:trPr>
          <w:trHeight w:val="2701"/>
        </w:trPr>
        <w:tc>
          <w:tcPr>
            <w:tcW w:w="2467" w:type="dxa"/>
            <w:vAlign w:val="center"/>
          </w:tcPr>
          <w:p w14:paraId="4AE4A845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23" w:type="dxa"/>
          </w:tcPr>
          <w:p w14:paraId="051A132A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交流的主要问题与回复：</w:t>
            </w:r>
          </w:p>
          <w:p w14:paraId="6E253581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问题1：请介绍公司主营业务与产品布局？</w:t>
            </w:r>
          </w:p>
          <w:p w14:paraId="4FF57E87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公司专注于模拟及数模混合芯片的研发、设计和销售，致力于为用户提供高效能、低功耗、高集成、品质稳定的芯片和解决方案，推动行业的能效提升和技术升级。经过十多年的发展，公司已经拥有包括电源管理、电机驱动、电池管理、信号链及微控制器在内的五大产品矩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阵，广泛应用于消费电子、工业控制、智能物联、数据中心、汽车电子、航空航天等领域，为国内外客户提供一站式芯片解决方案和系统集成服务。</w:t>
            </w:r>
          </w:p>
          <w:p w14:paraId="3F113F1F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以电源管理、电机驱动、电池管理为核心，融合感知与控制技术，将“独特创新，易于使用”的公司理念融入到每颗芯片、每套算法、每行代码里，在电源管理、电机驱动、电池管理系统上构筑了深厚的技术和市场壁垒，通过“三电+感知+控制”的完整链路，形成稳固的技术领先地位与强大的产品矩阵，为能源与电力、家居家电、工业自动化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智能物联等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领域客户提供一站式芯片解决方案与系统集成服务，赢得了持续且强劲的市场竞争力。</w:t>
            </w:r>
          </w:p>
          <w:p w14:paraId="42E1D9A7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问题2：请介绍公司收购兴感半导体的原因？</w:t>
            </w:r>
          </w:p>
          <w:p w14:paraId="22E96626" w14:textId="617A311C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答:2025年，公司基于产业融合、协同发展的目的，完成了对兴感半导体的并购，达成了面向未来的战略性携手和强强联合。兴感半导体在高精度电流传感器、磁传感器等方向拥有核心IP和丰富的产品开发经验，其技术团队在传感器设计、信号处理、数字算法、传感器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封测等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方面具备独特优势，与公司在电源管理、电机驱动、电池管理的架构设计、功率器件驱动、系统控制算法等形成高度互补；此外，兴感半导体在能源与电力、工业自动化、机器人、新能源汽车、航空航天等领域已形成稳定的客户群体，与公司业务布局高度契合。</w:t>
            </w:r>
          </w:p>
          <w:p w14:paraId="2714F27D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问题3：兴感并购后整合的计划和路径？</w:t>
            </w:r>
          </w:p>
          <w:p w14:paraId="3529961C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将保留兴感半导体的基本架构和研发团队，作为传感器产品线独立核算，同时在工艺版图、测试中心、IT管理等集团平台层面对其赋能，在集团统一发展战略下，充分发挥兴感半导体在传感器领域的优势，快速发展、扩大规模。</w:t>
            </w:r>
          </w:p>
          <w:p w14:paraId="5D304F29" w14:textId="61EC3AF8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兴感半导体加入后，公司已形成涵盖“电流检测—运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动感知—电源管理—电池管理—电机驱动”的完整产品体系，成为国内少数可同时提供电流传感器、磁传感器/磁编码器及“三电”核心芯片的集成方案供应商，极大提升在工控、光伏、储能、充电桩、工业电源、机器人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算力中心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新能源汽车、航空航天等高成长市场的竞争力。公司将充分整合双方的市场渠道和客户资源，将电源管理、电机驱动、电池管理等芯片与传感器产品组成整体解决方案，提升客户价值和粘性以增加营业收入，加速在能源与电力、工业自动化、机器人、新能源汽车、航空航天等领域的拓展。</w:t>
            </w:r>
          </w:p>
          <w:p w14:paraId="34472CD0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问题3：公司2025年经营情况如何？</w:t>
            </w:r>
          </w:p>
          <w:p w14:paraId="40A5E2E0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根据公司披露的年度报告，公司2025年度实现扭亏为盈，实现归属于母公司所有者的净利润1,207.54万元，与上年同期相比，将增加盈利2,924.63万元；实现归属于母公司所有者扣除非经常性损益后的净利润-350.27万元，与上年同期相比，将减少亏损4,277.96万元。</w:t>
            </w:r>
          </w:p>
          <w:p w14:paraId="52F85C29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问题4：公司2025年经营情况得到改善的主要原因？</w:t>
            </w:r>
          </w:p>
          <w:p w14:paraId="75DB9274" w14:textId="3E9F2285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答：报告期内，公司坚定“以技术创新为驱动，以市场需求为导向”的发展战略，通过精进设计、升级工艺、优化供应链等方式降低成本，并</w:t>
            </w:r>
            <w:r w:rsidR="001849C3">
              <w:rPr>
                <w:rFonts w:ascii="宋体" w:eastAsia="宋体" w:hAnsi="宋体" w:cs="Times New Roman" w:hint="eastAsia"/>
                <w:sz w:val="24"/>
                <w:szCs w:val="24"/>
              </w:rPr>
              <w:t>灵活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调整产品结构及市场定价策略。得益于此，2025年度，公司综合毛利率攀升至近30%，毛利率水平连续六个季度取得增长，毛利额同比增长近15%，推动公司营业利润大幅增长，实现扭亏为盈。</w:t>
            </w:r>
          </w:p>
          <w:p w14:paraId="36D16C6E" w14:textId="79FC2DC4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此外，公司顺应能源与电力、智能家居、AI、机器人、航空航天等新兴市场领域的需求增长，利用产品性能和客户资源的优势，积极拓展新产品的市场份额，其中电机驱动、大功率电源、DC-DC、LED背光驱动、传感器芯片等产品收入同比增长超过80%，带动公司2025年第四季度收入同比、环比均取得增长。</w:t>
            </w:r>
          </w:p>
          <w:p w14:paraId="7E57A3C7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问题5：请介绍公司发布涨价函的具体原因和范围，是否能传导到下游？</w:t>
            </w:r>
          </w:p>
          <w:p w14:paraId="3A969672" w14:textId="4A7D0368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答:公司一直竭尽全力为客户提供优质可靠的产品和服务，然而目前上游原材料持续不断涨价，产能继续紧缺，原有价格无法满足供货需求，为了保障供应链的长期稳定</w:t>
            </w:r>
            <w:r w:rsidR="001849C3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争取产能</w:t>
            </w:r>
            <w:r w:rsidR="001849C3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保证产品交付，经公司慎重考虑，对产品价格进行上浮调整，具体调整型号和幅度将由公司销售团队与客户分情况具体沟通对接。</w:t>
            </w:r>
          </w:p>
          <w:p w14:paraId="6522119D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问题6：请介绍公司传感器芯片的种类和具体应用？</w:t>
            </w:r>
          </w:p>
          <w:p w14:paraId="548CF3FF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答：兴感半导体加入公司后，公司传感器芯片种类和实力得到进一步加强。公司主要布局磁传感器、电流传感器等，具体如下：</w:t>
            </w:r>
          </w:p>
          <w:p w14:paraId="7A8BBD2E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（1）电流传感器，基于线性霍尔效应实现磁电转换，通过检测聚磁环缺口处磁场变化，芯片将垂直磁场按比例转化为电压输出，反映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原边电流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变化。公司产品具有高集成、高可靠的特性，同时一致性较强，根据不同客户的需求分为0-50A、0-400A、0-1000A三档，主要应用于新能源汽车、工业控制、机器人、新能源发电及电网、储能系统等。</w:t>
            </w:r>
          </w:p>
          <w:p w14:paraId="7B11370C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2）磁传感器，磁传感器是“磁-电”信号转换的核心元件，可用于位移、角度、电流等参数的测量。公司产品覆盖位置传感器、开关传感器、角度传感器、轮速传感器、电子罗盘等，并根据客户需求可集成磁编码器以及编程功能，凭借非接触测量、高可靠性、特殊封装等优势，已渗透至汽车电子、机器人、数据中心等核心场景。公司产品从技术角度主要分为霍尔传感器（Hall Effect）和磁阻效应传感器（</w:t>
            </w:r>
            <w:proofErr w:type="spell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xMR</w:t>
            </w:r>
            <w:proofErr w:type="spell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）：</w:t>
            </w:r>
          </w:p>
          <w:p w14:paraId="49A31FF7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1）霍尔传感器：霍尔传感器基于霍尔效应，借助霍尔元件将垂直磁场、电流等变化转化为电信号，能够进行高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/低电平数字信号输出，便于后端驱动器和微控制器进行数据处理，因此被广泛应用于各种白色家电、工业设备、新能源汽车：</w:t>
            </w:r>
          </w:p>
          <w:p w14:paraId="6B4700FE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）磁阻效应传感器：磁阻效应是指半导体材料通电后，其电阻值随外部磁场变化而改变，可检测平行或特定方向的磁场。公司的磁阻技术涵盖异向磁阻（AMR）、巨磁阻（GMR）、隧穿磁阻（TMR），具有高精度、高灵敏度、低功耗等特点，可用于工业手臂、机器人关节/灵巧手、AR/VR、无人机、医疗和探矿等领域。</w:t>
            </w:r>
          </w:p>
          <w:p w14:paraId="48EB6FCA" w14:textId="77777777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问题7、请问公司在机器人的客户布局和进展？</w:t>
            </w:r>
          </w:p>
          <w:p w14:paraId="396BCC65" w14:textId="77777777" w:rsidR="001849C3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答：公司持续在机器人领域布局，在各类机器人均有客户导入和出货：</w:t>
            </w:r>
          </w:p>
          <w:p w14:paraId="4DE65BD3" w14:textId="38F895AE" w:rsidR="001849C3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1、家用机器人：扫地机器人、洗地机器人等，出货产品为ACDC、磁传感器、电机驱动等，</w:t>
            </w:r>
            <w:r w:rsidR="005A3489">
              <w:rPr>
                <w:rFonts w:ascii="宋体" w:eastAsia="宋体" w:hAnsi="宋体" w:cs="Times New Roman" w:hint="eastAsia"/>
                <w:sz w:val="24"/>
                <w:szCs w:val="24"/>
              </w:rPr>
              <w:t>2025年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出货金额</w:t>
            </w:r>
            <w:r w:rsidR="005A3489">
              <w:rPr>
                <w:rFonts w:ascii="宋体" w:eastAsia="宋体" w:hAnsi="宋体" w:cs="Times New Roman" w:hint="eastAsia"/>
                <w:sz w:val="24"/>
                <w:szCs w:val="24"/>
              </w:rPr>
              <w:t>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500-600万元；</w:t>
            </w:r>
          </w:p>
          <w:p w14:paraId="292D34D2" w14:textId="33931971" w:rsidR="001849C3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2、工业机器人：工业手臂、伺服机器人等，出货产品为电流传感器、磁传感器、电机驱动等，</w:t>
            </w:r>
            <w:r w:rsidR="005A3489" w:rsidRPr="005A3489">
              <w:rPr>
                <w:rFonts w:ascii="宋体" w:eastAsia="宋体" w:hAnsi="宋体" w:cs="Times New Roman" w:hint="eastAsia"/>
                <w:sz w:val="24"/>
                <w:szCs w:val="24"/>
              </w:rPr>
              <w:t>2025年出货金额约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300-500万元；</w:t>
            </w:r>
          </w:p>
          <w:p w14:paraId="16934C1D" w14:textId="2D43C6BD" w:rsidR="00457EE5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3、人形机器人：出货产品为磁传感器、磁编码器等，已有小批量出货。</w:t>
            </w:r>
          </w:p>
        </w:tc>
      </w:tr>
      <w:tr w:rsidR="00457EE5" w14:paraId="079C65E7" w14:textId="77777777">
        <w:tc>
          <w:tcPr>
            <w:tcW w:w="2467" w:type="dxa"/>
            <w:vAlign w:val="center"/>
          </w:tcPr>
          <w:p w14:paraId="4C4EA01C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23" w:type="dxa"/>
          </w:tcPr>
          <w:p w14:paraId="01BFF314" w14:textId="77777777" w:rsidR="00457EE5" w:rsidRDefault="00457EE5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457EE5" w14:paraId="0FDE69DE" w14:textId="77777777">
        <w:tc>
          <w:tcPr>
            <w:tcW w:w="2467" w:type="dxa"/>
            <w:vAlign w:val="center"/>
          </w:tcPr>
          <w:p w14:paraId="013D0928" w14:textId="77777777" w:rsidR="00457EE5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23" w:type="dxa"/>
            <w:vAlign w:val="center"/>
          </w:tcPr>
          <w:p w14:paraId="023F7F5F" w14:textId="77777777" w:rsidR="00457EE5" w:rsidRDefault="00000000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2026年 3月</w:t>
            </w:r>
          </w:p>
        </w:tc>
      </w:tr>
    </w:tbl>
    <w:p w14:paraId="636A789D" w14:textId="77777777" w:rsidR="00457EE5" w:rsidRDefault="00457EE5">
      <w:pPr>
        <w:keepNext/>
        <w:keepLines/>
        <w:spacing w:before="260" w:after="260" w:line="360" w:lineRule="auto"/>
        <w:outlineLvl w:val="1"/>
      </w:pPr>
    </w:p>
    <w:sectPr w:rsidR="0045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058F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16F5C"/>
    <w:rsid w:val="001221B8"/>
    <w:rsid w:val="001304EB"/>
    <w:rsid w:val="001334C1"/>
    <w:rsid w:val="00136BC5"/>
    <w:rsid w:val="00143A57"/>
    <w:rsid w:val="00151B55"/>
    <w:rsid w:val="001672FF"/>
    <w:rsid w:val="001819EF"/>
    <w:rsid w:val="001849C3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C758A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05AF"/>
    <w:rsid w:val="00432964"/>
    <w:rsid w:val="00433835"/>
    <w:rsid w:val="004372DB"/>
    <w:rsid w:val="00457EE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489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EF12AA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3E04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BFD0834"/>
    <w:rsid w:val="0CAF09A7"/>
    <w:rsid w:val="15152076"/>
    <w:rsid w:val="169E7401"/>
    <w:rsid w:val="1A582EA1"/>
    <w:rsid w:val="1AC97284"/>
    <w:rsid w:val="20B806F1"/>
    <w:rsid w:val="2B826F72"/>
    <w:rsid w:val="2F064DB0"/>
    <w:rsid w:val="32242D99"/>
    <w:rsid w:val="38AC4344"/>
    <w:rsid w:val="3B8E3277"/>
    <w:rsid w:val="467F0394"/>
    <w:rsid w:val="4885331C"/>
    <w:rsid w:val="4CF7225E"/>
    <w:rsid w:val="4D6466F2"/>
    <w:rsid w:val="55D27D61"/>
    <w:rsid w:val="5D7E5832"/>
    <w:rsid w:val="5E151E13"/>
    <w:rsid w:val="67306298"/>
    <w:rsid w:val="685428D3"/>
    <w:rsid w:val="6A700CCE"/>
    <w:rsid w:val="74640B0D"/>
    <w:rsid w:val="79445B90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21353"/>
  <w15:docId w15:val="{784792EC-E640-426D-87A3-E0E1A7C9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2">
    <w:name w:val="Revision"/>
    <w:hidden/>
    <w:uiPriority w:val="99"/>
    <w:unhideWhenUsed/>
    <w:rsid w:val="001849C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iris</cp:lastModifiedBy>
  <cp:revision>3</cp:revision>
  <dcterms:created xsi:type="dcterms:W3CDTF">2026-03-20T02:53:00Z</dcterms:created>
  <dcterms:modified xsi:type="dcterms:W3CDTF">2026-03-20T02:53:00Z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2069952CDF9342B881863FC611FB8375</vt:lpwstr>
  </property>
  <property fmtid="{D5CDD505-2E9C-101B-9397-08002B2CF9AE}" pid="4" name="KSOTemplateDocerSaveRecord">
    <vt:lpwstr>eyJoZGlkIjoiODViY2JkMjU3NGYzZTEwMzZmMGFkZWViYmNkYWU3NDIiLCJ1c2VySWQiOiIyOTA3MDU3NjcifQ==</vt:lpwstr>
  </property>
</Properties>
</file>