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4F5A0908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</w:t>
      </w:r>
      <w:r w:rsidR="009E5D51">
        <w:rPr>
          <w:rFonts w:ascii="Arial" w:eastAsia="宋体" w:hAnsi="Arial" w:cs="Arial"/>
          <w:color w:val="auto"/>
        </w:rPr>
        <w:t>6</w:t>
      </w:r>
      <w:r>
        <w:rPr>
          <w:rFonts w:ascii="Arial" w:eastAsia="宋体" w:hAnsi="Arial" w:cs="Arial"/>
          <w:color w:val="auto"/>
        </w:rPr>
        <w:t>-0</w:t>
      </w:r>
      <w:r w:rsidR="009E5D51">
        <w:rPr>
          <w:rFonts w:ascii="Arial" w:eastAsia="宋体" w:hAnsi="Arial" w:cs="Arial"/>
          <w:color w:val="auto"/>
        </w:rPr>
        <w:t>01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6C525C4E" w:rsidR="005D664A" w:rsidRDefault="001803EE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2F9819B5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9E5D51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18ECED32" w:rsidR="005D664A" w:rsidRDefault="001803EE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现场参观            </w:t>
            </w:r>
            <w:bookmarkStart w:id="0" w:name="OLE_LINK1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bookmarkEnd w:id="0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一对一沟通</w:t>
            </w:r>
          </w:p>
          <w:p w14:paraId="4A60AE89" w14:textId="734D9AB4" w:rsidR="005D664A" w:rsidRDefault="009E5D51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="00216B51"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7ABD" w14:textId="3A4B2A73" w:rsidR="008C4245" w:rsidRDefault="008C4245" w:rsidP="008C4245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tbl>
            <w:tblPr>
              <w:tblW w:w="66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4340"/>
            </w:tblGrid>
            <w:tr w:rsidR="0038547E" w:rsidRPr="0038547E" w14:paraId="76E888D6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97A3A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Danny Yung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6DF1F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TX Capital</w:t>
                  </w:r>
                </w:p>
              </w:tc>
            </w:tr>
            <w:tr w:rsidR="0038547E" w:rsidRPr="0038547E" w14:paraId="1EC3B21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68076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付丹婷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0B1F7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北大方正人寿保险有限公司</w:t>
                  </w:r>
                </w:p>
              </w:tc>
            </w:tr>
            <w:tr w:rsidR="0038547E" w:rsidRPr="0038547E" w14:paraId="1EF6FDA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94C2B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蔡峰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00CC6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北京凯读私募基金管理有限公司</w:t>
                  </w:r>
                </w:p>
              </w:tc>
            </w:tr>
            <w:tr w:rsidR="0038547E" w:rsidRPr="0038547E" w14:paraId="6DA517E0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D642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胡康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720E0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博时基金管理有限公司</w:t>
                  </w:r>
                </w:p>
              </w:tc>
            </w:tr>
            <w:tr w:rsidR="0038547E" w:rsidRPr="0038547E" w14:paraId="6AE23DE3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1D8C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郭子琪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6DDA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博时基金管理有限公司</w:t>
                  </w:r>
                </w:p>
              </w:tc>
            </w:tr>
            <w:tr w:rsidR="0038547E" w:rsidRPr="0038547E" w14:paraId="6FB62A7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D0EB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李帅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DAB74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博时基金管理有限公司</w:t>
                  </w:r>
                </w:p>
              </w:tc>
            </w:tr>
            <w:tr w:rsidR="0038547E" w:rsidRPr="0038547E" w14:paraId="45BEDD79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87BA86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姜涵奕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0B6F70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博裕资本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投资管理有限公司</w:t>
                  </w:r>
                </w:p>
              </w:tc>
            </w:tr>
            <w:tr w:rsidR="0038547E" w:rsidRPr="0038547E" w14:paraId="724DEE2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43573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易小金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7637F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财通证券资产管理有限公司</w:t>
                  </w:r>
                </w:p>
              </w:tc>
            </w:tr>
            <w:tr w:rsidR="0038547E" w:rsidRPr="0038547E" w14:paraId="711A8096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B6057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荆昕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C822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草本</w:t>
                  </w:r>
                </w:p>
              </w:tc>
            </w:tr>
            <w:tr w:rsidR="0038547E" w:rsidRPr="0038547E" w14:paraId="75DA8998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C3F9F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张小郭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5891B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创金合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信基金管理有限公司</w:t>
                  </w:r>
                </w:p>
              </w:tc>
            </w:tr>
            <w:tr w:rsidR="0038547E" w:rsidRPr="0038547E" w14:paraId="6886DDF8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DD78F0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梁雪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757E9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创金合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信基金管理有限公司</w:t>
                  </w:r>
                </w:p>
              </w:tc>
            </w:tr>
            <w:tr w:rsidR="0038547E" w:rsidRPr="0038547E" w14:paraId="78C328AE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FE4EE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李晗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24FB2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创金合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信基金管理有限公司</w:t>
                  </w:r>
                </w:p>
              </w:tc>
            </w:tr>
            <w:tr w:rsidR="0038547E" w:rsidRPr="0038547E" w14:paraId="0366C7A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C999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周珂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9E065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东吴证券</w:t>
                  </w:r>
                </w:p>
              </w:tc>
            </w:tr>
            <w:tr w:rsidR="0038547E" w:rsidRPr="0038547E" w14:paraId="362EAC47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06D99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余思贤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D5767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富安达基金管理有限公司</w:t>
                  </w:r>
                </w:p>
              </w:tc>
            </w:tr>
            <w:tr w:rsidR="0038547E" w:rsidRPr="0038547E" w14:paraId="47A7547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3F74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周泉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83718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个人</w:t>
                  </w:r>
                </w:p>
              </w:tc>
            </w:tr>
            <w:tr w:rsidR="0038547E" w:rsidRPr="0038547E" w14:paraId="0666EDE3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5FF57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杨文健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93584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光大保德信基金管理有限公司</w:t>
                  </w:r>
                </w:p>
              </w:tc>
            </w:tr>
            <w:tr w:rsidR="0038547E" w:rsidRPr="0038547E" w14:paraId="1F140978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C0C45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吴远怡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3994F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广发基金管理有限公司</w:t>
                  </w:r>
                </w:p>
              </w:tc>
            </w:tr>
            <w:tr w:rsidR="0038547E" w:rsidRPr="0038547E" w14:paraId="6C0077D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BF63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刘旭明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E2847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国华兴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益保险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资产管理有限公司</w:t>
                  </w:r>
                </w:p>
              </w:tc>
            </w:tr>
            <w:tr w:rsidR="0038547E" w:rsidRPr="0038547E" w14:paraId="1EFB699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0225F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杨立天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77F4E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国联民生</w:t>
                  </w:r>
                </w:p>
              </w:tc>
            </w:tr>
            <w:tr w:rsidR="0038547E" w:rsidRPr="0038547E" w14:paraId="7A63D90F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0F4CC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胡玉峰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1569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国联民生证券股份有限公司</w:t>
                  </w:r>
                </w:p>
              </w:tc>
            </w:tr>
            <w:tr w:rsidR="0038547E" w:rsidRPr="0038547E" w14:paraId="45EDFE6A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B1E7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杨林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1CAB8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国泰海通</w:t>
                  </w:r>
                  <w:proofErr w:type="gramEnd"/>
                </w:p>
              </w:tc>
            </w:tr>
            <w:tr w:rsidR="0038547E" w:rsidRPr="0038547E" w14:paraId="0EED76E0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45F95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宋亮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7BF186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国泰海通</w:t>
                  </w:r>
                  <w:proofErr w:type="gramEnd"/>
                </w:p>
              </w:tc>
            </w:tr>
            <w:tr w:rsidR="0038547E" w:rsidRPr="0038547E" w14:paraId="677420A0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6370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耿军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军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9141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国元证券</w:t>
                  </w:r>
                  <w:proofErr w:type="gramEnd"/>
                </w:p>
              </w:tc>
            </w:tr>
            <w:tr w:rsidR="0038547E" w:rsidRPr="0038547E" w14:paraId="4AFF7297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4808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陈杰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486A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杭州红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骅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投资管理有限公司</w:t>
                  </w:r>
                </w:p>
              </w:tc>
            </w:tr>
            <w:tr w:rsidR="0038547E" w:rsidRPr="0038547E" w14:paraId="710B3D5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DBD93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刘畅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畅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29861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华安基金管理有限公司</w:t>
                  </w:r>
                </w:p>
              </w:tc>
            </w:tr>
            <w:tr w:rsidR="0038547E" w:rsidRPr="0038547E" w14:paraId="76C248FA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3DD40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刘潇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CEAA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华安基金管理有限公司</w:t>
                  </w:r>
                </w:p>
              </w:tc>
            </w:tr>
            <w:tr w:rsidR="0038547E" w:rsidRPr="0038547E" w14:paraId="28D8FC53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76900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吴政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094C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华安基金管理有限公司</w:t>
                  </w:r>
                </w:p>
              </w:tc>
            </w:tr>
            <w:tr w:rsidR="0038547E" w:rsidRPr="0038547E" w14:paraId="58C627A4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54C80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杨振海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B9AF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华富基金管理有限公司</w:t>
                  </w:r>
                </w:p>
              </w:tc>
            </w:tr>
            <w:tr w:rsidR="0038547E" w:rsidRPr="0038547E" w14:paraId="58AA6672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EB93E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吕慧建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69A4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华泰柏瑞基金管理有限公司</w:t>
                  </w:r>
                </w:p>
              </w:tc>
            </w:tr>
            <w:tr w:rsidR="0038547E" w:rsidRPr="0038547E" w14:paraId="7B28F5A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9018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贺雨鑫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C50E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民生证券</w:t>
                  </w:r>
                </w:p>
              </w:tc>
            </w:tr>
            <w:tr w:rsidR="0038547E" w:rsidRPr="0038547E" w14:paraId="27CCBF94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65D19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孙勇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25EB9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明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世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伙伴私募基金管理（珠海）有限公司</w:t>
                  </w:r>
                </w:p>
              </w:tc>
            </w:tr>
            <w:tr w:rsidR="0038547E" w:rsidRPr="0038547E" w14:paraId="19C9243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DE46A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lastRenderedPageBreak/>
                    <w:t>雷志勇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8CC0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摩根士丹利基金管理（中国）有限公司</w:t>
                  </w:r>
                </w:p>
              </w:tc>
            </w:tr>
            <w:tr w:rsidR="0038547E" w:rsidRPr="0038547E" w14:paraId="7CC3A7D0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7EC70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李顺帆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6B6E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诺安基金管理有限公司</w:t>
                  </w:r>
                </w:p>
              </w:tc>
            </w:tr>
            <w:tr w:rsidR="0038547E" w:rsidRPr="0038547E" w14:paraId="34BF1934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09C5F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陈衍鹏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D0BE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诺安基金管理有限公司</w:t>
                  </w:r>
                </w:p>
              </w:tc>
            </w:tr>
            <w:tr w:rsidR="0038547E" w:rsidRPr="0038547E" w14:paraId="12DA54F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36A9C6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曹敏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1BC82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鹏扬基金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356F900E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FB3910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刘冬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C8FBC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鹏扬基金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10E32818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F63A9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季清斌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333E1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平安基金管理有限公司</w:t>
                  </w:r>
                </w:p>
              </w:tc>
            </w:tr>
            <w:tr w:rsidR="0038547E" w:rsidRPr="0038547E" w14:paraId="773CF3C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85EBB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于利强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B0EB3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青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骊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投资管理（上海）有限公司</w:t>
                  </w:r>
                </w:p>
              </w:tc>
            </w:tr>
            <w:tr w:rsidR="0038547E" w:rsidRPr="0038547E" w14:paraId="2B85EFB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61D03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杨爱琳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ED38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青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骊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投资管理（上海）有限公司</w:t>
                  </w:r>
                </w:p>
              </w:tc>
            </w:tr>
            <w:tr w:rsidR="0038547E" w:rsidRPr="0038547E" w14:paraId="0821435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AC54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杨如丰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F27A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厦门市乾行资产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7D0B6C59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20CB8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朱俊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2DB87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上海方御投资管理有限公司</w:t>
                  </w:r>
                </w:p>
              </w:tc>
            </w:tr>
            <w:tr w:rsidR="0038547E" w:rsidRPr="0038547E" w14:paraId="18F25B29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8837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鲁长剑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E89D9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上海非马投资管理有限公司</w:t>
                  </w:r>
                </w:p>
              </w:tc>
            </w:tr>
            <w:tr w:rsidR="0038547E" w:rsidRPr="0038547E" w14:paraId="353D6062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FFB4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田祥光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7896C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上海健顺投资管理有限公司</w:t>
                  </w:r>
                </w:p>
              </w:tc>
            </w:tr>
            <w:tr w:rsidR="0038547E" w:rsidRPr="0038547E" w14:paraId="4F227111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A74E6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吴欣欣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7346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上海犁得尔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私募基金管理有限公司</w:t>
                  </w:r>
                </w:p>
              </w:tc>
            </w:tr>
            <w:tr w:rsidR="0038547E" w:rsidRPr="0038547E" w14:paraId="2361358B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58799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吴刚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3E26B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上海南土资产管理有限公司</w:t>
                  </w:r>
                </w:p>
              </w:tc>
            </w:tr>
            <w:tr w:rsidR="0038547E" w:rsidRPr="0038547E" w14:paraId="692CFFE1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4FEC4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郭国强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7AD3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上海星祎商务咨询中心</w:t>
                  </w:r>
                </w:p>
              </w:tc>
            </w:tr>
            <w:tr w:rsidR="0038547E" w:rsidRPr="0038547E" w14:paraId="6C32F89B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613FF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程跃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FCFC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上海煜德投资管理中心（有限合伙）</w:t>
                  </w:r>
                </w:p>
              </w:tc>
            </w:tr>
            <w:tr w:rsidR="0038547E" w:rsidRPr="0038547E" w14:paraId="0227F60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4120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杨东朔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75B56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上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银基金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4EE99274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16CAF4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姚宏福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4CD0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申万菱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信基金管理有限公司</w:t>
                  </w:r>
                </w:p>
              </w:tc>
            </w:tr>
            <w:tr w:rsidR="0038547E" w:rsidRPr="0038547E" w14:paraId="74BECE18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45F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李凌飞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D7FD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深圳市前海旭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鑫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资产管理有限公司</w:t>
                  </w:r>
                </w:p>
              </w:tc>
            </w:tr>
            <w:tr w:rsidR="0038547E" w:rsidRPr="0038547E" w14:paraId="080D7287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F5713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陶韫琦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6418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太平洋资产管理有限责任公司</w:t>
                  </w:r>
                </w:p>
              </w:tc>
            </w:tr>
            <w:tr w:rsidR="0038547E" w:rsidRPr="0038547E" w14:paraId="3E14BE54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EF504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吴秉韬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7863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泰信基金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6167D46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D667E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李璞玉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5C8BB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天风证券股份有限公司</w:t>
                  </w:r>
                </w:p>
              </w:tc>
            </w:tr>
            <w:tr w:rsidR="0038547E" w:rsidRPr="0038547E" w14:paraId="2693EA4F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D2C3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杨志芳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A72DC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天风证券研究所</w:t>
                  </w:r>
                </w:p>
              </w:tc>
            </w:tr>
            <w:tr w:rsidR="0038547E" w:rsidRPr="0038547E" w14:paraId="7161BCAC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0A95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缪欣君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C99B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天风证券研究所</w:t>
                  </w:r>
                </w:p>
              </w:tc>
            </w:tr>
            <w:tr w:rsidR="0038547E" w:rsidRPr="0038547E" w14:paraId="581B5124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FFF5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陈奕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441D0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天风证券资产管理分公司</w:t>
                  </w:r>
                </w:p>
              </w:tc>
            </w:tr>
            <w:tr w:rsidR="0038547E" w:rsidRPr="0038547E" w14:paraId="6CA7EB72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4AE9E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钟颖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ABA36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天弘基金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405463F5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00769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王坤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15FC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五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矿资本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股份有限公司</w:t>
                  </w:r>
                </w:p>
              </w:tc>
            </w:tr>
            <w:tr w:rsidR="0038547E" w:rsidRPr="0038547E" w14:paraId="020D845F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8B8D5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吴凯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BA81A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信达澳亚基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金管理有限公司</w:t>
                  </w:r>
                </w:p>
              </w:tc>
            </w:tr>
            <w:tr w:rsidR="0038547E" w:rsidRPr="0038547E" w14:paraId="681C27E3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9BEA2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祁禾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7329E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易方达基金管理有限公司</w:t>
                  </w:r>
                </w:p>
              </w:tc>
            </w:tr>
            <w:tr w:rsidR="0038547E" w:rsidRPr="0038547E" w14:paraId="3838F117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3118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堃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34F8C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长江养老保险股份有限公司</w:t>
                  </w:r>
                </w:p>
              </w:tc>
            </w:tr>
            <w:tr w:rsidR="0038547E" w:rsidRPr="0038547E" w14:paraId="43659A00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85D06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袁澎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9D3F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长江证券</w:t>
                  </w:r>
                </w:p>
              </w:tc>
            </w:tr>
            <w:tr w:rsidR="0038547E" w:rsidRPr="0038547E" w14:paraId="42527C71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D1C1BA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司鸿历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01BA3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长江证券</w:t>
                  </w:r>
                </w:p>
              </w:tc>
            </w:tr>
            <w:tr w:rsidR="0038547E" w:rsidRPr="0038547E" w14:paraId="757C46A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7CE36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郭堃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DA76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长盛基金管理有限公司</w:t>
                  </w:r>
                </w:p>
              </w:tc>
            </w:tr>
            <w:tr w:rsidR="0038547E" w:rsidRPr="0038547E" w14:paraId="0EC0EFA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04B64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刘玉萍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490E9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招商证券</w:t>
                  </w:r>
                </w:p>
              </w:tc>
            </w:tr>
            <w:tr w:rsidR="0038547E" w:rsidRPr="0038547E" w14:paraId="20A5AF1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B78469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宣震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5F6B57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浙江美浓资产管理有限公司</w:t>
                  </w:r>
                </w:p>
              </w:tc>
            </w:tr>
            <w:tr w:rsidR="0038547E" w:rsidRPr="0038547E" w14:paraId="42604383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3BC275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刘静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一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9FAA9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浙商证券</w:t>
                  </w:r>
                  <w:proofErr w:type="gramEnd"/>
                </w:p>
              </w:tc>
            </w:tr>
            <w:tr w:rsidR="0038547E" w:rsidRPr="0038547E" w14:paraId="5FC275D3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ADE9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刘雯蜀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0959AF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浙商证券</w:t>
                  </w:r>
                  <w:proofErr w:type="gramEnd"/>
                </w:p>
              </w:tc>
            </w:tr>
            <w:tr w:rsidR="0038547E" w:rsidRPr="0038547E" w14:paraId="18FD904B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2F1C1C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胡迪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562CB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中国国际金融股份有限公司</w:t>
                  </w:r>
                </w:p>
              </w:tc>
            </w:tr>
            <w:tr w:rsidR="0038547E" w:rsidRPr="0038547E" w14:paraId="5C42356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548B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马海林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145D0B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中国国际金融股份有限公司</w:t>
                  </w:r>
                </w:p>
              </w:tc>
            </w:tr>
            <w:tr w:rsidR="0038547E" w:rsidRPr="0038547E" w14:paraId="268CB36A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88CE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孙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浩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中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129938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中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信保诚基金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  <w:tr w:rsidR="0038547E" w:rsidRPr="0038547E" w14:paraId="69423D9E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CBBA94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李楚涵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C1AE22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中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信建投证券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股份有限公司</w:t>
                  </w:r>
                </w:p>
              </w:tc>
            </w:tr>
            <w:tr w:rsidR="0038547E" w:rsidRPr="0038547E" w14:paraId="2F82E68D" w14:textId="77777777" w:rsidTr="0038547E">
              <w:trPr>
                <w:trHeight w:val="280"/>
                <w:jc w:val="center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42CC7D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张令泓</w:t>
                  </w:r>
                  <w:proofErr w:type="gram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AB9513" w14:textId="77777777" w:rsidR="0038547E" w:rsidRPr="0038547E" w:rsidRDefault="0038547E" w:rsidP="0038547E">
                  <w:pPr>
                    <w:spacing w:after="0" w:line="240" w:lineRule="auto"/>
                    <w:rPr>
                      <w:rFonts w:ascii="宋体" w:eastAsia="宋体" w:hAnsi="宋体" w:cs="宋体"/>
                      <w:color w:val="auto"/>
                      <w:kern w:val="0"/>
                    </w:rPr>
                  </w:pPr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中</w:t>
                  </w:r>
                  <w:proofErr w:type="gramStart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银基金</w:t>
                  </w:r>
                  <w:proofErr w:type="gramEnd"/>
                  <w:r w:rsidRPr="0038547E">
                    <w:rPr>
                      <w:rFonts w:ascii="宋体" w:eastAsia="宋体" w:hAnsi="宋体" w:cs="宋体" w:hint="eastAsia"/>
                      <w:color w:val="auto"/>
                      <w:kern w:val="0"/>
                    </w:rPr>
                    <w:t>管理有限公司</w:t>
                  </w:r>
                </w:p>
              </w:tc>
            </w:tr>
          </w:tbl>
          <w:p w14:paraId="46C8C151" w14:textId="47CC8A4F" w:rsidR="003C38AA" w:rsidRPr="00A93F09" w:rsidRDefault="003C38AA" w:rsidP="003C38AA">
            <w:pPr>
              <w:spacing w:after="0" w:line="276" w:lineRule="auto"/>
              <w:jc w:val="center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6B6A6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（注：参会人员信息为依据会议系统提供的信息整理所得）</w:t>
            </w: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610D7864" w:rsidR="00F00292" w:rsidRDefault="009E5D51" w:rsidP="00B72DF7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026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3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22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20:00-21:00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44111EBC" w:rsidR="00004793" w:rsidRDefault="009E5D51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电话会议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59FC" w14:textId="77777777" w:rsidR="00F17972" w:rsidRDefault="001803EE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1803EE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李律</w:t>
            </w:r>
          </w:p>
          <w:p w14:paraId="5EDFF127" w14:textId="2AE17F09" w:rsidR="003C38AA" w:rsidRDefault="003C38AA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投资者关系总监：赵冠捷</w:t>
            </w:r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9842" w14:textId="77777777" w:rsidR="003C38AA" w:rsidRDefault="003C38A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02009B07" w14:textId="39BAE67A" w:rsidR="005D664A" w:rsidRPr="004D6315" w:rsidRDefault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本次投资者关系活动以电话会议的方式进行，接待人员与投资者进行了沟通交流，主要内容如下：</w:t>
            </w:r>
          </w:p>
          <w:p w14:paraId="5336D68F" w14:textId="2B0B0A18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一、公司</w:t>
            </w:r>
            <w:r w:rsidRPr="009E5D51">
              <w:rPr>
                <w:rFonts w:ascii="Arial" w:eastAsia="宋体" w:hAnsi="Arial" w:cs="Arial"/>
                <w:b/>
                <w:bCs/>
              </w:rPr>
              <w:t>2025</w:t>
            </w:r>
            <w:r w:rsidRPr="009E5D51">
              <w:rPr>
                <w:rFonts w:ascii="Arial" w:eastAsia="宋体" w:hAnsi="Arial" w:cs="Arial" w:hint="eastAsia"/>
                <w:b/>
                <w:bCs/>
              </w:rPr>
              <w:t>年年度经营情况介绍</w:t>
            </w:r>
          </w:p>
          <w:p w14:paraId="79D1FBF8" w14:textId="251D51FC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（一）</w:t>
            </w: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年年度的整体经营情况</w:t>
            </w:r>
          </w:p>
          <w:p w14:paraId="07BC5900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年，在国际贸易格局深度调整、政策环境复杂多变的背景下，公司凭借前瞻性全球化布局与战略定力，于市场波动中稳固行业领先地位，积极提升全球市场份额。公司以“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智能化”为核心引擎，形成了覆盖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诊断、智慧充电、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集群三大领域的立体化业务矩阵，打造“硬件终端</w:t>
            </w:r>
            <w:r w:rsidRPr="009E5D51">
              <w:rPr>
                <w:rFonts w:ascii="Arial" w:eastAsia="宋体" w:hAnsi="Arial" w:cs="Arial"/>
              </w:rPr>
              <w:t>+Agent</w:t>
            </w:r>
            <w:r w:rsidRPr="009E5D51">
              <w:rPr>
                <w:rFonts w:ascii="Arial" w:eastAsia="宋体" w:hAnsi="Arial" w:cs="Arial" w:hint="eastAsia"/>
              </w:rPr>
              <w:t>应用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场景解决方案”的协同生态闭环。通过前沿技术突破与商业模式创新双轮驱动，实现了业绩新高。</w:t>
            </w:r>
          </w:p>
          <w:p w14:paraId="5FAF0ADF" w14:textId="2C751C7F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报告期内，公司实现营业收入</w:t>
            </w:r>
            <w:r w:rsidRPr="009E5D51">
              <w:rPr>
                <w:rFonts w:ascii="Arial" w:eastAsia="宋体" w:hAnsi="Arial" w:cs="Arial"/>
              </w:rPr>
              <w:t>48.33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22.9</w:t>
            </w:r>
            <w:r>
              <w:rPr>
                <w:rFonts w:ascii="Arial" w:eastAsia="宋体" w:hAnsi="Arial" w:cs="Arial"/>
              </w:rPr>
              <w:t>0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；实现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归母净利润</w:t>
            </w:r>
            <w:proofErr w:type="gramEnd"/>
            <w:r w:rsidRPr="009E5D51">
              <w:rPr>
                <w:rFonts w:ascii="Arial" w:eastAsia="宋体" w:hAnsi="Arial" w:cs="Arial"/>
              </w:rPr>
              <w:t>9.3</w:t>
            </w:r>
            <w:r>
              <w:rPr>
                <w:rFonts w:ascii="Arial" w:eastAsia="宋体" w:hAnsi="Arial" w:cs="Arial" w:hint="eastAsia"/>
              </w:rPr>
              <w:t>6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46</w:t>
            </w:r>
            <w:r>
              <w:rPr>
                <w:rFonts w:ascii="Arial" w:eastAsia="宋体" w:hAnsi="Arial" w:cs="Arial" w:hint="eastAsia"/>
              </w:rPr>
              <w:t>.</w:t>
            </w:r>
            <w:r>
              <w:rPr>
                <w:rFonts w:ascii="Arial" w:eastAsia="宋体" w:hAnsi="Arial" w:cs="Arial"/>
              </w:rPr>
              <w:t>02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；实现归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母扣非净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利润</w:t>
            </w:r>
            <w:r w:rsidRPr="009E5D51">
              <w:rPr>
                <w:rFonts w:ascii="Arial" w:eastAsia="宋体" w:hAnsi="Arial" w:cs="Arial"/>
              </w:rPr>
              <w:t>8.</w:t>
            </w:r>
            <w:r>
              <w:rPr>
                <w:rFonts w:ascii="Arial" w:eastAsia="宋体" w:hAnsi="Arial" w:cs="Arial"/>
              </w:rPr>
              <w:t>69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>
              <w:rPr>
                <w:rFonts w:ascii="Arial" w:eastAsia="宋体" w:hAnsi="Arial" w:cs="Arial" w:hint="eastAsia"/>
              </w:rPr>
              <w:t>6</w:t>
            </w:r>
            <w:r>
              <w:rPr>
                <w:rFonts w:ascii="Arial" w:eastAsia="宋体" w:hAnsi="Arial" w:cs="Arial"/>
              </w:rPr>
              <w:t>0.67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。通过成本端精细化管理，综合毛利率同比提升约</w:t>
            </w:r>
            <w:r w:rsidRPr="009E5D51">
              <w:rPr>
                <w:rFonts w:ascii="Arial" w:eastAsia="宋体" w:hAnsi="Arial" w:cs="Arial"/>
              </w:rPr>
              <w:t>1</w:t>
            </w:r>
            <w:r w:rsidRPr="009E5D51">
              <w:rPr>
                <w:rFonts w:ascii="Arial" w:eastAsia="宋体" w:hAnsi="Arial" w:cs="Arial" w:hint="eastAsia"/>
              </w:rPr>
              <w:t>个百分点；同时，进一步深化全面预算管理，提升投入产出比，期间费用率（剔除股份支付后）同比下降</w:t>
            </w:r>
            <w:r w:rsidRPr="009E5D51">
              <w:rPr>
                <w:rFonts w:ascii="Arial" w:eastAsia="宋体" w:hAnsi="Arial" w:cs="Arial"/>
              </w:rPr>
              <w:t>4.6</w:t>
            </w:r>
            <w:r w:rsidRPr="009E5D51">
              <w:rPr>
                <w:rFonts w:ascii="Arial" w:eastAsia="宋体" w:hAnsi="Arial" w:cs="Arial" w:hint="eastAsia"/>
              </w:rPr>
              <w:t>个百分点。</w:t>
            </w:r>
          </w:p>
          <w:p w14:paraId="2D57832A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（二）业务板块经营亮点</w:t>
            </w:r>
          </w:p>
          <w:p w14:paraId="114FBC7A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1</w:t>
            </w:r>
            <w:r w:rsidRPr="009E5D51">
              <w:rPr>
                <w:rFonts w:ascii="Arial" w:eastAsia="宋体" w:hAnsi="Arial" w:cs="Arial" w:hint="eastAsia"/>
              </w:rPr>
              <w:t>、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诊断业务</w:t>
            </w:r>
          </w:p>
          <w:p w14:paraId="5FDF22F4" w14:textId="352E7FED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年，公司维修智能终端实现营业收入约</w:t>
            </w:r>
            <w:r w:rsidRPr="009E5D51">
              <w:rPr>
                <w:rFonts w:ascii="Arial" w:eastAsia="宋体" w:hAnsi="Arial" w:cs="Arial"/>
              </w:rPr>
              <w:t>29.80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15.83%</w:t>
            </w:r>
            <w:r w:rsidRPr="009E5D51">
              <w:rPr>
                <w:rFonts w:ascii="Arial" w:eastAsia="宋体" w:hAnsi="Arial" w:cs="Arial" w:hint="eastAsia"/>
              </w:rPr>
              <w:t>，毛利率同比提高</w:t>
            </w:r>
            <w:r w:rsidRPr="009E5D51">
              <w:rPr>
                <w:rFonts w:ascii="Arial" w:eastAsia="宋体" w:hAnsi="Arial" w:cs="Arial"/>
              </w:rPr>
              <w:t>1.</w:t>
            </w:r>
            <w:r w:rsidR="0038547E">
              <w:rPr>
                <w:rFonts w:ascii="Arial" w:eastAsia="宋体" w:hAnsi="Arial" w:cs="Arial"/>
              </w:rPr>
              <w:t>25</w:t>
            </w:r>
            <w:r w:rsidRPr="009E5D51">
              <w:rPr>
                <w:rFonts w:ascii="Arial" w:eastAsia="宋体" w:hAnsi="Arial" w:cs="Arial" w:hint="eastAsia"/>
              </w:rPr>
              <w:t>个百分点。其中，汽车综合诊断产品实现收入</w:t>
            </w:r>
            <w:r w:rsidRPr="009E5D51">
              <w:rPr>
                <w:rFonts w:ascii="Arial" w:eastAsia="宋体" w:hAnsi="Arial" w:cs="Arial"/>
              </w:rPr>
              <w:t>13.92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9.83%</w:t>
            </w:r>
            <w:r w:rsidRPr="009E5D51">
              <w:rPr>
                <w:rFonts w:ascii="Arial" w:eastAsia="宋体" w:hAnsi="Arial" w:cs="Arial" w:hint="eastAsia"/>
              </w:rPr>
              <w:t>；</w:t>
            </w:r>
            <w:r w:rsidRPr="009E5D51">
              <w:rPr>
                <w:rFonts w:ascii="Arial" w:eastAsia="宋体" w:hAnsi="Arial" w:cs="Arial"/>
              </w:rPr>
              <w:t>TPMS</w:t>
            </w:r>
            <w:r w:rsidRPr="009E5D51">
              <w:rPr>
                <w:rFonts w:ascii="Arial" w:eastAsia="宋体" w:hAnsi="Arial" w:cs="Arial" w:hint="eastAsia"/>
              </w:rPr>
              <w:t>系列产品实现收入</w:t>
            </w:r>
            <w:r w:rsidRPr="009E5D51">
              <w:rPr>
                <w:rFonts w:ascii="Arial" w:eastAsia="宋体" w:hAnsi="Arial" w:cs="Arial"/>
              </w:rPr>
              <w:t>10.07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42.73%</w:t>
            </w:r>
            <w:r w:rsidRPr="009E5D51">
              <w:rPr>
                <w:rFonts w:ascii="Arial" w:eastAsia="宋体" w:hAnsi="Arial" w:cs="Arial" w:hint="eastAsia"/>
              </w:rPr>
              <w:t>；</w:t>
            </w:r>
            <w:r w:rsidRPr="009E5D51">
              <w:rPr>
                <w:rFonts w:ascii="Arial" w:eastAsia="宋体" w:hAnsi="Arial" w:cs="Arial"/>
              </w:rPr>
              <w:t>ADAS</w:t>
            </w:r>
            <w:r w:rsidRPr="009E5D51">
              <w:rPr>
                <w:rFonts w:ascii="Arial" w:eastAsia="宋体" w:hAnsi="Arial" w:cs="Arial" w:hint="eastAsia"/>
              </w:rPr>
              <w:t>标定产品实现收入</w:t>
            </w:r>
            <w:r w:rsidRPr="009E5D51">
              <w:rPr>
                <w:rFonts w:ascii="Arial" w:eastAsia="宋体" w:hAnsi="Arial" w:cs="Arial"/>
              </w:rPr>
              <w:t>3.81</w:t>
            </w:r>
            <w:r w:rsidRPr="009E5D51">
              <w:rPr>
                <w:rFonts w:ascii="Arial" w:eastAsia="宋体" w:hAnsi="Arial" w:cs="Arial" w:hint="eastAsia"/>
              </w:rPr>
              <w:t>亿元。</w:t>
            </w:r>
          </w:p>
          <w:p w14:paraId="0E4CC2AF" w14:textId="7389E5FD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lastRenderedPageBreak/>
              <w:t>诊断相关的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及软件相关服务实现收入</w:t>
            </w:r>
            <w:r w:rsidRPr="009E5D51">
              <w:rPr>
                <w:rFonts w:ascii="Arial" w:eastAsia="宋体" w:hAnsi="Arial" w:cs="Arial"/>
              </w:rPr>
              <w:t>5.30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18.87%</w:t>
            </w:r>
            <w:r w:rsidRPr="009E5D51">
              <w:rPr>
                <w:rFonts w:ascii="Arial" w:eastAsia="宋体" w:hAnsi="Arial" w:cs="Arial" w:hint="eastAsia"/>
              </w:rPr>
              <w:t>，毛利率维持</w:t>
            </w:r>
            <w:r w:rsidRPr="009E5D51">
              <w:rPr>
                <w:rFonts w:ascii="Arial" w:eastAsia="宋体" w:hAnsi="Arial" w:cs="Arial"/>
              </w:rPr>
              <w:t>99%</w:t>
            </w:r>
            <w:r w:rsidRPr="009E5D51">
              <w:rPr>
                <w:rFonts w:ascii="Arial" w:eastAsia="宋体" w:hAnsi="Arial" w:cs="Arial" w:hint="eastAsia"/>
              </w:rPr>
              <w:t>以上，成为驱动业务增长的重要动力，印证了公司“硬件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软件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服务”商业模式的可持续性与高盈利性。</w:t>
            </w:r>
          </w:p>
          <w:p w14:paraId="31D57776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报告期内，公司推出了自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的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数智车辆诊断垂域</w:t>
            </w:r>
            <w:proofErr w:type="gramEnd"/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模型，开发了针对电动汽车的电池诊断技术，持续通过核心技术突破，引领行业发展。</w:t>
            </w:r>
          </w:p>
          <w:p w14:paraId="7D66A522" w14:textId="54C57BF2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在产品层面，公司集中推出新一代综合诊断终端</w:t>
            </w:r>
            <w:r w:rsidRPr="009E5D51">
              <w:rPr>
                <w:rFonts w:ascii="Arial" w:eastAsia="宋体" w:hAnsi="Arial" w:cs="Arial"/>
              </w:rPr>
              <w:t>Ultra S2</w:t>
            </w:r>
            <w:r w:rsidRPr="009E5D51">
              <w:rPr>
                <w:rFonts w:ascii="Arial" w:eastAsia="宋体" w:hAnsi="Arial" w:cs="Arial" w:hint="eastAsia"/>
              </w:rPr>
              <w:t>、</w:t>
            </w:r>
            <w:r w:rsidRPr="009E5D51">
              <w:rPr>
                <w:rFonts w:ascii="Arial" w:eastAsia="宋体" w:hAnsi="Arial" w:cs="Arial"/>
              </w:rPr>
              <w:t>ADAS</w:t>
            </w:r>
            <w:r w:rsidRPr="009E5D51">
              <w:rPr>
                <w:rFonts w:ascii="Arial" w:eastAsia="宋体" w:hAnsi="Arial" w:cs="Arial" w:hint="eastAsia"/>
              </w:rPr>
              <w:t>标定主架</w:t>
            </w:r>
            <w:r w:rsidRPr="009E5D51">
              <w:rPr>
                <w:rFonts w:ascii="Arial" w:eastAsia="宋体" w:hAnsi="Arial" w:cs="Arial"/>
              </w:rPr>
              <w:t>IA1000</w:t>
            </w:r>
            <w:r w:rsidRPr="009E5D51">
              <w:rPr>
                <w:rFonts w:ascii="Arial" w:eastAsia="宋体" w:hAnsi="Arial" w:cs="Arial" w:hint="eastAsia"/>
              </w:rPr>
              <w:t>及商用车</w:t>
            </w:r>
            <w:r w:rsidRPr="009E5D51">
              <w:rPr>
                <w:rFonts w:ascii="Arial" w:eastAsia="宋体" w:hAnsi="Arial" w:cs="Arial"/>
              </w:rPr>
              <w:t>TPMS</w:t>
            </w:r>
            <w:r w:rsidRPr="009E5D51">
              <w:rPr>
                <w:rFonts w:ascii="Arial" w:eastAsia="宋体" w:hAnsi="Arial" w:cs="Arial" w:hint="eastAsia"/>
              </w:rPr>
              <w:t>解决方案，构建覆盖乘用车与商用车、诊断与标定、硬件与服务的完整产品体系，全面适配行业智能化升级需求。</w:t>
            </w:r>
          </w:p>
          <w:p w14:paraId="65DA0342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</w:t>
            </w:r>
            <w:r w:rsidRPr="009E5D51">
              <w:rPr>
                <w:rFonts w:ascii="Arial" w:eastAsia="宋体" w:hAnsi="Arial" w:cs="Arial" w:hint="eastAsia"/>
              </w:rPr>
              <w:t>、智慧充电业务</w:t>
            </w:r>
          </w:p>
          <w:p w14:paraId="77BBE931" w14:textId="52ED837A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年，公司能源智能中枢实现收入</w:t>
            </w:r>
            <w:r w:rsidRPr="009E5D51">
              <w:rPr>
                <w:rFonts w:ascii="Arial" w:eastAsia="宋体" w:hAnsi="Arial" w:cs="Arial"/>
              </w:rPr>
              <w:t>12.42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43</w:t>
            </w:r>
            <w:r>
              <w:rPr>
                <w:rFonts w:ascii="Arial" w:eastAsia="宋体" w:hAnsi="Arial" w:cs="Arial"/>
              </w:rPr>
              <w:t>.83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，毛利率同比增加近</w:t>
            </w:r>
            <w:r w:rsidRPr="009E5D51">
              <w:rPr>
                <w:rFonts w:ascii="Arial" w:eastAsia="宋体" w:hAnsi="Arial" w:cs="Arial"/>
              </w:rPr>
              <w:t>4</w:t>
            </w:r>
            <w:r w:rsidRPr="009E5D51">
              <w:rPr>
                <w:rFonts w:ascii="Arial" w:eastAsia="宋体" w:hAnsi="Arial" w:cs="Arial" w:hint="eastAsia"/>
              </w:rPr>
              <w:t>个百分点。</w:t>
            </w:r>
          </w:p>
          <w:p w14:paraId="7EEE046B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报告期内，公司推出了自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的</w:t>
            </w:r>
            <w:r w:rsidRPr="009E5D51">
              <w:rPr>
                <w:rFonts w:ascii="Arial" w:eastAsia="宋体" w:hAnsi="Arial" w:cs="Arial"/>
              </w:rPr>
              <w:t>60kW/120kW</w:t>
            </w:r>
            <w:r w:rsidRPr="009E5D51">
              <w:rPr>
                <w:rFonts w:ascii="Arial" w:eastAsia="宋体" w:hAnsi="Arial" w:cs="Arial" w:hint="eastAsia"/>
              </w:rPr>
              <w:t>液冷功率模块，核心指标达到行业领先水平。随着未来公司自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模块逐步导入，毛利率有望进一步提升。</w:t>
            </w:r>
          </w:p>
          <w:p w14:paraId="0C2C7463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同时，公司还推出了新一代</w:t>
            </w:r>
            <w:proofErr w:type="spellStart"/>
            <w:r w:rsidRPr="009E5D51">
              <w:rPr>
                <w:rFonts w:ascii="Arial" w:eastAsia="宋体" w:hAnsi="Arial" w:cs="Arial"/>
              </w:rPr>
              <w:t>MaxiCharger</w:t>
            </w:r>
            <w:proofErr w:type="spellEnd"/>
            <w:r w:rsidRPr="009E5D51">
              <w:rPr>
                <w:rFonts w:ascii="Arial" w:eastAsia="宋体" w:hAnsi="Arial" w:cs="Arial"/>
              </w:rPr>
              <w:t xml:space="preserve"> </w:t>
            </w:r>
            <w:r w:rsidRPr="009E5D51">
              <w:rPr>
                <w:rFonts w:ascii="Arial" w:eastAsia="宋体" w:hAnsi="Arial" w:cs="Arial" w:hint="eastAsia"/>
              </w:rPr>
              <w:t>全系列产品，包括全液冷超充，形成从功率模块到充电智能中枢的端到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端整体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解决方案。</w:t>
            </w:r>
          </w:p>
          <w:p w14:paraId="7561AC58" w14:textId="53EE8415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在充电相关的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及软件方面，以</w:t>
            </w:r>
            <w:r w:rsidRPr="009E5D51">
              <w:rPr>
                <w:rFonts w:ascii="Arial" w:eastAsia="宋体" w:hAnsi="Arial" w:cs="Arial"/>
              </w:rPr>
              <w:t>AI Agents</w:t>
            </w:r>
            <w:r w:rsidRPr="009E5D51">
              <w:rPr>
                <w:rFonts w:ascii="Arial" w:eastAsia="宋体" w:hAnsi="Arial" w:cs="Arial" w:hint="eastAsia"/>
              </w:rPr>
              <w:t>为核心，持续深化智慧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充电垂域</w:t>
            </w:r>
            <w:proofErr w:type="gramEnd"/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模型，推进</w:t>
            </w:r>
            <w:proofErr w:type="spellStart"/>
            <w:r w:rsidRPr="009E5D51">
              <w:rPr>
                <w:rFonts w:ascii="Arial" w:eastAsia="宋体" w:hAnsi="Arial" w:cs="Arial"/>
              </w:rPr>
              <w:t>Autel</w:t>
            </w:r>
            <w:proofErr w:type="spellEnd"/>
            <w:r w:rsidRPr="009E5D51">
              <w:rPr>
                <w:rFonts w:ascii="Arial" w:eastAsia="宋体" w:hAnsi="Arial" w:cs="Arial"/>
              </w:rPr>
              <w:t xml:space="preserve"> Charge Cloud</w:t>
            </w:r>
            <w:r w:rsidRPr="009E5D51">
              <w:rPr>
                <w:rFonts w:ascii="Arial" w:eastAsia="宋体" w:hAnsi="Arial" w:cs="Arial" w:hint="eastAsia"/>
              </w:rPr>
              <w:t>能力升级，正式发布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智能员工矩阵，推动平台向更智能化的运营中枢演进，在收益优化、运维效率、支付便利性和能源调度等方面持续提升客户价值。根据各类客户至</w:t>
            </w:r>
            <w:r w:rsidRPr="009E5D51">
              <w:rPr>
                <w:rFonts w:ascii="Arial" w:eastAsia="宋体" w:hAnsi="Arial" w:cs="Arial"/>
              </w:rPr>
              <w:t>2030</w:t>
            </w:r>
            <w:r w:rsidRPr="009E5D51">
              <w:rPr>
                <w:rFonts w:ascii="Arial" w:eastAsia="宋体" w:hAnsi="Arial" w:cs="Arial" w:hint="eastAsia"/>
              </w:rPr>
              <w:t>年电动化规划，预计未来订单支撑公司智慧充电业务中长期的高速增长。</w:t>
            </w:r>
          </w:p>
          <w:p w14:paraId="3F1D9757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3</w:t>
            </w:r>
            <w:r w:rsidRPr="009E5D51">
              <w:rPr>
                <w:rFonts w:ascii="Arial" w:eastAsia="宋体" w:hAnsi="Arial" w:cs="Arial" w:hint="eastAsia"/>
              </w:rPr>
              <w:t>、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</w:t>
            </w:r>
          </w:p>
          <w:p w14:paraId="5C9D19B0" w14:textId="7CD9BF00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公司于</w:t>
            </w:r>
            <w:r w:rsidRPr="009E5D51">
              <w:rPr>
                <w:rFonts w:ascii="Arial" w:eastAsia="宋体" w:hAnsi="Arial" w:cs="Arial"/>
              </w:rPr>
              <w:t>2024</w:t>
            </w:r>
            <w:r w:rsidRPr="009E5D51">
              <w:rPr>
                <w:rFonts w:ascii="Arial" w:eastAsia="宋体" w:hAnsi="Arial" w:cs="Arial" w:hint="eastAsia"/>
              </w:rPr>
              <w:t>年</w:t>
            </w:r>
            <w:r w:rsidRPr="009E5D51">
              <w:rPr>
                <w:rFonts w:ascii="Arial" w:eastAsia="宋体" w:hAnsi="Arial" w:cs="Arial"/>
              </w:rPr>
              <w:t>11</w:t>
            </w:r>
            <w:r w:rsidRPr="009E5D51">
              <w:rPr>
                <w:rFonts w:ascii="Arial" w:eastAsia="宋体" w:hAnsi="Arial" w:cs="Arial" w:hint="eastAsia"/>
              </w:rPr>
              <w:t>月正式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布局具身智能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集群业务。报告期内，公司已构建起“技术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产品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市场”的完整闭环，核心竞争力持续凸显。</w:t>
            </w:r>
          </w:p>
          <w:p w14:paraId="11EF49FC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在核心技术方面，公司已构建“核心技术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一体化方案”的完整能力，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涵盖具身机器人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技术、集群智慧巡检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系列垂域模型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、及“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一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超多强”架构的多智能体集群调度技术，为方案落地提供坚实支撑。</w:t>
            </w:r>
          </w:p>
          <w:p w14:paraId="23F6023E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在解决方案方面，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公司具身智能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集群解决方案可适配能源、交通枢纽、工业园区等多场景，核心为“具身智能体</w:t>
            </w:r>
            <w:r w:rsidRPr="009E5D51">
              <w:rPr>
                <w:rFonts w:ascii="Arial" w:eastAsia="宋体" w:hAnsi="Arial" w:cs="Arial"/>
              </w:rPr>
              <w:t>+AI</w:t>
            </w:r>
            <w:r w:rsidRPr="009E5D51">
              <w:rPr>
                <w:rFonts w:ascii="Arial" w:eastAsia="宋体" w:hAnsi="Arial" w:cs="Arial" w:hint="eastAsia"/>
              </w:rPr>
              <w:t>应用平台”架构：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体作为物理载体，具备自主导航、多场景适配能力；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应用平台（</w:t>
            </w:r>
            <w:r w:rsidRPr="009E5D51">
              <w:rPr>
                <w:rFonts w:ascii="Arial" w:eastAsia="宋体" w:hAnsi="Arial" w:cs="Arial"/>
              </w:rPr>
              <w:t>Hub</w:t>
            </w:r>
            <w:r w:rsidRPr="009E5D51">
              <w:rPr>
                <w:rFonts w:ascii="Arial" w:eastAsia="宋体" w:hAnsi="Arial" w:cs="Arial" w:hint="eastAsia"/>
              </w:rPr>
              <w:t>、</w:t>
            </w:r>
            <w:r w:rsidRPr="009E5D51">
              <w:rPr>
                <w:rFonts w:ascii="Arial" w:eastAsia="宋体" w:hAnsi="Arial" w:cs="Arial"/>
              </w:rPr>
              <w:t>AIP</w:t>
            </w:r>
            <w:r w:rsidRPr="009E5D51">
              <w:rPr>
                <w:rFonts w:ascii="Arial" w:eastAsia="宋体" w:hAnsi="Arial" w:cs="Arial" w:hint="eastAsia"/>
              </w:rPr>
              <w:t>、数据平台）</w:t>
            </w:r>
            <w:r w:rsidRPr="009E5D51">
              <w:rPr>
                <w:rFonts w:ascii="Arial" w:eastAsia="宋体" w:hAnsi="Arial" w:cs="Arial" w:hint="eastAsia"/>
              </w:rPr>
              <w:lastRenderedPageBreak/>
              <w:t>实现智能体管理、低代码开发、数据全生命周期管理等功能，形成“硬件执行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平台赋能”闭环。</w:t>
            </w:r>
          </w:p>
          <w:p w14:paraId="2FC0D91E" w14:textId="4881617B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14563083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二、接待人员就投资者关注的问题进行了沟通和交流，主要问答情况如下：</w:t>
            </w:r>
          </w:p>
          <w:p w14:paraId="498FD88C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</w:t>
            </w:r>
            <w:proofErr w:type="gramStart"/>
            <w:r w:rsidRPr="009E5D51">
              <w:rPr>
                <w:rFonts w:ascii="Arial" w:eastAsia="宋体" w:hAnsi="Arial" w:cs="Arial" w:hint="eastAsia"/>
                <w:b/>
                <w:bCs/>
              </w:rPr>
              <w:t>一</w:t>
            </w:r>
            <w:proofErr w:type="gramEnd"/>
            <w:r w:rsidRPr="009E5D51">
              <w:rPr>
                <w:rFonts w:ascii="Arial" w:eastAsia="宋体" w:hAnsi="Arial" w:cs="Arial" w:hint="eastAsia"/>
                <w:b/>
                <w:bCs/>
              </w:rPr>
              <w:t>：公司目前的战略规划如何？</w:t>
            </w:r>
          </w:p>
          <w:p w14:paraId="2E734D39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回复：道通科技是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诊断、智慧能源的全球领导者，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是具身智能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集群的先行者，致力于为全球客户提供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驱动、软硬件深度融合的产品解决方案，为人类社会的智能未来持续创造价值。</w:t>
            </w:r>
          </w:p>
          <w:p w14:paraId="18665FCC" w14:textId="28ECDEAA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公司将持续以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智能化为核心，以“垂域模型”以及“诊断智能终端、智慧智能中枢、具身智能机器人”为两翼，形成覆盖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诊断、智慧充电、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集群三大领域的立体化产品矩阵，打造“硬件终端</w:t>
            </w:r>
            <w:r w:rsidRPr="009E5D51">
              <w:rPr>
                <w:rFonts w:ascii="Arial" w:eastAsia="宋体" w:hAnsi="Arial" w:cs="Arial"/>
              </w:rPr>
              <w:t>+Agent</w:t>
            </w:r>
            <w:r w:rsidRPr="009E5D51">
              <w:rPr>
                <w:rFonts w:ascii="Arial" w:eastAsia="宋体" w:hAnsi="Arial" w:cs="Arial" w:hint="eastAsia"/>
              </w:rPr>
              <w:t>应用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场景解决方案”的协同生态，最终实现</w:t>
            </w:r>
            <w:r>
              <w:rPr>
                <w:rFonts w:ascii="Arial" w:eastAsia="宋体" w:hAnsi="Arial" w:cs="Arial" w:hint="eastAsia"/>
              </w:rPr>
              <w:t>“</w:t>
            </w:r>
            <w:r w:rsidRPr="009E5D51">
              <w:rPr>
                <w:rFonts w:ascii="Arial" w:eastAsia="宋体" w:hAnsi="Arial" w:cs="Arial" w:hint="eastAsia"/>
              </w:rPr>
              <w:t>硬件入口</w:t>
            </w:r>
            <w:r w:rsidRPr="009E5D51">
              <w:rPr>
                <w:rFonts w:ascii="Arial" w:eastAsia="宋体" w:hAnsi="Arial" w:cs="Arial"/>
              </w:rPr>
              <w:t xml:space="preserve"> + </w:t>
            </w:r>
            <w:r w:rsidRPr="009E5D51">
              <w:rPr>
                <w:rFonts w:ascii="Arial" w:eastAsia="宋体" w:hAnsi="Arial" w:cs="Arial" w:hint="eastAsia"/>
              </w:rPr>
              <w:t>软件授权</w:t>
            </w:r>
            <w:r w:rsidRPr="009E5D51">
              <w:rPr>
                <w:rFonts w:ascii="Arial" w:eastAsia="宋体" w:hAnsi="Arial" w:cs="Arial"/>
              </w:rPr>
              <w:t xml:space="preserve"> + AI TOKEN</w:t>
            </w:r>
            <w:r w:rsidRPr="009E5D51">
              <w:rPr>
                <w:rFonts w:ascii="Arial" w:eastAsia="宋体" w:hAnsi="Arial" w:cs="Arial" w:hint="eastAsia"/>
              </w:rPr>
              <w:t>调用收费”的平台化模式。通过前沿技术和商业模式创新重塑业务格局，以实现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驱动的业绩稳健增长。</w:t>
            </w:r>
          </w:p>
          <w:p w14:paraId="2A75D1A7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04F8C485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问题二：</w:t>
            </w:r>
            <w:r w:rsidRPr="009E5D51">
              <w:rPr>
                <w:rFonts w:ascii="Arial" w:eastAsia="宋体" w:hAnsi="Arial" w:cs="Arial"/>
                <w:b/>
                <w:bCs/>
              </w:rPr>
              <w:t xml:space="preserve"> </w:t>
            </w:r>
            <w:proofErr w:type="gramStart"/>
            <w:r w:rsidRPr="009E5D51">
              <w:rPr>
                <w:rFonts w:ascii="Arial" w:eastAsia="宋体" w:hAnsi="Arial" w:cs="Arial" w:hint="eastAsia"/>
                <w:b/>
                <w:bCs/>
              </w:rPr>
              <w:t>具身智能</w:t>
            </w:r>
            <w:proofErr w:type="gramEnd"/>
            <w:r w:rsidRPr="009E5D51">
              <w:rPr>
                <w:rFonts w:ascii="Arial" w:eastAsia="宋体" w:hAnsi="Arial" w:cs="Arial" w:hint="eastAsia"/>
                <w:b/>
                <w:bCs/>
              </w:rPr>
              <w:t>集群业务增长的驱动力是什么？</w:t>
            </w:r>
          </w:p>
          <w:p w14:paraId="5697D56B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</w:t>
            </w: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年，公司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在具身智能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集群业务领域已构建起“技术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产品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市场”的完整闭环，核心竞争力持续凸显，为规模化拓展奠定坚实基础。</w:t>
            </w:r>
          </w:p>
          <w:p w14:paraId="19E33F11" w14:textId="4C36B4C5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2026</w:t>
            </w:r>
            <w:r w:rsidRPr="009E5D51">
              <w:rPr>
                <w:rFonts w:ascii="Arial" w:eastAsia="宋体" w:hAnsi="Arial" w:cs="Arial" w:hint="eastAsia"/>
              </w:rPr>
              <w:t>年，公司将强化</w:t>
            </w:r>
            <w:r w:rsidRPr="009E5D51">
              <w:rPr>
                <w:rFonts w:ascii="Arial" w:eastAsia="宋体" w:hAnsi="Arial" w:cs="Arial"/>
              </w:rPr>
              <w:t>Hub</w:t>
            </w:r>
            <w:r w:rsidRPr="009E5D51">
              <w:rPr>
                <w:rFonts w:ascii="Arial" w:eastAsia="宋体" w:hAnsi="Arial" w:cs="Arial" w:hint="eastAsia"/>
              </w:rPr>
              <w:t>平台的生态能力</w:t>
            </w:r>
            <w:r>
              <w:rPr>
                <w:rFonts w:ascii="Arial" w:eastAsia="宋体" w:hAnsi="Arial" w:cs="Arial" w:hint="eastAsia"/>
              </w:rPr>
              <w:t>，</w:t>
            </w:r>
            <w:r w:rsidRPr="009E5D51">
              <w:rPr>
                <w:rFonts w:ascii="Arial" w:eastAsia="宋体" w:hAnsi="Arial" w:cs="Arial" w:hint="eastAsia"/>
              </w:rPr>
              <w:t>支持用户自由接入并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集群化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管理不同品牌、不同形态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的具身机器人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，并开展集群自主作业。同时，持续强化</w:t>
            </w:r>
            <w:r w:rsidRPr="009E5D51">
              <w:rPr>
                <w:rFonts w:ascii="Arial" w:eastAsia="宋体" w:hAnsi="Arial" w:cs="Arial"/>
              </w:rPr>
              <w:t xml:space="preserve"> AIP</w:t>
            </w:r>
            <w:r w:rsidRPr="009E5D51">
              <w:rPr>
                <w:rFonts w:ascii="Arial" w:eastAsia="宋体" w:hAnsi="Arial" w:cs="Arial" w:hint="eastAsia"/>
              </w:rPr>
              <w:t>平台，赋能客户构建更多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面向垂域场景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的</w:t>
            </w:r>
            <w:r w:rsidRPr="009E5D51">
              <w:rPr>
                <w:rFonts w:ascii="Arial" w:eastAsia="宋体" w:hAnsi="Arial" w:cs="Arial"/>
              </w:rPr>
              <w:t>AI Agent</w:t>
            </w:r>
            <w:r w:rsidRPr="009E5D51">
              <w:rPr>
                <w:rFonts w:ascii="Arial" w:eastAsia="宋体" w:hAnsi="Arial" w:cs="Arial" w:hint="eastAsia"/>
              </w:rPr>
              <w:t>矩阵；推进</w:t>
            </w:r>
            <w:r w:rsidRPr="009E5D51">
              <w:rPr>
                <w:rFonts w:ascii="Arial" w:eastAsia="宋体" w:hAnsi="Arial" w:cs="Arial"/>
              </w:rPr>
              <w:t>token</w:t>
            </w:r>
            <w:r w:rsidRPr="009E5D51">
              <w:rPr>
                <w:rFonts w:ascii="Arial" w:eastAsia="宋体" w:hAnsi="Arial" w:cs="Arial" w:hint="eastAsia"/>
              </w:rPr>
              <w:t>使用量的持续性收费模式，提升相关</w:t>
            </w:r>
            <w:r w:rsidRPr="009E5D51">
              <w:rPr>
                <w:rFonts w:ascii="Arial" w:eastAsia="宋体" w:hAnsi="Arial" w:cs="Arial"/>
              </w:rPr>
              <w:t>Agents</w:t>
            </w:r>
            <w:r w:rsidRPr="009E5D51">
              <w:rPr>
                <w:rFonts w:ascii="Arial" w:eastAsia="宋体" w:hAnsi="Arial" w:cs="Arial" w:hint="eastAsia"/>
              </w:rPr>
              <w:t>应用的收费及盈利能力。</w:t>
            </w:r>
          </w:p>
          <w:p w14:paraId="3DF736CF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4FFE6F8D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问题三：智慧充电业务如何应对各国在电力设备相关的监管差异？储</w:t>
            </w:r>
            <w:proofErr w:type="gramStart"/>
            <w:r w:rsidRPr="009E5D51">
              <w:rPr>
                <w:rFonts w:ascii="Arial" w:eastAsia="宋体" w:hAnsi="Arial" w:cs="Arial" w:hint="eastAsia"/>
                <w:b/>
                <w:bCs/>
              </w:rPr>
              <w:t>充项目</w:t>
            </w:r>
            <w:proofErr w:type="gramEnd"/>
            <w:r w:rsidRPr="009E5D51">
              <w:rPr>
                <w:rFonts w:ascii="Arial" w:eastAsia="宋体" w:hAnsi="Arial" w:cs="Arial" w:hint="eastAsia"/>
                <w:b/>
                <w:bCs/>
              </w:rPr>
              <w:t>进展如何？</w:t>
            </w:r>
          </w:p>
          <w:p w14:paraId="6F0A5195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回复：各国在电网规则、接口标准、并网要求上存在显著差异，因此智慧充电业务落地不仅是技术问题，更是本地销售、技术支持和交付等能力的综合考验。</w:t>
            </w:r>
          </w:p>
          <w:p w14:paraId="79E8A767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lastRenderedPageBreak/>
              <w:t>公司始终坚持全球化布局，秉持“全球创新、全球市场、全球制造”的核心理念，构建起覆盖研发、销售、制造的全链路体系。依托在全球设立的直属销售子公司与本地化服务团队，公司已构建了覆盖北美、欧洲、亚太、南美等</w:t>
            </w:r>
            <w:r w:rsidRPr="009E5D51">
              <w:rPr>
                <w:rFonts w:ascii="Arial" w:eastAsia="宋体" w:hAnsi="Arial" w:cs="Arial"/>
              </w:rPr>
              <w:t>120</w:t>
            </w:r>
            <w:r w:rsidRPr="009E5D51">
              <w:rPr>
                <w:rFonts w:ascii="Arial" w:eastAsia="宋体" w:hAnsi="Arial" w:cs="Arial" w:hint="eastAsia"/>
              </w:rPr>
              <w:t>多个国家和地区的营销服务网络，可快速洞察各区域的市场趋势与客户痛点，实现从需求对接、产品开发到售后服务的全周期敏捷响应。</w:t>
            </w:r>
          </w:p>
          <w:p w14:paraId="3AE178A5" w14:textId="69C1D370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在北美市场的电力应用场景，公司已与多家美国州立及区域电力公司达成合作，合作区域涵盖内华达州、加利福尼亚州、德克萨斯州等能源需求最为集中的地区，通过“智能充电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储能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能源优化”一体化能力，其中与内华达州</w:t>
            </w:r>
            <w:r w:rsidRPr="009E5D51">
              <w:rPr>
                <w:rFonts w:ascii="Arial" w:eastAsia="宋体" w:hAnsi="Arial" w:cs="Arial"/>
              </w:rPr>
              <w:t>N</w:t>
            </w:r>
            <w:r w:rsidRPr="009E5D51">
              <w:rPr>
                <w:rFonts w:ascii="Arial" w:eastAsia="宋体" w:hAnsi="Arial" w:cs="Arial" w:hint="eastAsia"/>
              </w:rPr>
              <w:t>公司合作的项目，为极端天气</w:t>
            </w:r>
            <w:proofErr w:type="gramStart"/>
            <w:r w:rsidRPr="009E5D51">
              <w:rPr>
                <w:rFonts w:ascii="Arial" w:eastAsia="宋体" w:hAnsi="Arial" w:cs="Arial" w:hint="eastAsia"/>
              </w:rPr>
              <w:t>下数据</w:t>
            </w:r>
            <w:proofErr w:type="gramEnd"/>
            <w:r w:rsidRPr="009E5D51">
              <w:rPr>
                <w:rFonts w:ascii="Arial" w:eastAsia="宋体" w:hAnsi="Arial" w:cs="Arial" w:hint="eastAsia"/>
              </w:rPr>
              <w:t>中心和工业用电的稳定性提供了保障。凭借具备模块化复制扩展能力的“储能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超充</w:t>
            </w:r>
            <w:r w:rsidRPr="009E5D51">
              <w:rPr>
                <w:rFonts w:ascii="Arial" w:eastAsia="宋体" w:hAnsi="Arial" w:cs="Arial"/>
              </w:rPr>
              <w:t>+EMS”</w:t>
            </w:r>
            <w:r w:rsidRPr="009E5D51">
              <w:rPr>
                <w:rFonts w:ascii="Arial" w:eastAsia="宋体" w:hAnsi="Arial" w:cs="Arial" w:hint="eastAsia"/>
              </w:rPr>
              <w:t>系统，为后续合作从单点试点走向规模化铺开打下基础。截至</w:t>
            </w: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年年底，公司已在北美开工打造</w:t>
            </w:r>
            <w:r w:rsidRPr="009E5D51">
              <w:rPr>
                <w:rFonts w:ascii="Arial" w:eastAsia="宋体" w:hAnsi="Arial" w:cs="Arial"/>
              </w:rPr>
              <w:t>6</w:t>
            </w:r>
            <w:r w:rsidRPr="009E5D51">
              <w:rPr>
                <w:rFonts w:ascii="Arial" w:eastAsia="宋体" w:hAnsi="Arial" w:cs="Arial" w:hint="eastAsia"/>
              </w:rPr>
              <w:t>个储能</w:t>
            </w:r>
            <w:r w:rsidRPr="009E5D51">
              <w:rPr>
                <w:rFonts w:ascii="Arial" w:eastAsia="宋体" w:hAnsi="Arial" w:cs="Arial"/>
              </w:rPr>
              <w:t xml:space="preserve"> + </w:t>
            </w:r>
            <w:r w:rsidRPr="009E5D51">
              <w:rPr>
                <w:rFonts w:ascii="Arial" w:eastAsia="宋体" w:hAnsi="Arial" w:cs="Arial" w:hint="eastAsia"/>
              </w:rPr>
              <w:t>超充标杆项目。目前已有</w:t>
            </w:r>
            <w:r w:rsidRPr="009E5D51">
              <w:rPr>
                <w:rFonts w:ascii="Arial" w:eastAsia="宋体" w:hAnsi="Arial" w:cs="Arial"/>
              </w:rPr>
              <w:t>1</w:t>
            </w:r>
            <w:r w:rsidRPr="009E5D51">
              <w:rPr>
                <w:rFonts w:ascii="Arial" w:eastAsia="宋体" w:hAnsi="Arial" w:cs="Arial" w:hint="eastAsia"/>
              </w:rPr>
              <w:t>个站点完工，未来计划将方案标准化并在美国大量推广，并规划在</w:t>
            </w:r>
            <w:r w:rsidRPr="009E5D51">
              <w:rPr>
                <w:rFonts w:ascii="Arial" w:eastAsia="宋体" w:hAnsi="Arial" w:cs="Arial"/>
              </w:rPr>
              <w:t>2026</w:t>
            </w:r>
            <w:r w:rsidRPr="009E5D51">
              <w:rPr>
                <w:rFonts w:ascii="Arial" w:eastAsia="宋体" w:hAnsi="Arial" w:cs="Arial" w:hint="eastAsia"/>
              </w:rPr>
              <w:t>年对大型充电站开展超</w:t>
            </w:r>
            <w:r w:rsidRPr="009E5D51">
              <w:rPr>
                <w:rFonts w:ascii="Arial" w:eastAsia="宋体" w:hAnsi="Arial" w:cs="Arial"/>
              </w:rPr>
              <w:t>5</w:t>
            </w:r>
            <w:r w:rsidRPr="009E5D51">
              <w:rPr>
                <w:rFonts w:ascii="Arial" w:eastAsia="宋体" w:hAnsi="Arial" w:cs="Arial" w:hint="eastAsia"/>
              </w:rPr>
              <w:t>兆瓦时的储能项目。</w:t>
            </w:r>
          </w:p>
          <w:p w14:paraId="764A5F7E" w14:textId="34E11B4F" w:rsidR="009E5D51" w:rsidRPr="004D6315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3526" w14:textId="77777777" w:rsidR="00521F11" w:rsidRDefault="00521F11" w:rsidP="00EB5708">
      <w:pPr>
        <w:spacing w:after="0" w:line="240" w:lineRule="auto"/>
      </w:pPr>
      <w:r>
        <w:separator/>
      </w:r>
    </w:p>
  </w:endnote>
  <w:endnote w:type="continuationSeparator" w:id="0">
    <w:p w14:paraId="157CD429" w14:textId="77777777" w:rsidR="00521F11" w:rsidRDefault="00521F11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10F8" w14:textId="77777777" w:rsidR="00521F11" w:rsidRDefault="00521F11" w:rsidP="00EB5708">
      <w:pPr>
        <w:spacing w:after="0" w:line="240" w:lineRule="auto"/>
      </w:pPr>
      <w:r>
        <w:separator/>
      </w:r>
    </w:p>
  </w:footnote>
  <w:footnote w:type="continuationSeparator" w:id="0">
    <w:p w14:paraId="42221DE0" w14:textId="77777777" w:rsidR="00521F11" w:rsidRDefault="00521F11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158E0"/>
    <w:rsid w:val="00021595"/>
    <w:rsid w:val="0002289F"/>
    <w:rsid w:val="00041EBA"/>
    <w:rsid w:val="000A7278"/>
    <w:rsid w:val="000A7CDE"/>
    <w:rsid w:val="000B7BC9"/>
    <w:rsid w:val="000D5619"/>
    <w:rsid w:val="000D75F4"/>
    <w:rsid w:val="00106843"/>
    <w:rsid w:val="001115FF"/>
    <w:rsid w:val="0012028D"/>
    <w:rsid w:val="0013605F"/>
    <w:rsid w:val="00144123"/>
    <w:rsid w:val="00161456"/>
    <w:rsid w:val="00163FD5"/>
    <w:rsid w:val="001803EE"/>
    <w:rsid w:val="001947A5"/>
    <w:rsid w:val="0019793B"/>
    <w:rsid w:val="001A3E54"/>
    <w:rsid w:val="001A56C8"/>
    <w:rsid w:val="001B19F0"/>
    <w:rsid w:val="001C06D9"/>
    <w:rsid w:val="001E5825"/>
    <w:rsid w:val="00203091"/>
    <w:rsid w:val="0020687A"/>
    <w:rsid w:val="00211B95"/>
    <w:rsid w:val="00216B51"/>
    <w:rsid w:val="00217A40"/>
    <w:rsid w:val="00223270"/>
    <w:rsid w:val="00233A40"/>
    <w:rsid w:val="00237F9D"/>
    <w:rsid w:val="00241E63"/>
    <w:rsid w:val="00251C27"/>
    <w:rsid w:val="002E1177"/>
    <w:rsid w:val="00323FBD"/>
    <w:rsid w:val="0033533F"/>
    <w:rsid w:val="0038547E"/>
    <w:rsid w:val="003B554B"/>
    <w:rsid w:val="003B6297"/>
    <w:rsid w:val="003C38AA"/>
    <w:rsid w:val="003D224A"/>
    <w:rsid w:val="003E313C"/>
    <w:rsid w:val="0040467C"/>
    <w:rsid w:val="004109CD"/>
    <w:rsid w:val="004235DB"/>
    <w:rsid w:val="00436266"/>
    <w:rsid w:val="004446E7"/>
    <w:rsid w:val="004554C6"/>
    <w:rsid w:val="0047657D"/>
    <w:rsid w:val="004824B1"/>
    <w:rsid w:val="004B3B69"/>
    <w:rsid w:val="004C256B"/>
    <w:rsid w:val="004C4F60"/>
    <w:rsid w:val="004D49B0"/>
    <w:rsid w:val="004D6315"/>
    <w:rsid w:val="004E0BD4"/>
    <w:rsid w:val="004E15FD"/>
    <w:rsid w:val="005039D0"/>
    <w:rsid w:val="00520C4A"/>
    <w:rsid w:val="00521F11"/>
    <w:rsid w:val="0054356B"/>
    <w:rsid w:val="00560C3F"/>
    <w:rsid w:val="00594C54"/>
    <w:rsid w:val="005A6CDF"/>
    <w:rsid w:val="005A791D"/>
    <w:rsid w:val="005B683A"/>
    <w:rsid w:val="005C303B"/>
    <w:rsid w:val="005C485D"/>
    <w:rsid w:val="005D664A"/>
    <w:rsid w:val="005E3B3F"/>
    <w:rsid w:val="00601DE0"/>
    <w:rsid w:val="006044D5"/>
    <w:rsid w:val="00660C0B"/>
    <w:rsid w:val="00661962"/>
    <w:rsid w:val="006760EF"/>
    <w:rsid w:val="006925FC"/>
    <w:rsid w:val="00693340"/>
    <w:rsid w:val="006B2BFA"/>
    <w:rsid w:val="006B6A68"/>
    <w:rsid w:val="006D428A"/>
    <w:rsid w:val="006D45E7"/>
    <w:rsid w:val="006E7E75"/>
    <w:rsid w:val="006F55A8"/>
    <w:rsid w:val="00721DCF"/>
    <w:rsid w:val="00723F1B"/>
    <w:rsid w:val="00725CC7"/>
    <w:rsid w:val="007515D9"/>
    <w:rsid w:val="00752EF2"/>
    <w:rsid w:val="007873F1"/>
    <w:rsid w:val="0079287D"/>
    <w:rsid w:val="00796B91"/>
    <w:rsid w:val="00797803"/>
    <w:rsid w:val="007C30B5"/>
    <w:rsid w:val="007C6110"/>
    <w:rsid w:val="007E4B1D"/>
    <w:rsid w:val="007F0F10"/>
    <w:rsid w:val="00810A2C"/>
    <w:rsid w:val="00810BE5"/>
    <w:rsid w:val="00822B82"/>
    <w:rsid w:val="00830B93"/>
    <w:rsid w:val="00844DAE"/>
    <w:rsid w:val="008530FA"/>
    <w:rsid w:val="008531C7"/>
    <w:rsid w:val="00860716"/>
    <w:rsid w:val="008614C5"/>
    <w:rsid w:val="00862FD1"/>
    <w:rsid w:val="0086731E"/>
    <w:rsid w:val="00867E96"/>
    <w:rsid w:val="00876CE9"/>
    <w:rsid w:val="008925F3"/>
    <w:rsid w:val="008A7157"/>
    <w:rsid w:val="008B087D"/>
    <w:rsid w:val="008B16B8"/>
    <w:rsid w:val="008C0EB6"/>
    <w:rsid w:val="008C4245"/>
    <w:rsid w:val="008D0BCD"/>
    <w:rsid w:val="00930348"/>
    <w:rsid w:val="009317B5"/>
    <w:rsid w:val="0094455E"/>
    <w:rsid w:val="00952D1A"/>
    <w:rsid w:val="00967931"/>
    <w:rsid w:val="00993E6F"/>
    <w:rsid w:val="009A4735"/>
    <w:rsid w:val="009B698C"/>
    <w:rsid w:val="009D5B4F"/>
    <w:rsid w:val="009E5D51"/>
    <w:rsid w:val="009F78F8"/>
    <w:rsid w:val="00A210F8"/>
    <w:rsid w:val="00A25E2D"/>
    <w:rsid w:val="00A421EB"/>
    <w:rsid w:val="00A505E7"/>
    <w:rsid w:val="00A52232"/>
    <w:rsid w:val="00A53C3B"/>
    <w:rsid w:val="00A55FC9"/>
    <w:rsid w:val="00A93F09"/>
    <w:rsid w:val="00AC3C2F"/>
    <w:rsid w:val="00AD640F"/>
    <w:rsid w:val="00AF49AB"/>
    <w:rsid w:val="00AF7559"/>
    <w:rsid w:val="00B04314"/>
    <w:rsid w:val="00B176FA"/>
    <w:rsid w:val="00B26CA1"/>
    <w:rsid w:val="00B31515"/>
    <w:rsid w:val="00B72DF7"/>
    <w:rsid w:val="00B83438"/>
    <w:rsid w:val="00BB4870"/>
    <w:rsid w:val="00BD00EF"/>
    <w:rsid w:val="00C075F8"/>
    <w:rsid w:val="00C40897"/>
    <w:rsid w:val="00C534E9"/>
    <w:rsid w:val="00C60789"/>
    <w:rsid w:val="00C7204E"/>
    <w:rsid w:val="00C83A22"/>
    <w:rsid w:val="00C86FBF"/>
    <w:rsid w:val="00CB669D"/>
    <w:rsid w:val="00CC0CEB"/>
    <w:rsid w:val="00CC4C35"/>
    <w:rsid w:val="00CD19D8"/>
    <w:rsid w:val="00D10B88"/>
    <w:rsid w:val="00D37C0F"/>
    <w:rsid w:val="00D46EE4"/>
    <w:rsid w:val="00D5168F"/>
    <w:rsid w:val="00D65322"/>
    <w:rsid w:val="00DA3E07"/>
    <w:rsid w:val="00DA6C4A"/>
    <w:rsid w:val="00DC1CA7"/>
    <w:rsid w:val="00DD6E7E"/>
    <w:rsid w:val="00E21D94"/>
    <w:rsid w:val="00E70344"/>
    <w:rsid w:val="00E775FD"/>
    <w:rsid w:val="00E83638"/>
    <w:rsid w:val="00E926F8"/>
    <w:rsid w:val="00EB334B"/>
    <w:rsid w:val="00EB5708"/>
    <w:rsid w:val="00EB5844"/>
    <w:rsid w:val="00EF2600"/>
    <w:rsid w:val="00F00292"/>
    <w:rsid w:val="00F01914"/>
    <w:rsid w:val="00F1763F"/>
    <w:rsid w:val="00F17972"/>
    <w:rsid w:val="00F36864"/>
    <w:rsid w:val="00F45A1D"/>
    <w:rsid w:val="00F5315C"/>
    <w:rsid w:val="00F64AC9"/>
    <w:rsid w:val="00F9631B"/>
    <w:rsid w:val="00FD530A"/>
    <w:rsid w:val="00FE21D5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table" w:styleId="af7">
    <w:name w:val="Table Grid"/>
    <w:basedOn w:val="a1"/>
    <w:uiPriority w:val="39"/>
    <w:rsid w:val="008C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6</Pages>
  <Words>635</Words>
  <Characters>3625</Characters>
  <Application>Microsoft Office Word</Application>
  <DocSecurity>0</DocSecurity>
  <Lines>30</Lines>
  <Paragraphs>8</Paragraphs>
  <ScaleCrop>false</ScaleCrop>
  <Company>QN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169</cp:revision>
  <cp:lastPrinted>2023-10-25T11:35:00Z</cp:lastPrinted>
  <dcterms:created xsi:type="dcterms:W3CDTF">2025-02-24T02:08:00Z</dcterms:created>
  <dcterms:modified xsi:type="dcterms:W3CDTF">2026-03-24T07:19:00Z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