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53C0D094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</w:t>
      </w:r>
      <w:r w:rsidR="009E5D51">
        <w:rPr>
          <w:rFonts w:ascii="Arial" w:eastAsia="宋体" w:hAnsi="Arial" w:cs="Arial"/>
          <w:color w:val="auto"/>
        </w:rPr>
        <w:t>6</w:t>
      </w:r>
      <w:r>
        <w:rPr>
          <w:rFonts w:ascii="Arial" w:eastAsia="宋体" w:hAnsi="Arial" w:cs="Arial"/>
          <w:color w:val="auto"/>
        </w:rPr>
        <w:t>-0</w:t>
      </w:r>
      <w:r w:rsidR="009E5D51">
        <w:rPr>
          <w:rFonts w:ascii="Arial" w:eastAsia="宋体" w:hAnsi="Arial" w:cs="Arial"/>
          <w:color w:val="auto"/>
        </w:rPr>
        <w:t>0</w:t>
      </w:r>
      <w:r w:rsidR="008E58D2">
        <w:rPr>
          <w:rFonts w:ascii="Arial" w:eastAsia="宋体" w:hAnsi="Arial" w:cs="Arial"/>
          <w:color w:val="auto"/>
        </w:rPr>
        <w:t>2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6CA83925" w:rsidR="005D664A" w:rsidRDefault="008E58D2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2F9819B5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9E5D51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386925D0" w:rsidR="005D664A" w:rsidRDefault="008E58D2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现场参观            </w:t>
            </w:r>
            <w:bookmarkStart w:id="0" w:name="OLE_LINK1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bookmarkEnd w:id="0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一对一沟通</w:t>
            </w:r>
          </w:p>
          <w:p w14:paraId="4A60AE89" w14:textId="28E80607" w:rsidR="005D664A" w:rsidRDefault="008E58D2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216B51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7ABD" w14:textId="4507F8FA" w:rsidR="008C4245" w:rsidRDefault="008C4245" w:rsidP="008C4245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59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4311"/>
            </w:tblGrid>
            <w:tr w:rsidR="00C612E9" w:rsidRPr="00C612E9" w14:paraId="42F2D9E4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49D10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侯子骄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A274F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北京明澄私募基金管理有限公司</w:t>
                  </w:r>
                </w:p>
              </w:tc>
            </w:tr>
            <w:tr w:rsidR="00C612E9" w:rsidRPr="00C612E9" w14:paraId="029E70EA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DD1A6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单河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0B4A2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北京泽铭投资有限公司</w:t>
                  </w:r>
                </w:p>
              </w:tc>
            </w:tr>
            <w:tr w:rsidR="00C612E9" w:rsidRPr="00C612E9" w14:paraId="7E207C87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E6E1E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贾国琛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335B7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东方财富证券股份有限公司</w:t>
                  </w:r>
                </w:p>
              </w:tc>
            </w:tr>
            <w:tr w:rsidR="00C612E9" w:rsidRPr="00C612E9" w14:paraId="3C3692BF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63916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方科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8C626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东方财富证券股份有限公司</w:t>
                  </w:r>
                </w:p>
              </w:tc>
            </w:tr>
            <w:tr w:rsidR="00C612E9" w:rsidRPr="00C612E9" w14:paraId="622277BF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8754B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曹泽宇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871CD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东兴证券股份有限公司</w:t>
                  </w:r>
                </w:p>
              </w:tc>
            </w:tr>
            <w:tr w:rsidR="00C612E9" w:rsidRPr="00C612E9" w14:paraId="0EDB6D1B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8D604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陈无忌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74C6A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光大证券</w:t>
                  </w:r>
                </w:p>
              </w:tc>
            </w:tr>
            <w:tr w:rsidR="00C612E9" w:rsidRPr="00C612E9" w14:paraId="0C694582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55C2F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赵晓莹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E3377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广东合丰私募基金管理有限公司</w:t>
                  </w:r>
                </w:p>
              </w:tc>
            </w:tr>
            <w:tr w:rsidR="00C612E9" w:rsidRPr="00C612E9" w14:paraId="56B7E3B8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C4792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张弛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2807C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海南川控私募基金管理有限公司</w:t>
                  </w:r>
                </w:p>
              </w:tc>
            </w:tr>
            <w:tr w:rsidR="00C612E9" w:rsidRPr="00C612E9" w14:paraId="58148FD2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7FF67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李文博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E1266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海南亚丁私募基金管理有限公司</w:t>
                  </w:r>
                </w:p>
              </w:tc>
            </w:tr>
            <w:tr w:rsidR="00C612E9" w:rsidRPr="00C612E9" w14:paraId="72BCF566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E510B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姜华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7E01A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杭州重湖私募基金管理有限公司</w:t>
                  </w:r>
                </w:p>
              </w:tc>
            </w:tr>
            <w:tr w:rsidR="00C612E9" w:rsidRPr="00C612E9" w14:paraId="55DA9E8D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F2D7C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张志邦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0C963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华安证券股份有限公司</w:t>
                  </w:r>
                </w:p>
              </w:tc>
            </w:tr>
            <w:tr w:rsidR="00C612E9" w:rsidRPr="00C612E9" w14:paraId="3AF4A767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15AEB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王金帅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9BF17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江海证券有限公司</w:t>
                  </w:r>
                </w:p>
              </w:tc>
            </w:tr>
            <w:tr w:rsidR="00C612E9" w:rsidRPr="00C612E9" w14:paraId="0D09227E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6F049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阳自恒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D0081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上海清淙投资管理有限公司</w:t>
                  </w:r>
                </w:p>
              </w:tc>
            </w:tr>
            <w:tr w:rsidR="00C612E9" w:rsidRPr="00C612E9" w14:paraId="189CB411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CF625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曹宸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BB005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上海清淙投资管理有限公司</w:t>
                  </w:r>
                </w:p>
              </w:tc>
            </w:tr>
            <w:tr w:rsidR="00C612E9" w:rsidRPr="00C612E9" w14:paraId="2B3EE88A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4BA94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陆士杰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6A7C5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上海睿郡资产管理有限公司</w:t>
                  </w:r>
                </w:p>
              </w:tc>
            </w:tr>
            <w:tr w:rsidR="00C612E9" w:rsidRPr="00C612E9" w14:paraId="0F8413FC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BC3E9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徐伟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789F3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深圳方德信基金有限公司</w:t>
                  </w:r>
                </w:p>
              </w:tc>
            </w:tr>
            <w:tr w:rsidR="00C612E9" w:rsidRPr="00C612E9" w14:paraId="14D44697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F62D1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张晓宁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ED593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深圳盈富汇智私募证券基金有限公司</w:t>
                  </w:r>
                </w:p>
              </w:tc>
            </w:tr>
            <w:tr w:rsidR="00C612E9" w:rsidRPr="00C612E9" w14:paraId="52772292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4CEB2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杨志芳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A5337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天风证券股份有限公司</w:t>
                  </w:r>
                </w:p>
              </w:tc>
            </w:tr>
            <w:tr w:rsidR="00C612E9" w:rsidRPr="00C612E9" w14:paraId="5F496942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620B8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项欣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1F8FA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懿德财富(深圳)投资管理有限公司</w:t>
                  </w:r>
                </w:p>
              </w:tc>
            </w:tr>
            <w:tr w:rsidR="00C612E9" w:rsidRPr="00C612E9" w14:paraId="560DD086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7EC09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高红健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6CDB1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  <w:r w:rsidRPr="00C612E9"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  <w:t>长城证券股份有限公司</w:t>
                  </w:r>
                </w:p>
              </w:tc>
            </w:tr>
            <w:tr w:rsidR="00C612E9" w:rsidRPr="00C612E9" w14:paraId="6BAA7EF3" w14:textId="77777777" w:rsidTr="00C612E9">
              <w:trPr>
                <w:trHeight w:val="280"/>
                <w:jc w:val="center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99AF25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E0F1D6" w14:textId="77777777" w:rsidR="00C612E9" w:rsidRPr="00C612E9" w:rsidRDefault="00C612E9" w:rsidP="00C612E9">
                  <w:pPr>
                    <w:spacing w:after="0" w:line="240" w:lineRule="auto"/>
                    <w:rPr>
                      <w:rFonts w:ascii="宋体" w:eastAsia="宋体" w:hAnsi="宋体" w:cs="Arial" w:hint="eastAsia"/>
                      <w:color w:val="auto"/>
                      <w:kern w:val="0"/>
                    </w:rPr>
                  </w:pPr>
                </w:p>
              </w:tc>
            </w:tr>
          </w:tbl>
          <w:p w14:paraId="46C8C151" w14:textId="5A4C19F0" w:rsidR="003C38AA" w:rsidRPr="00A93F09" w:rsidRDefault="003C38AA" w:rsidP="00C612E9">
            <w:pPr>
              <w:spacing w:after="0" w:line="276" w:lineRule="auto"/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4899CCEE" w:rsidR="00F00292" w:rsidRDefault="009E5D51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026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2</w:t>
            </w:r>
            <w:r w:rsidR="008E58D2">
              <w:rPr>
                <w:rFonts w:ascii="Arial" w:eastAsia="宋体" w:hAnsi="Arial" w:cs="Arial"/>
                <w:color w:val="auto"/>
                <w:sz w:val="24"/>
                <w:szCs w:val="24"/>
              </w:rPr>
              <w:t>5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="008E58D2">
              <w:rPr>
                <w:rFonts w:ascii="Arial" w:eastAsia="宋体" w:hAnsi="Arial" w:cs="Arial"/>
                <w:color w:val="auto"/>
                <w:sz w:val="24"/>
                <w:szCs w:val="24"/>
              </w:rPr>
              <w:t>15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:00-</w:t>
            </w:r>
            <w:r w:rsidR="008E58D2">
              <w:rPr>
                <w:rFonts w:ascii="Arial" w:eastAsia="宋体" w:hAnsi="Arial" w:cs="Arial"/>
                <w:color w:val="auto"/>
                <w:sz w:val="24"/>
                <w:szCs w:val="24"/>
              </w:rPr>
              <w:t>16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8E58D2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6AC345C5" w:rsidR="00004793" w:rsidRDefault="008E58D2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公司会议室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59FC" w14:textId="77777777" w:rsidR="00F17972" w:rsidRDefault="001803EE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1803EE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</w:p>
          <w:p w14:paraId="5EDFF127" w14:textId="02AB4586" w:rsidR="003C38AA" w:rsidRDefault="008E58D2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高级证券事务经理：向明悦</w:t>
            </w:r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9842" w14:textId="77777777" w:rsidR="003C38AA" w:rsidRDefault="003C38A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355DA6CE" w14:textId="77777777" w:rsidR="008E58D2" w:rsidRDefault="008E58D2" w:rsidP="008E58D2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E05BFF">
              <w:rPr>
                <w:rFonts w:ascii="Arial" w:eastAsia="宋体" w:hAnsi="Arial" w:cs="Arial" w:hint="eastAsia"/>
              </w:rPr>
              <w:t>本次投资者关系活动以特定对象现场参观调研的方式进行。接待人员带领投资者参观了公司展厅</w:t>
            </w:r>
            <w:r>
              <w:rPr>
                <w:rFonts w:ascii="Arial" w:eastAsia="宋体" w:hAnsi="Arial" w:cs="Arial" w:hint="eastAsia"/>
              </w:rPr>
              <w:t>，并与投资者进行了沟通交流，主要内容如下：</w:t>
            </w:r>
          </w:p>
          <w:p w14:paraId="5336D68F" w14:textId="2B0B0A18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一、公司</w:t>
            </w:r>
            <w:r w:rsidRPr="009E5D51">
              <w:rPr>
                <w:rFonts w:ascii="Arial" w:eastAsia="宋体" w:hAnsi="Arial" w:cs="Arial"/>
                <w:b/>
                <w:bCs/>
              </w:rPr>
              <w:t>2025</w:t>
            </w:r>
            <w:r w:rsidRPr="009E5D51">
              <w:rPr>
                <w:rFonts w:ascii="Arial" w:eastAsia="宋体" w:hAnsi="Arial" w:cs="Arial" w:hint="eastAsia"/>
                <w:b/>
                <w:bCs/>
              </w:rPr>
              <w:t>年年度经营情况介绍</w:t>
            </w:r>
          </w:p>
          <w:p w14:paraId="79D1FBF8" w14:textId="251D51FC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（一）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年年度的整体经营情况</w:t>
            </w:r>
          </w:p>
          <w:p w14:paraId="07BC5900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年，在国际贸易格局深度调整、政策环境复杂多变的背景下，公司凭借前瞻性全球化布局与战略定力，于市场波动中稳固行业领先地位，积极提升全球市场份额。公司以“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智能化”为核心引擎，形成了覆盖数智车辆诊断、智慧充电、具身智能集群三大领域的立体化业务矩阵，打造“硬件终端</w:t>
            </w:r>
            <w:r w:rsidRPr="009E5D51">
              <w:rPr>
                <w:rFonts w:ascii="Arial" w:eastAsia="宋体" w:hAnsi="Arial" w:cs="Arial"/>
              </w:rPr>
              <w:t>+Agent</w:t>
            </w:r>
            <w:r w:rsidRPr="009E5D51">
              <w:rPr>
                <w:rFonts w:ascii="Arial" w:eastAsia="宋体" w:hAnsi="Arial" w:cs="Arial" w:hint="eastAsia"/>
              </w:rPr>
              <w:t>应用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场景解决方案”的协同生态闭环。通过前沿技术突破与商业模式创新双轮驱动，实现了业绩新高。</w:t>
            </w:r>
          </w:p>
          <w:p w14:paraId="5FAF0ADF" w14:textId="2C751C7F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报告期内，公司实现营业收入</w:t>
            </w:r>
            <w:r w:rsidRPr="009E5D51">
              <w:rPr>
                <w:rFonts w:ascii="Arial" w:eastAsia="宋体" w:hAnsi="Arial" w:cs="Arial"/>
              </w:rPr>
              <w:t>48.33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22.9</w:t>
            </w:r>
            <w:r>
              <w:rPr>
                <w:rFonts w:ascii="Arial" w:eastAsia="宋体" w:hAnsi="Arial" w:cs="Arial"/>
              </w:rPr>
              <w:t>0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；实现归母净利润</w:t>
            </w:r>
            <w:r w:rsidRPr="009E5D51">
              <w:rPr>
                <w:rFonts w:ascii="Arial" w:eastAsia="宋体" w:hAnsi="Arial" w:cs="Arial"/>
              </w:rPr>
              <w:t>9.3</w:t>
            </w:r>
            <w:r>
              <w:rPr>
                <w:rFonts w:ascii="Arial" w:eastAsia="宋体" w:hAnsi="Arial" w:cs="Arial" w:hint="eastAsia"/>
              </w:rPr>
              <w:t>6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46</w:t>
            </w:r>
            <w:r>
              <w:rPr>
                <w:rFonts w:ascii="Arial" w:eastAsia="宋体" w:hAnsi="Arial" w:cs="Arial" w:hint="eastAsia"/>
              </w:rPr>
              <w:t>.</w:t>
            </w:r>
            <w:r>
              <w:rPr>
                <w:rFonts w:ascii="Arial" w:eastAsia="宋体" w:hAnsi="Arial" w:cs="Arial"/>
              </w:rPr>
              <w:t>02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；实现归母扣非净利润</w:t>
            </w:r>
            <w:r w:rsidRPr="009E5D51">
              <w:rPr>
                <w:rFonts w:ascii="Arial" w:eastAsia="宋体" w:hAnsi="Arial" w:cs="Arial"/>
              </w:rPr>
              <w:t>8.</w:t>
            </w:r>
            <w:r>
              <w:rPr>
                <w:rFonts w:ascii="Arial" w:eastAsia="宋体" w:hAnsi="Arial" w:cs="Arial"/>
              </w:rPr>
              <w:t>69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>
              <w:rPr>
                <w:rFonts w:ascii="Arial" w:eastAsia="宋体" w:hAnsi="Arial" w:cs="Arial" w:hint="eastAsia"/>
              </w:rPr>
              <w:t>6</w:t>
            </w:r>
            <w:r>
              <w:rPr>
                <w:rFonts w:ascii="Arial" w:eastAsia="宋体" w:hAnsi="Arial" w:cs="Arial"/>
              </w:rPr>
              <w:t>0.67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。通过成本端精细化管理，综合毛利率同比提升约</w:t>
            </w: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个百分点；同时，进一步深化全面预算管理，提升投入产出比，期间费用率（剔除股份支付后）同比下降</w:t>
            </w:r>
            <w:r w:rsidRPr="009E5D51">
              <w:rPr>
                <w:rFonts w:ascii="Arial" w:eastAsia="宋体" w:hAnsi="Arial" w:cs="Arial"/>
              </w:rPr>
              <w:t>4.6</w:t>
            </w:r>
            <w:r w:rsidRPr="009E5D51">
              <w:rPr>
                <w:rFonts w:ascii="Arial" w:eastAsia="宋体" w:hAnsi="Arial" w:cs="Arial" w:hint="eastAsia"/>
              </w:rPr>
              <w:t>个百分点。</w:t>
            </w:r>
          </w:p>
          <w:p w14:paraId="2D57832A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（二）业务板块经营亮点</w:t>
            </w:r>
          </w:p>
          <w:p w14:paraId="114FBC7A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、数智车辆诊断业务</w:t>
            </w:r>
          </w:p>
          <w:p w14:paraId="5FDF22F4" w14:textId="352E7FED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年，公司维修智能终端实现营业收入约</w:t>
            </w:r>
            <w:r w:rsidRPr="009E5D51">
              <w:rPr>
                <w:rFonts w:ascii="Arial" w:eastAsia="宋体" w:hAnsi="Arial" w:cs="Arial"/>
              </w:rPr>
              <w:t>29.80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15.83%</w:t>
            </w:r>
            <w:r w:rsidRPr="009E5D51">
              <w:rPr>
                <w:rFonts w:ascii="Arial" w:eastAsia="宋体" w:hAnsi="Arial" w:cs="Arial" w:hint="eastAsia"/>
              </w:rPr>
              <w:t>，毛利率同比提高</w:t>
            </w:r>
            <w:r w:rsidRPr="009E5D51">
              <w:rPr>
                <w:rFonts w:ascii="Arial" w:eastAsia="宋体" w:hAnsi="Arial" w:cs="Arial"/>
              </w:rPr>
              <w:t>1.</w:t>
            </w:r>
            <w:r w:rsidR="0038547E">
              <w:rPr>
                <w:rFonts w:ascii="Arial" w:eastAsia="宋体" w:hAnsi="Arial" w:cs="Arial"/>
              </w:rPr>
              <w:t>25</w:t>
            </w:r>
            <w:r w:rsidRPr="009E5D51">
              <w:rPr>
                <w:rFonts w:ascii="Arial" w:eastAsia="宋体" w:hAnsi="Arial" w:cs="Arial" w:hint="eastAsia"/>
              </w:rPr>
              <w:t>个百分点。其中，汽车综合诊断产品实现收入</w:t>
            </w:r>
            <w:r w:rsidRPr="009E5D51">
              <w:rPr>
                <w:rFonts w:ascii="Arial" w:eastAsia="宋体" w:hAnsi="Arial" w:cs="Arial"/>
              </w:rPr>
              <w:t>13.92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9.83%</w:t>
            </w:r>
            <w:r w:rsidRPr="009E5D51">
              <w:rPr>
                <w:rFonts w:ascii="Arial" w:eastAsia="宋体" w:hAnsi="Arial" w:cs="Arial" w:hint="eastAsia"/>
              </w:rPr>
              <w:t>；</w:t>
            </w:r>
            <w:r w:rsidRPr="009E5D51">
              <w:rPr>
                <w:rFonts w:ascii="Arial" w:eastAsia="宋体" w:hAnsi="Arial" w:cs="Arial"/>
              </w:rPr>
              <w:t>TPMS</w:t>
            </w:r>
            <w:r w:rsidRPr="009E5D51">
              <w:rPr>
                <w:rFonts w:ascii="Arial" w:eastAsia="宋体" w:hAnsi="Arial" w:cs="Arial" w:hint="eastAsia"/>
              </w:rPr>
              <w:t>系列产品实现收入</w:t>
            </w:r>
            <w:r w:rsidRPr="009E5D51">
              <w:rPr>
                <w:rFonts w:ascii="Arial" w:eastAsia="宋体" w:hAnsi="Arial" w:cs="Arial"/>
              </w:rPr>
              <w:t>10.07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42.73%</w:t>
            </w:r>
            <w:r w:rsidRPr="009E5D51">
              <w:rPr>
                <w:rFonts w:ascii="Arial" w:eastAsia="宋体" w:hAnsi="Arial" w:cs="Arial" w:hint="eastAsia"/>
              </w:rPr>
              <w:t>；</w:t>
            </w:r>
            <w:r w:rsidRPr="009E5D51">
              <w:rPr>
                <w:rFonts w:ascii="Arial" w:eastAsia="宋体" w:hAnsi="Arial" w:cs="Arial"/>
              </w:rPr>
              <w:t>ADAS</w:t>
            </w:r>
            <w:r w:rsidRPr="009E5D51">
              <w:rPr>
                <w:rFonts w:ascii="Arial" w:eastAsia="宋体" w:hAnsi="Arial" w:cs="Arial" w:hint="eastAsia"/>
              </w:rPr>
              <w:t>标定产品实现收入</w:t>
            </w:r>
            <w:r w:rsidRPr="009E5D51">
              <w:rPr>
                <w:rFonts w:ascii="Arial" w:eastAsia="宋体" w:hAnsi="Arial" w:cs="Arial"/>
              </w:rPr>
              <w:t>3.81</w:t>
            </w:r>
            <w:r w:rsidRPr="009E5D51">
              <w:rPr>
                <w:rFonts w:ascii="Arial" w:eastAsia="宋体" w:hAnsi="Arial" w:cs="Arial" w:hint="eastAsia"/>
              </w:rPr>
              <w:t>亿元。</w:t>
            </w:r>
          </w:p>
          <w:p w14:paraId="0E4CC2AF" w14:textId="7389E5FD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诊断相关的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及软件相关服务实现收入</w:t>
            </w:r>
            <w:r w:rsidRPr="009E5D51">
              <w:rPr>
                <w:rFonts w:ascii="Arial" w:eastAsia="宋体" w:hAnsi="Arial" w:cs="Arial"/>
              </w:rPr>
              <w:t>5.30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18.87%</w:t>
            </w:r>
            <w:r w:rsidRPr="009E5D51">
              <w:rPr>
                <w:rFonts w:ascii="Arial" w:eastAsia="宋体" w:hAnsi="Arial" w:cs="Arial" w:hint="eastAsia"/>
              </w:rPr>
              <w:t>，毛利率维持</w:t>
            </w:r>
            <w:r w:rsidRPr="009E5D51">
              <w:rPr>
                <w:rFonts w:ascii="Arial" w:eastAsia="宋体" w:hAnsi="Arial" w:cs="Arial"/>
              </w:rPr>
              <w:t>99%</w:t>
            </w:r>
            <w:r w:rsidRPr="009E5D51">
              <w:rPr>
                <w:rFonts w:ascii="Arial" w:eastAsia="宋体" w:hAnsi="Arial" w:cs="Arial" w:hint="eastAsia"/>
              </w:rPr>
              <w:t>以上，成为驱动业务增长的重要动力，印证了公司“硬件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软件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服务”商业模式的可持续性与高盈利性。</w:t>
            </w:r>
          </w:p>
          <w:p w14:paraId="31D57776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lastRenderedPageBreak/>
              <w:t>报告期内，公司推出了自研的数智车辆诊断垂域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模型，开发了针对电动汽车的电池诊断技术，持续通过核心技术突破，引领行业发展。</w:t>
            </w:r>
          </w:p>
          <w:p w14:paraId="7D66A522" w14:textId="54C57BF2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在产品层面，公司集中推出新一代综合诊断终端</w:t>
            </w:r>
            <w:r w:rsidRPr="009E5D51">
              <w:rPr>
                <w:rFonts w:ascii="Arial" w:eastAsia="宋体" w:hAnsi="Arial" w:cs="Arial"/>
              </w:rPr>
              <w:t>Ultra S2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r w:rsidRPr="009E5D51">
              <w:rPr>
                <w:rFonts w:ascii="Arial" w:eastAsia="宋体" w:hAnsi="Arial" w:cs="Arial"/>
              </w:rPr>
              <w:t>ADAS</w:t>
            </w:r>
            <w:r w:rsidRPr="009E5D51">
              <w:rPr>
                <w:rFonts w:ascii="Arial" w:eastAsia="宋体" w:hAnsi="Arial" w:cs="Arial" w:hint="eastAsia"/>
              </w:rPr>
              <w:t>标定主架</w:t>
            </w:r>
            <w:r w:rsidRPr="009E5D51">
              <w:rPr>
                <w:rFonts w:ascii="Arial" w:eastAsia="宋体" w:hAnsi="Arial" w:cs="Arial"/>
              </w:rPr>
              <w:t>IA1000</w:t>
            </w:r>
            <w:r w:rsidRPr="009E5D51">
              <w:rPr>
                <w:rFonts w:ascii="Arial" w:eastAsia="宋体" w:hAnsi="Arial" w:cs="Arial" w:hint="eastAsia"/>
              </w:rPr>
              <w:t>及商用车</w:t>
            </w:r>
            <w:r w:rsidRPr="009E5D51">
              <w:rPr>
                <w:rFonts w:ascii="Arial" w:eastAsia="宋体" w:hAnsi="Arial" w:cs="Arial"/>
              </w:rPr>
              <w:t>TPMS</w:t>
            </w:r>
            <w:r w:rsidRPr="009E5D51">
              <w:rPr>
                <w:rFonts w:ascii="Arial" w:eastAsia="宋体" w:hAnsi="Arial" w:cs="Arial" w:hint="eastAsia"/>
              </w:rPr>
              <w:t>解决方案，构建覆盖乘用车与商用车、诊断与标定、硬件与服务的完整产品体系，全面适配行业智能化升级需求。</w:t>
            </w:r>
          </w:p>
          <w:p w14:paraId="65DA0342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</w:t>
            </w:r>
            <w:r w:rsidRPr="009E5D51">
              <w:rPr>
                <w:rFonts w:ascii="Arial" w:eastAsia="宋体" w:hAnsi="Arial" w:cs="Arial" w:hint="eastAsia"/>
              </w:rPr>
              <w:t>、智慧充电业务</w:t>
            </w:r>
          </w:p>
          <w:p w14:paraId="77BBE931" w14:textId="52ED837A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年，公司能源智能中枢实现收入</w:t>
            </w:r>
            <w:r w:rsidRPr="009E5D51">
              <w:rPr>
                <w:rFonts w:ascii="Arial" w:eastAsia="宋体" w:hAnsi="Arial" w:cs="Arial"/>
              </w:rPr>
              <w:t>12.42</w:t>
            </w:r>
            <w:r w:rsidRPr="009E5D51">
              <w:rPr>
                <w:rFonts w:ascii="Arial" w:eastAsia="宋体" w:hAnsi="Arial" w:cs="Arial" w:hint="eastAsia"/>
              </w:rPr>
              <w:t>亿元，同比增长</w:t>
            </w:r>
            <w:r w:rsidRPr="009E5D51">
              <w:rPr>
                <w:rFonts w:ascii="Arial" w:eastAsia="宋体" w:hAnsi="Arial" w:cs="Arial"/>
              </w:rPr>
              <w:t>43</w:t>
            </w:r>
            <w:r>
              <w:rPr>
                <w:rFonts w:ascii="Arial" w:eastAsia="宋体" w:hAnsi="Arial" w:cs="Arial"/>
              </w:rPr>
              <w:t>.83</w:t>
            </w:r>
            <w:r w:rsidRPr="009E5D51">
              <w:rPr>
                <w:rFonts w:ascii="Arial" w:eastAsia="宋体" w:hAnsi="Arial" w:cs="Arial"/>
              </w:rPr>
              <w:t>%</w:t>
            </w:r>
            <w:r w:rsidRPr="009E5D51">
              <w:rPr>
                <w:rFonts w:ascii="Arial" w:eastAsia="宋体" w:hAnsi="Arial" w:cs="Arial" w:hint="eastAsia"/>
              </w:rPr>
              <w:t>，毛利率同比增加近</w:t>
            </w:r>
            <w:r w:rsidRPr="009E5D51">
              <w:rPr>
                <w:rFonts w:ascii="Arial" w:eastAsia="宋体" w:hAnsi="Arial" w:cs="Arial"/>
              </w:rPr>
              <w:t>4</w:t>
            </w:r>
            <w:r w:rsidRPr="009E5D51">
              <w:rPr>
                <w:rFonts w:ascii="Arial" w:eastAsia="宋体" w:hAnsi="Arial" w:cs="Arial" w:hint="eastAsia"/>
              </w:rPr>
              <w:t>个百分点。</w:t>
            </w:r>
          </w:p>
          <w:p w14:paraId="7EEE046B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报告期内，公司推出了自研的</w:t>
            </w:r>
            <w:r w:rsidRPr="009E5D51">
              <w:rPr>
                <w:rFonts w:ascii="Arial" w:eastAsia="宋体" w:hAnsi="Arial" w:cs="Arial"/>
              </w:rPr>
              <w:t>60kW/120kW</w:t>
            </w:r>
            <w:r w:rsidRPr="009E5D51">
              <w:rPr>
                <w:rFonts w:ascii="Arial" w:eastAsia="宋体" w:hAnsi="Arial" w:cs="Arial" w:hint="eastAsia"/>
              </w:rPr>
              <w:t>液冷功率模块，核心指标达到行业领先水平。随着未来公司自研模块逐步导入，毛利率有望进一步提升。</w:t>
            </w:r>
          </w:p>
          <w:p w14:paraId="0C2C7463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同时，公司还推出了新一代</w:t>
            </w:r>
            <w:r w:rsidRPr="009E5D51">
              <w:rPr>
                <w:rFonts w:ascii="Arial" w:eastAsia="宋体" w:hAnsi="Arial" w:cs="Arial"/>
              </w:rPr>
              <w:t xml:space="preserve">MaxiCharger </w:t>
            </w:r>
            <w:r w:rsidRPr="009E5D51">
              <w:rPr>
                <w:rFonts w:ascii="Arial" w:eastAsia="宋体" w:hAnsi="Arial" w:cs="Arial" w:hint="eastAsia"/>
              </w:rPr>
              <w:t>全系列产品，包括全液冷超充，形成从功率模块到充电智能中枢的端到端整体解决方案。</w:t>
            </w:r>
          </w:p>
          <w:p w14:paraId="7561AC58" w14:textId="53EE8415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在充电相关的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及软件方面，以</w:t>
            </w:r>
            <w:r w:rsidRPr="009E5D51">
              <w:rPr>
                <w:rFonts w:ascii="Arial" w:eastAsia="宋体" w:hAnsi="Arial" w:cs="Arial"/>
              </w:rPr>
              <w:t>AI Agents</w:t>
            </w:r>
            <w:r w:rsidRPr="009E5D51">
              <w:rPr>
                <w:rFonts w:ascii="Arial" w:eastAsia="宋体" w:hAnsi="Arial" w:cs="Arial" w:hint="eastAsia"/>
              </w:rPr>
              <w:t>为核心，持续深化智慧充电垂域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模型，推进</w:t>
            </w:r>
            <w:r w:rsidRPr="009E5D51">
              <w:rPr>
                <w:rFonts w:ascii="Arial" w:eastAsia="宋体" w:hAnsi="Arial" w:cs="Arial"/>
              </w:rPr>
              <w:t>Autel Charge Cloud</w:t>
            </w:r>
            <w:r w:rsidRPr="009E5D51">
              <w:rPr>
                <w:rFonts w:ascii="Arial" w:eastAsia="宋体" w:hAnsi="Arial" w:cs="Arial" w:hint="eastAsia"/>
              </w:rPr>
              <w:t>能力升级，正式发布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智能员工矩阵，推动平台向更智能化的运营中枢演进，在收益优化、运维效率、支付便利性和能源调度等方面持续提升客户价值。根据各类客户至</w:t>
            </w:r>
            <w:r w:rsidRPr="009E5D51">
              <w:rPr>
                <w:rFonts w:ascii="Arial" w:eastAsia="宋体" w:hAnsi="Arial" w:cs="Arial"/>
              </w:rPr>
              <w:t>2030</w:t>
            </w:r>
            <w:r w:rsidRPr="009E5D51">
              <w:rPr>
                <w:rFonts w:ascii="Arial" w:eastAsia="宋体" w:hAnsi="Arial" w:cs="Arial" w:hint="eastAsia"/>
              </w:rPr>
              <w:t>年电动化规划，预计未来订单支撑公司智慧充电业务中长期的高速增长。</w:t>
            </w:r>
          </w:p>
          <w:p w14:paraId="3F1D9757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3</w:t>
            </w:r>
            <w:r w:rsidRPr="009E5D51">
              <w:rPr>
                <w:rFonts w:ascii="Arial" w:eastAsia="宋体" w:hAnsi="Arial" w:cs="Arial" w:hint="eastAsia"/>
              </w:rPr>
              <w:t>、具身智能集群</w:t>
            </w:r>
          </w:p>
          <w:p w14:paraId="5C9D19B0" w14:textId="7CD9BF00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公司于</w:t>
            </w:r>
            <w:r w:rsidRPr="009E5D51">
              <w:rPr>
                <w:rFonts w:ascii="Arial" w:eastAsia="宋体" w:hAnsi="Arial" w:cs="Arial"/>
              </w:rPr>
              <w:t>2024</w:t>
            </w:r>
            <w:r w:rsidRPr="009E5D51">
              <w:rPr>
                <w:rFonts w:ascii="Arial" w:eastAsia="宋体" w:hAnsi="Arial" w:cs="Arial" w:hint="eastAsia"/>
              </w:rPr>
              <w:t>年</w:t>
            </w:r>
            <w:r w:rsidRPr="009E5D51">
              <w:rPr>
                <w:rFonts w:ascii="Arial" w:eastAsia="宋体" w:hAnsi="Arial" w:cs="Arial"/>
              </w:rPr>
              <w:t>11</w:t>
            </w:r>
            <w:r w:rsidRPr="009E5D51">
              <w:rPr>
                <w:rFonts w:ascii="Arial" w:eastAsia="宋体" w:hAnsi="Arial" w:cs="Arial" w:hint="eastAsia"/>
              </w:rPr>
              <w:t>月正式布局具身智能集群业务。报告期内，公司已构建起“技术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产品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市场”的完整闭环，核心竞争力持续凸显。</w:t>
            </w:r>
          </w:p>
          <w:p w14:paraId="11EF49FC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在核心技术方面，公司已构建“核心技术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一体化方案”的完整能力，涵盖具身机器人技术、集群智慧巡检系列垂域模型、及“一超多强”架构的多智能体集群调度技术，为方案落地提供坚实支撑。</w:t>
            </w:r>
          </w:p>
          <w:p w14:paraId="23F6023E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在解决方案方面，公司具身智能集群解决方案可适配能源、交通枢纽、工业园区等多场景，核心为“具身智能体</w:t>
            </w:r>
            <w:r w:rsidRPr="009E5D51">
              <w:rPr>
                <w:rFonts w:ascii="Arial" w:eastAsia="宋体" w:hAnsi="Arial" w:cs="Arial"/>
              </w:rPr>
              <w:t>+AI</w:t>
            </w:r>
            <w:r w:rsidRPr="009E5D51">
              <w:rPr>
                <w:rFonts w:ascii="Arial" w:eastAsia="宋体" w:hAnsi="Arial" w:cs="Arial" w:hint="eastAsia"/>
              </w:rPr>
              <w:t>应用平台”架构：具身智能体作为物理载体，具备自主导航、多场景适配能力；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应用平台（</w:t>
            </w:r>
            <w:r w:rsidRPr="009E5D51">
              <w:rPr>
                <w:rFonts w:ascii="Arial" w:eastAsia="宋体" w:hAnsi="Arial" w:cs="Arial"/>
              </w:rPr>
              <w:t>Hub</w:t>
            </w:r>
            <w:r w:rsidRPr="009E5D51">
              <w:rPr>
                <w:rFonts w:ascii="Arial" w:eastAsia="宋体" w:hAnsi="Arial" w:cs="Arial" w:hint="eastAsia"/>
              </w:rPr>
              <w:t>、</w:t>
            </w:r>
            <w:r w:rsidRPr="009E5D51">
              <w:rPr>
                <w:rFonts w:ascii="Arial" w:eastAsia="宋体" w:hAnsi="Arial" w:cs="Arial"/>
              </w:rPr>
              <w:t>AIP</w:t>
            </w:r>
            <w:r w:rsidRPr="009E5D51">
              <w:rPr>
                <w:rFonts w:ascii="Arial" w:eastAsia="宋体" w:hAnsi="Arial" w:cs="Arial" w:hint="eastAsia"/>
              </w:rPr>
              <w:t>、数据平台）实现智能体管理、低代码开发、数据全生命周期管理等功能，形成“硬件执行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平台赋能”闭环。</w:t>
            </w:r>
          </w:p>
          <w:p w14:paraId="2FC0D91E" w14:textId="4881617B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14563083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lastRenderedPageBreak/>
              <w:t>二、接待人员就投资者关注的问题进行了沟通和交流，主要问答情况如下：</w:t>
            </w:r>
          </w:p>
          <w:p w14:paraId="498FD88C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问题一：公司目前的战略规划如何？</w:t>
            </w:r>
          </w:p>
          <w:p w14:paraId="2E734D39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回复：道通科技是数智车辆诊断、智慧能源的全球领导者，是具身智能集群的先行者，致力于为全球客户提供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驱动、软硬件深度融合的产品解决方案，为人类社会的智能未来持续创造价值。</w:t>
            </w:r>
          </w:p>
          <w:p w14:paraId="18665FCC" w14:textId="28ECDEAA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公司将持续以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智能化为核心，以“垂域模型”以及“诊断智能终端、智慧智能中枢、具身智能机器人”为两翼，形成覆盖数智车辆诊断、智慧充电、具身智能集群三大领域的立体化产品矩阵，打造“硬件终端</w:t>
            </w:r>
            <w:r w:rsidRPr="009E5D51">
              <w:rPr>
                <w:rFonts w:ascii="Arial" w:eastAsia="宋体" w:hAnsi="Arial" w:cs="Arial"/>
              </w:rPr>
              <w:t>+Agent</w:t>
            </w:r>
            <w:r w:rsidRPr="009E5D51">
              <w:rPr>
                <w:rFonts w:ascii="Arial" w:eastAsia="宋体" w:hAnsi="Arial" w:cs="Arial" w:hint="eastAsia"/>
              </w:rPr>
              <w:t>应用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场景解决方案”的协同生态，最终实现</w:t>
            </w:r>
            <w:r>
              <w:rPr>
                <w:rFonts w:ascii="Arial" w:eastAsia="宋体" w:hAnsi="Arial" w:cs="Arial" w:hint="eastAsia"/>
              </w:rPr>
              <w:t>“</w:t>
            </w:r>
            <w:r w:rsidRPr="009E5D51">
              <w:rPr>
                <w:rFonts w:ascii="Arial" w:eastAsia="宋体" w:hAnsi="Arial" w:cs="Arial" w:hint="eastAsia"/>
              </w:rPr>
              <w:t>硬件入口</w:t>
            </w:r>
            <w:r w:rsidRPr="009E5D51">
              <w:rPr>
                <w:rFonts w:ascii="Arial" w:eastAsia="宋体" w:hAnsi="Arial" w:cs="Arial"/>
              </w:rPr>
              <w:t xml:space="preserve"> + </w:t>
            </w:r>
            <w:r w:rsidRPr="009E5D51">
              <w:rPr>
                <w:rFonts w:ascii="Arial" w:eastAsia="宋体" w:hAnsi="Arial" w:cs="Arial" w:hint="eastAsia"/>
              </w:rPr>
              <w:t>软件授权</w:t>
            </w:r>
            <w:r w:rsidRPr="009E5D51">
              <w:rPr>
                <w:rFonts w:ascii="Arial" w:eastAsia="宋体" w:hAnsi="Arial" w:cs="Arial"/>
              </w:rPr>
              <w:t xml:space="preserve"> + AI TOKEN</w:t>
            </w:r>
            <w:r w:rsidRPr="009E5D51">
              <w:rPr>
                <w:rFonts w:ascii="Arial" w:eastAsia="宋体" w:hAnsi="Arial" w:cs="Arial" w:hint="eastAsia"/>
              </w:rPr>
              <w:t>调用收费”的平台化模式。通过前沿技术和商业模式创新重塑业务格局，以实现</w:t>
            </w:r>
            <w:r w:rsidRPr="009E5D51">
              <w:rPr>
                <w:rFonts w:ascii="Arial" w:eastAsia="宋体" w:hAnsi="Arial" w:cs="Arial"/>
              </w:rPr>
              <w:t>AI</w:t>
            </w:r>
            <w:r w:rsidRPr="009E5D51">
              <w:rPr>
                <w:rFonts w:ascii="Arial" w:eastAsia="宋体" w:hAnsi="Arial" w:cs="Arial" w:hint="eastAsia"/>
              </w:rPr>
              <w:t>驱动的业绩稳健增长。</w:t>
            </w:r>
          </w:p>
          <w:p w14:paraId="2A75D1A7" w14:textId="152E2AF2" w:rsid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4D887AB9" w14:textId="30CFB712" w:rsidR="0053054B" w:rsidRPr="00E83638" w:rsidRDefault="0053054B" w:rsidP="0053054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E83638">
              <w:rPr>
                <w:rFonts w:ascii="Arial" w:eastAsia="宋体" w:hAnsi="Arial" w:cs="Arial" w:hint="eastAsia"/>
                <w:b/>
                <w:bCs/>
              </w:rPr>
              <w:t>问题</w:t>
            </w:r>
            <w:r>
              <w:rPr>
                <w:rFonts w:ascii="Arial" w:eastAsia="宋体" w:hAnsi="Arial" w:cs="Arial" w:hint="eastAsia"/>
                <w:b/>
                <w:bCs/>
              </w:rPr>
              <w:t>二</w:t>
            </w:r>
            <w:r w:rsidRPr="00E83638">
              <w:rPr>
                <w:rFonts w:ascii="Arial" w:eastAsia="宋体" w:hAnsi="Arial" w:cs="Arial" w:hint="eastAsia"/>
                <w:b/>
                <w:bCs/>
              </w:rPr>
              <w:t>：</w:t>
            </w:r>
            <w:r w:rsidRPr="00E83638">
              <w:rPr>
                <w:rFonts w:ascii="Arial" w:eastAsia="宋体" w:hAnsi="Arial" w:cs="Arial" w:hint="eastAsia"/>
                <w:b/>
                <w:bCs/>
              </w:rPr>
              <w:t>T</w:t>
            </w:r>
            <w:r w:rsidRPr="00E83638">
              <w:rPr>
                <w:rFonts w:ascii="Arial" w:eastAsia="宋体" w:hAnsi="Arial" w:cs="Arial"/>
                <w:b/>
                <w:bCs/>
              </w:rPr>
              <w:t>PMS</w:t>
            </w:r>
            <w:r>
              <w:rPr>
                <w:rFonts w:ascii="Arial" w:eastAsia="宋体" w:hAnsi="Arial" w:cs="Arial" w:hint="eastAsia"/>
                <w:b/>
                <w:bCs/>
              </w:rPr>
              <w:t>快</w:t>
            </w:r>
            <w:r w:rsidRPr="00E83638">
              <w:rPr>
                <w:rFonts w:ascii="Arial" w:eastAsia="宋体" w:hAnsi="Arial" w:cs="Arial" w:hint="eastAsia"/>
                <w:b/>
                <w:bCs/>
              </w:rPr>
              <w:t>速增长的原因？</w:t>
            </w:r>
          </w:p>
          <w:p w14:paraId="6582E764" w14:textId="3F369020" w:rsidR="0053054B" w:rsidRPr="0053054B" w:rsidRDefault="0053054B" w:rsidP="005305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A52232">
              <w:rPr>
                <w:rFonts w:ascii="Arial" w:eastAsia="宋体" w:hAnsi="Arial" w:cs="Arial"/>
              </w:rPr>
              <w:t>TPMS</w:t>
            </w:r>
            <w:r>
              <w:rPr>
                <w:rFonts w:ascii="Arial" w:eastAsia="宋体" w:hAnsi="Arial" w:cs="Arial" w:hint="eastAsia"/>
              </w:rPr>
              <w:t>的</w:t>
            </w:r>
            <w:r w:rsidRPr="00A52232">
              <w:rPr>
                <w:rFonts w:ascii="Arial" w:eastAsia="宋体" w:hAnsi="Arial" w:cs="Arial" w:hint="eastAsia"/>
              </w:rPr>
              <w:t>高速增长主要受益于</w:t>
            </w:r>
            <w:r>
              <w:rPr>
                <w:rFonts w:ascii="Arial" w:eastAsia="宋体" w:hAnsi="Arial" w:cs="Arial" w:hint="eastAsia"/>
              </w:rPr>
              <w:t>汽车后市场</w:t>
            </w:r>
            <w:r>
              <w:rPr>
                <w:rFonts w:ascii="Arial" w:eastAsia="宋体" w:hAnsi="Arial" w:cs="Arial" w:hint="eastAsia"/>
              </w:rPr>
              <w:t>T</w:t>
            </w:r>
            <w:r>
              <w:rPr>
                <w:rFonts w:ascii="Arial" w:eastAsia="宋体" w:hAnsi="Arial" w:cs="Arial"/>
              </w:rPr>
              <w:t>PMS</w:t>
            </w:r>
            <w:r w:rsidRPr="00A52232">
              <w:rPr>
                <w:rFonts w:ascii="Arial" w:eastAsia="宋体" w:hAnsi="Arial" w:cs="Arial" w:hint="eastAsia"/>
              </w:rPr>
              <w:t>替换高潮的政策红利。</w:t>
            </w:r>
            <w:r w:rsidRPr="0053054B">
              <w:rPr>
                <w:rFonts w:ascii="Arial" w:eastAsia="宋体" w:hAnsi="Arial" w:cs="Arial" w:hint="eastAsia"/>
              </w:rPr>
              <w:t>随着全球车辆安全及智能化水平的不断提升，多国已出台了强制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的法规，以降低事故风险并提升行车安全。例如，除了乘用车之外，欧盟已经将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的要求扩展到卡车、挂车、客车及大巴。该法规从</w:t>
            </w:r>
            <w:r w:rsidRPr="0053054B">
              <w:rPr>
                <w:rFonts w:ascii="Arial" w:eastAsia="宋体" w:hAnsi="Arial" w:cs="Arial"/>
              </w:rPr>
              <w:t>2022</w:t>
            </w:r>
            <w:r w:rsidRPr="0053054B">
              <w:rPr>
                <w:rFonts w:ascii="Arial" w:eastAsia="宋体" w:hAnsi="Arial" w:cs="Arial" w:hint="eastAsia"/>
              </w:rPr>
              <w:t>年</w:t>
            </w:r>
            <w:r w:rsidRPr="0053054B">
              <w:rPr>
                <w:rFonts w:ascii="Arial" w:eastAsia="宋体" w:hAnsi="Arial" w:cs="Arial"/>
              </w:rPr>
              <w:t>7</w:t>
            </w:r>
            <w:r w:rsidRPr="0053054B">
              <w:rPr>
                <w:rFonts w:ascii="Arial" w:eastAsia="宋体" w:hAnsi="Arial" w:cs="Arial" w:hint="eastAsia"/>
              </w:rPr>
              <w:t>月起适用于新车型，从</w:t>
            </w:r>
            <w:r w:rsidRPr="0053054B">
              <w:rPr>
                <w:rFonts w:ascii="Arial" w:eastAsia="宋体" w:hAnsi="Arial" w:cs="Arial"/>
              </w:rPr>
              <w:t>2024</w:t>
            </w:r>
            <w:r w:rsidRPr="0053054B">
              <w:rPr>
                <w:rFonts w:ascii="Arial" w:eastAsia="宋体" w:hAnsi="Arial" w:cs="Arial" w:hint="eastAsia"/>
              </w:rPr>
              <w:t>年</w:t>
            </w:r>
            <w:r w:rsidRPr="0053054B">
              <w:rPr>
                <w:rFonts w:ascii="Arial" w:eastAsia="宋体" w:hAnsi="Arial" w:cs="Arial"/>
              </w:rPr>
              <w:t>7</w:t>
            </w:r>
            <w:r w:rsidRPr="0053054B">
              <w:rPr>
                <w:rFonts w:ascii="Arial" w:eastAsia="宋体" w:hAnsi="Arial" w:cs="Arial" w:hint="eastAsia"/>
              </w:rPr>
              <w:t>月起适用于所有新注册的车辆。在中国，</w:t>
            </w:r>
            <w:r w:rsidRPr="0053054B">
              <w:rPr>
                <w:rFonts w:ascii="Arial" w:eastAsia="宋体" w:hAnsi="Arial" w:cs="Arial"/>
              </w:rPr>
              <w:t>2017</w:t>
            </w:r>
            <w:r w:rsidRPr="0053054B">
              <w:rPr>
                <w:rFonts w:ascii="Arial" w:eastAsia="宋体" w:hAnsi="Arial" w:cs="Arial" w:hint="eastAsia"/>
              </w:rPr>
              <w:t>年发布的《乘用车轮胎气压监测系统性能要求及试验方法》要求</w:t>
            </w:r>
            <w:r w:rsidRPr="0053054B">
              <w:rPr>
                <w:rFonts w:ascii="Arial" w:eastAsia="宋体" w:hAnsi="Arial" w:cs="Arial"/>
              </w:rPr>
              <w:t>2019</w:t>
            </w:r>
            <w:r w:rsidRPr="0053054B">
              <w:rPr>
                <w:rFonts w:ascii="Arial" w:eastAsia="宋体" w:hAnsi="Arial" w:cs="Arial" w:hint="eastAsia"/>
              </w:rPr>
              <w:t>年起所有新认证乘用车必须安装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，并于</w:t>
            </w:r>
            <w:r w:rsidRPr="0053054B">
              <w:rPr>
                <w:rFonts w:ascii="Arial" w:eastAsia="宋体" w:hAnsi="Arial" w:cs="Arial"/>
              </w:rPr>
              <w:t>2020</w:t>
            </w:r>
            <w:r w:rsidRPr="0053054B">
              <w:rPr>
                <w:rFonts w:ascii="Arial" w:eastAsia="宋体" w:hAnsi="Arial" w:cs="Arial" w:hint="eastAsia"/>
              </w:rPr>
              <w:t>年起全面实施。由于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通常具有</w:t>
            </w:r>
            <w:r w:rsidRPr="0053054B">
              <w:rPr>
                <w:rFonts w:ascii="Arial" w:eastAsia="宋体" w:hAnsi="Arial" w:cs="Arial"/>
              </w:rPr>
              <w:t>6</w:t>
            </w:r>
            <w:r w:rsidRPr="0053054B">
              <w:rPr>
                <w:rFonts w:ascii="Arial" w:eastAsia="宋体" w:hAnsi="Arial" w:cs="Arial" w:hint="eastAsia"/>
              </w:rPr>
              <w:t>至</w:t>
            </w:r>
            <w:r w:rsidRPr="0053054B">
              <w:rPr>
                <w:rFonts w:ascii="Arial" w:eastAsia="宋体" w:hAnsi="Arial" w:cs="Arial"/>
              </w:rPr>
              <w:t>8</w:t>
            </w:r>
            <w:r w:rsidRPr="0053054B">
              <w:rPr>
                <w:rFonts w:ascii="Arial" w:eastAsia="宋体" w:hAnsi="Arial" w:cs="Arial" w:hint="eastAsia"/>
              </w:rPr>
              <w:t>年的使用寿命，现有庞大存量车辆正创造可观的替换需求。结合监管要求和不断扩大的售后市场渗透率，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市场具有巨大的增长潜力，有望进一步拓宽其在智慧连接和预测性维护方面的应用。根据弗若斯特沙利文发布的行业报告，预计到</w:t>
            </w:r>
            <w:r w:rsidRPr="0053054B">
              <w:rPr>
                <w:rFonts w:ascii="Arial" w:eastAsia="宋体" w:hAnsi="Arial" w:cs="Arial"/>
              </w:rPr>
              <w:t>2030</w:t>
            </w:r>
            <w:r w:rsidRPr="0053054B">
              <w:rPr>
                <w:rFonts w:ascii="Arial" w:eastAsia="宋体" w:hAnsi="Arial" w:cs="Arial" w:hint="eastAsia"/>
              </w:rPr>
              <w:t>年，全球</w:t>
            </w:r>
            <w:r w:rsidRPr="0053054B">
              <w:rPr>
                <w:rFonts w:ascii="Arial" w:eastAsia="宋体" w:hAnsi="Arial" w:cs="Arial"/>
              </w:rPr>
              <w:t>TPMS</w:t>
            </w:r>
            <w:r w:rsidRPr="0053054B">
              <w:rPr>
                <w:rFonts w:ascii="Arial" w:eastAsia="宋体" w:hAnsi="Arial" w:cs="Arial" w:hint="eastAsia"/>
              </w:rPr>
              <w:t>解决方案市场规模将超过</w:t>
            </w:r>
            <w:r w:rsidRPr="0053054B">
              <w:rPr>
                <w:rFonts w:ascii="Arial" w:eastAsia="宋体" w:hAnsi="Arial" w:cs="Arial"/>
              </w:rPr>
              <w:t>14</w:t>
            </w:r>
            <w:r w:rsidRPr="0053054B">
              <w:rPr>
                <w:rFonts w:ascii="Arial" w:eastAsia="宋体" w:hAnsi="Arial" w:cs="Arial" w:hint="eastAsia"/>
              </w:rPr>
              <w:t>亿美元。</w:t>
            </w:r>
          </w:p>
          <w:p w14:paraId="277E8788" w14:textId="69BC616F" w:rsidR="0053054B" w:rsidRPr="00A52232" w:rsidRDefault="0053054B" w:rsidP="005305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A52232">
              <w:rPr>
                <w:rFonts w:ascii="Arial" w:eastAsia="宋体" w:hAnsi="Arial" w:cs="Arial" w:hint="eastAsia"/>
              </w:rPr>
              <w:t>公司提供的胎压传感器为通用型产品，即可适配各种不同型号的汽车，对于维修店或轮胎店来说，成本更低，库存压力更小，越来越多客户选择公司的产品去替代此前采购的原厂传感器。</w:t>
            </w:r>
          </w:p>
          <w:p w14:paraId="1646713A" w14:textId="77777777" w:rsidR="008E58D2" w:rsidRPr="0053054B" w:rsidRDefault="008E58D2" w:rsidP="00945C87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04F8C485" w14:textId="06D512D0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lastRenderedPageBreak/>
              <w:t>问题</w:t>
            </w:r>
            <w:r w:rsidR="00945C87">
              <w:rPr>
                <w:rFonts w:ascii="Arial" w:eastAsia="宋体" w:hAnsi="Arial" w:cs="Arial" w:hint="eastAsia"/>
                <w:b/>
                <w:bCs/>
              </w:rPr>
              <w:t>三</w:t>
            </w:r>
            <w:r w:rsidRPr="009E5D51">
              <w:rPr>
                <w:rFonts w:ascii="Arial" w:eastAsia="宋体" w:hAnsi="Arial" w:cs="Arial" w:hint="eastAsia"/>
                <w:b/>
                <w:bCs/>
              </w:rPr>
              <w:t>：具身智能集群业务增长的驱动力是什么？</w:t>
            </w:r>
          </w:p>
          <w:p w14:paraId="5697D56B" w14:textId="77777777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年，公司在具身智能集群业务领域已构建起“技术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产品</w:t>
            </w:r>
            <w:r w:rsidRPr="009E5D51">
              <w:rPr>
                <w:rFonts w:ascii="Arial" w:eastAsia="宋体" w:hAnsi="Arial" w:cs="Arial"/>
              </w:rPr>
              <w:t>-</w:t>
            </w:r>
            <w:r w:rsidRPr="009E5D51">
              <w:rPr>
                <w:rFonts w:ascii="Arial" w:eastAsia="宋体" w:hAnsi="Arial" w:cs="Arial" w:hint="eastAsia"/>
              </w:rPr>
              <w:t>市场”的完整闭环，核心竞争力持续凸显，为规模化拓展奠定坚实基础。</w:t>
            </w:r>
          </w:p>
          <w:p w14:paraId="19E33F11" w14:textId="4C36B4C5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/>
              </w:rPr>
              <w:t>2026</w:t>
            </w:r>
            <w:r w:rsidRPr="009E5D51">
              <w:rPr>
                <w:rFonts w:ascii="Arial" w:eastAsia="宋体" w:hAnsi="Arial" w:cs="Arial" w:hint="eastAsia"/>
              </w:rPr>
              <w:t>年，公司将强化</w:t>
            </w:r>
            <w:r w:rsidRPr="009E5D51">
              <w:rPr>
                <w:rFonts w:ascii="Arial" w:eastAsia="宋体" w:hAnsi="Arial" w:cs="Arial"/>
              </w:rPr>
              <w:t>Hub</w:t>
            </w:r>
            <w:r w:rsidRPr="009E5D51">
              <w:rPr>
                <w:rFonts w:ascii="Arial" w:eastAsia="宋体" w:hAnsi="Arial" w:cs="Arial" w:hint="eastAsia"/>
              </w:rPr>
              <w:t>平台的生态能力</w:t>
            </w:r>
            <w:r>
              <w:rPr>
                <w:rFonts w:ascii="Arial" w:eastAsia="宋体" w:hAnsi="Arial" w:cs="Arial" w:hint="eastAsia"/>
              </w:rPr>
              <w:t>，</w:t>
            </w:r>
            <w:r w:rsidRPr="009E5D51">
              <w:rPr>
                <w:rFonts w:ascii="Arial" w:eastAsia="宋体" w:hAnsi="Arial" w:cs="Arial" w:hint="eastAsia"/>
              </w:rPr>
              <w:t>支持用户自由接入并集群化管理不同品牌、不同形态的具身机器人，并开展集群自主作业。同时，持续强化</w:t>
            </w:r>
            <w:r w:rsidRPr="009E5D51">
              <w:rPr>
                <w:rFonts w:ascii="Arial" w:eastAsia="宋体" w:hAnsi="Arial" w:cs="Arial"/>
              </w:rPr>
              <w:t xml:space="preserve"> AIP</w:t>
            </w:r>
            <w:r w:rsidRPr="009E5D51">
              <w:rPr>
                <w:rFonts w:ascii="Arial" w:eastAsia="宋体" w:hAnsi="Arial" w:cs="Arial" w:hint="eastAsia"/>
              </w:rPr>
              <w:t>平台，赋能客户构建更多面向垂域场景的</w:t>
            </w:r>
            <w:r w:rsidRPr="009E5D51">
              <w:rPr>
                <w:rFonts w:ascii="Arial" w:eastAsia="宋体" w:hAnsi="Arial" w:cs="Arial"/>
              </w:rPr>
              <w:t>AI Agent</w:t>
            </w:r>
            <w:r w:rsidRPr="009E5D51">
              <w:rPr>
                <w:rFonts w:ascii="Arial" w:eastAsia="宋体" w:hAnsi="Arial" w:cs="Arial" w:hint="eastAsia"/>
              </w:rPr>
              <w:t>矩阵；推进</w:t>
            </w:r>
            <w:r w:rsidRPr="009E5D51">
              <w:rPr>
                <w:rFonts w:ascii="Arial" w:eastAsia="宋体" w:hAnsi="Arial" w:cs="Arial"/>
              </w:rPr>
              <w:t>token</w:t>
            </w:r>
            <w:r w:rsidRPr="009E5D51">
              <w:rPr>
                <w:rFonts w:ascii="Arial" w:eastAsia="宋体" w:hAnsi="Arial" w:cs="Arial" w:hint="eastAsia"/>
              </w:rPr>
              <w:t>使用量的持续性收费模式，提升相关</w:t>
            </w:r>
            <w:r w:rsidRPr="009E5D51">
              <w:rPr>
                <w:rFonts w:ascii="Arial" w:eastAsia="宋体" w:hAnsi="Arial" w:cs="Arial"/>
              </w:rPr>
              <w:t>Agents</w:t>
            </w:r>
            <w:r w:rsidRPr="009E5D51">
              <w:rPr>
                <w:rFonts w:ascii="Arial" w:eastAsia="宋体" w:hAnsi="Arial" w:cs="Arial" w:hint="eastAsia"/>
              </w:rPr>
              <w:t>应用的收费及盈利能力。</w:t>
            </w:r>
          </w:p>
          <w:p w14:paraId="3DF736CF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4FFE6F8D" w14:textId="018EA2FC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945C87">
              <w:rPr>
                <w:rFonts w:ascii="Arial" w:eastAsia="宋体" w:hAnsi="Arial" w:cs="Arial" w:hint="eastAsia"/>
                <w:b/>
                <w:bCs/>
              </w:rPr>
              <w:t>四</w:t>
            </w:r>
            <w:r w:rsidRPr="009E5D51"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9054E1">
              <w:rPr>
                <w:rFonts w:ascii="Arial" w:eastAsia="宋体" w:hAnsi="Arial" w:cs="Arial" w:hint="eastAsia"/>
                <w:b/>
                <w:bCs/>
              </w:rPr>
              <w:t>公司布局的</w:t>
            </w:r>
            <w:r w:rsidRPr="009E5D51">
              <w:rPr>
                <w:rFonts w:ascii="Arial" w:eastAsia="宋体" w:hAnsi="Arial" w:cs="Arial" w:hint="eastAsia"/>
                <w:b/>
                <w:bCs/>
              </w:rPr>
              <w:t>储充项目进展如何？</w:t>
            </w:r>
          </w:p>
          <w:p w14:paraId="79E8A767" w14:textId="27FA76F8" w:rsidR="009E5D51" w:rsidRPr="009E5D51" w:rsidRDefault="009E5D51" w:rsidP="009054E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="009054E1">
              <w:rPr>
                <w:rFonts w:ascii="Arial" w:eastAsia="宋体" w:hAnsi="Arial" w:cs="Arial" w:hint="eastAsia"/>
              </w:rPr>
              <w:t>公司的一站式能源管理解决方案</w:t>
            </w:r>
            <w:r w:rsidR="009054E1" w:rsidRPr="009054E1">
              <w:rPr>
                <w:rFonts w:ascii="Arial" w:eastAsia="宋体" w:hAnsi="Arial" w:cs="Arial" w:hint="eastAsia"/>
              </w:rPr>
              <w:t>以充电为切入点，以智能化能源管理为核心，融合“光、储、充、边、云”，基于发电和负载预测，结合能源优化、智能充电、智能调度和电池检测等算法，实现充电侧需求电力保障、动态扩容、降低需量费用、削峰填谷等功能，助力客户以最优成本实现最高充电利用率、提升充电运营收益、大幅缩短投资回报周期。</w:t>
            </w:r>
          </w:p>
          <w:p w14:paraId="3AE178A5" w14:textId="12418A33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在北美市场的电力应用场景，公司已与多家美国州立及区域电力公司达成合作，合作区域涵盖内华达州、加利福尼亚州、德克萨斯州等能源需求最为集中的地区，通过“智能充电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储能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能源优化”一体化能力，其中与内华达州</w:t>
            </w:r>
            <w:r w:rsidRPr="009E5D51">
              <w:rPr>
                <w:rFonts w:ascii="Arial" w:eastAsia="宋体" w:hAnsi="Arial" w:cs="Arial"/>
              </w:rPr>
              <w:t>N</w:t>
            </w:r>
            <w:r w:rsidRPr="009E5D51">
              <w:rPr>
                <w:rFonts w:ascii="Arial" w:eastAsia="宋体" w:hAnsi="Arial" w:cs="Arial" w:hint="eastAsia"/>
              </w:rPr>
              <w:t>公司合作的项目，为极端天气下数据中心和工业用电的稳定性提供了保障。凭借具备模块化复制扩展能力的“储能</w:t>
            </w:r>
            <w:r w:rsidRPr="009E5D51">
              <w:rPr>
                <w:rFonts w:ascii="Arial" w:eastAsia="宋体" w:hAnsi="Arial" w:cs="Arial"/>
              </w:rPr>
              <w:t>+</w:t>
            </w:r>
            <w:r w:rsidRPr="009E5D51">
              <w:rPr>
                <w:rFonts w:ascii="Arial" w:eastAsia="宋体" w:hAnsi="Arial" w:cs="Arial" w:hint="eastAsia"/>
              </w:rPr>
              <w:t>超充</w:t>
            </w:r>
            <w:r w:rsidRPr="009E5D51">
              <w:rPr>
                <w:rFonts w:ascii="Arial" w:eastAsia="宋体" w:hAnsi="Arial" w:cs="Arial"/>
              </w:rPr>
              <w:t>+EMS</w:t>
            </w:r>
            <w:r w:rsidR="00C612E9">
              <w:rPr>
                <w:rFonts w:ascii="Arial" w:eastAsia="宋体" w:hAnsi="Arial" w:cs="Arial" w:hint="eastAsia"/>
              </w:rPr>
              <w:t>”</w:t>
            </w:r>
            <w:r w:rsidRPr="009E5D51">
              <w:rPr>
                <w:rFonts w:ascii="Arial" w:eastAsia="宋体" w:hAnsi="Arial" w:cs="Arial" w:hint="eastAsia"/>
              </w:rPr>
              <w:t>系统，为后续合作从单点试点走向规模化铺开打下基础。截至</w:t>
            </w:r>
            <w:r w:rsidRPr="009E5D51">
              <w:rPr>
                <w:rFonts w:ascii="Arial" w:eastAsia="宋体" w:hAnsi="Arial" w:cs="Arial"/>
              </w:rPr>
              <w:t>2025</w:t>
            </w:r>
            <w:r w:rsidRPr="009E5D51">
              <w:rPr>
                <w:rFonts w:ascii="Arial" w:eastAsia="宋体" w:hAnsi="Arial" w:cs="Arial" w:hint="eastAsia"/>
              </w:rPr>
              <w:t>年年底，公司已在北美开工打造</w:t>
            </w:r>
            <w:r w:rsidRPr="009E5D51">
              <w:rPr>
                <w:rFonts w:ascii="Arial" w:eastAsia="宋体" w:hAnsi="Arial" w:cs="Arial"/>
              </w:rPr>
              <w:t>6</w:t>
            </w:r>
            <w:r w:rsidRPr="009E5D51">
              <w:rPr>
                <w:rFonts w:ascii="Arial" w:eastAsia="宋体" w:hAnsi="Arial" w:cs="Arial" w:hint="eastAsia"/>
              </w:rPr>
              <w:t>个储能</w:t>
            </w:r>
            <w:r w:rsidRPr="009E5D51">
              <w:rPr>
                <w:rFonts w:ascii="Arial" w:eastAsia="宋体" w:hAnsi="Arial" w:cs="Arial"/>
              </w:rPr>
              <w:t xml:space="preserve"> + </w:t>
            </w:r>
            <w:r w:rsidRPr="009E5D51">
              <w:rPr>
                <w:rFonts w:ascii="Arial" w:eastAsia="宋体" w:hAnsi="Arial" w:cs="Arial" w:hint="eastAsia"/>
              </w:rPr>
              <w:t>超充标杆项目。目前已有</w:t>
            </w:r>
            <w:r w:rsidRPr="009E5D51">
              <w:rPr>
                <w:rFonts w:ascii="Arial" w:eastAsia="宋体" w:hAnsi="Arial" w:cs="Arial"/>
              </w:rPr>
              <w:t>1</w:t>
            </w:r>
            <w:r w:rsidRPr="009E5D51">
              <w:rPr>
                <w:rFonts w:ascii="Arial" w:eastAsia="宋体" w:hAnsi="Arial" w:cs="Arial" w:hint="eastAsia"/>
              </w:rPr>
              <w:t>个站点完工，未来计划将方案标准化并在美国大量推广，并规划在</w:t>
            </w:r>
            <w:r w:rsidRPr="009E5D51">
              <w:rPr>
                <w:rFonts w:ascii="Arial" w:eastAsia="宋体" w:hAnsi="Arial" w:cs="Arial"/>
              </w:rPr>
              <w:t>2026</w:t>
            </w:r>
            <w:r w:rsidRPr="009E5D51">
              <w:rPr>
                <w:rFonts w:ascii="Arial" w:eastAsia="宋体" w:hAnsi="Arial" w:cs="Arial" w:hint="eastAsia"/>
              </w:rPr>
              <w:t>年对大型充电站开展超</w:t>
            </w:r>
            <w:r w:rsidRPr="009E5D51">
              <w:rPr>
                <w:rFonts w:ascii="Arial" w:eastAsia="宋体" w:hAnsi="Arial" w:cs="Arial"/>
              </w:rPr>
              <w:t>5</w:t>
            </w:r>
            <w:r w:rsidRPr="009E5D51">
              <w:rPr>
                <w:rFonts w:ascii="Arial" w:eastAsia="宋体" w:hAnsi="Arial" w:cs="Arial" w:hint="eastAsia"/>
              </w:rPr>
              <w:t>兆瓦时的储能项目。</w:t>
            </w:r>
          </w:p>
          <w:p w14:paraId="37559F1C" w14:textId="77777777" w:rsid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A30320B" w14:textId="16E14E5A" w:rsidR="00945C87" w:rsidRPr="004D6315" w:rsidRDefault="00945C87" w:rsidP="00945C87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D6315">
              <w:rPr>
                <w:rFonts w:ascii="Arial" w:eastAsia="宋体" w:hAnsi="Arial" w:cs="Arial" w:hint="eastAsia"/>
                <w:b/>
                <w:bCs/>
              </w:rPr>
              <w:t>问题</w:t>
            </w:r>
            <w:r>
              <w:rPr>
                <w:rFonts w:ascii="Arial" w:eastAsia="宋体" w:hAnsi="Arial" w:cs="Arial" w:hint="eastAsia"/>
                <w:b/>
                <w:bCs/>
              </w:rPr>
              <w:t>五：公司以海外业务为主，如何进行全球化的布局？</w:t>
            </w:r>
          </w:p>
          <w:p w14:paraId="25FCCBB5" w14:textId="77777777" w:rsidR="00945C87" w:rsidRPr="009054E1" w:rsidRDefault="00945C87" w:rsidP="00945C8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054E1">
              <w:rPr>
                <w:rFonts w:ascii="Arial" w:eastAsia="宋体" w:hAnsi="Arial" w:cs="Arial" w:hint="eastAsia"/>
              </w:rPr>
              <w:t>公司始终坚持全球化布局，秉持“全球创新、全球市场、全球制造”的核心理念，构建起覆盖研发、销售、制造的全链路体系，为全球业务拓展筑牢坚实基础。</w:t>
            </w:r>
          </w:p>
          <w:p w14:paraId="6E1F9992" w14:textId="77777777" w:rsidR="00945C87" w:rsidRPr="009054E1" w:rsidRDefault="00945C87" w:rsidP="00945C8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（</w:t>
            </w:r>
            <w:r>
              <w:rPr>
                <w:rFonts w:ascii="Arial" w:eastAsia="宋体" w:hAnsi="Arial" w:cs="Arial" w:hint="eastAsia"/>
              </w:rPr>
              <w:t>1</w:t>
            </w:r>
            <w:r>
              <w:rPr>
                <w:rFonts w:ascii="Arial" w:eastAsia="宋体" w:hAnsi="Arial" w:cs="Arial" w:hint="eastAsia"/>
              </w:rPr>
              <w:t>）</w:t>
            </w:r>
            <w:r w:rsidRPr="009054E1">
              <w:rPr>
                <w:rFonts w:ascii="Arial" w:eastAsia="宋体" w:hAnsi="Arial" w:cs="Arial" w:hint="eastAsia"/>
              </w:rPr>
              <w:t>完善的全球创新研发体系。公司聚焦核心技术突破与区域化市场需求的结合，在全球布局了多个研发中心，充分激活各地区在电力电子、</w:t>
            </w:r>
            <w:r w:rsidRPr="009054E1">
              <w:rPr>
                <w:rFonts w:ascii="Arial" w:eastAsia="宋体" w:hAnsi="Arial" w:cs="Arial"/>
              </w:rPr>
              <w:t>AI</w:t>
            </w:r>
            <w:r w:rsidRPr="009054E1">
              <w:rPr>
                <w:rFonts w:ascii="Arial" w:eastAsia="宋体" w:hAnsi="Arial" w:cs="Arial" w:hint="eastAsia"/>
              </w:rPr>
              <w:t>智能</w:t>
            </w:r>
            <w:r w:rsidRPr="009054E1">
              <w:rPr>
                <w:rFonts w:ascii="Arial" w:eastAsia="宋体" w:hAnsi="Arial" w:cs="Arial" w:hint="eastAsia"/>
              </w:rPr>
              <w:lastRenderedPageBreak/>
              <w:t>化、工业设计与软件开发等领域的技术优势。通过跨地域协作机制，公司既保障了前沿技术的突破，又能快速适配不同市场的本地化需求，推动技术创新与商业化落地的高效衔接。</w:t>
            </w:r>
          </w:p>
          <w:p w14:paraId="4D53666E" w14:textId="77777777" w:rsidR="00945C87" w:rsidRPr="009054E1" w:rsidRDefault="00945C87" w:rsidP="00945C8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（</w:t>
            </w: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 w:hint="eastAsia"/>
              </w:rPr>
              <w:t>）</w:t>
            </w:r>
            <w:r w:rsidRPr="009054E1">
              <w:rPr>
                <w:rFonts w:ascii="Arial" w:eastAsia="宋体" w:hAnsi="Arial" w:cs="Arial" w:hint="eastAsia"/>
              </w:rPr>
              <w:t>广泛的全球销售服务网络。依托在全球设立的直属销售子公司与本地化服务团队，公司已构建了覆盖北美、欧洲、亚太、中东和南美等</w:t>
            </w:r>
            <w:r w:rsidRPr="009054E1">
              <w:rPr>
                <w:rFonts w:ascii="Arial" w:eastAsia="宋体" w:hAnsi="Arial" w:cs="Arial"/>
              </w:rPr>
              <w:t>120</w:t>
            </w:r>
            <w:r w:rsidRPr="009054E1">
              <w:rPr>
                <w:rFonts w:ascii="Arial" w:eastAsia="宋体" w:hAnsi="Arial" w:cs="Arial" w:hint="eastAsia"/>
              </w:rPr>
              <w:t>多个国家和地区的营销服务网络，可快速洞察各区域的市场趋势与客户痛点，实现从需求对接、产品开发到售后服务的全周期敏捷响应，为全球客户提供一致、优质的服务体验。</w:t>
            </w:r>
          </w:p>
          <w:p w14:paraId="138D757C" w14:textId="77777777" w:rsidR="00945C87" w:rsidRPr="009054E1" w:rsidRDefault="00945C87" w:rsidP="00945C8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（</w:t>
            </w:r>
            <w:r>
              <w:rPr>
                <w:rFonts w:ascii="Arial" w:eastAsia="宋体" w:hAnsi="Arial" w:cs="Arial" w:hint="eastAsia"/>
              </w:rPr>
              <w:t>3</w:t>
            </w:r>
            <w:r>
              <w:rPr>
                <w:rFonts w:ascii="Arial" w:eastAsia="宋体" w:hAnsi="Arial" w:cs="Arial" w:hint="eastAsia"/>
              </w:rPr>
              <w:t>）</w:t>
            </w:r>
            <w:r w:rsidRPr="009054E1">
              <w:rPr>
                <w:rFonts w:ascii="Arial" w:eastAsia="宋体" w:hAnsi="Arial" w:cs="Arial" w:hint="eastAsia"/>
              </w:rPr>
              <w:t>坚实的全球生产供应链体系。公司已在中国、越南、美国和墨西哥建立了四大生产基地，各生产基地均配备本地化的生产经营团队和供应链体系，对持续优化资源配置，应对国际贸易环境变化的不确定性风险，进一步提升产品的市场竞争力具有重大战略意义，有助于公司提高供应链的响应速度和整体运营效率，助力公司在全球范围内保持领先地位并实现可持续发展。</w:t>
            </w:r>
          </w:p>
          <w:p w14:paraId="764A5F7E" w14:textId="78ED013E" w:rsidR="0053054B" w:rsidRPr="00945C87" w:rsidRDefault="0053054B" w:rsidP="005305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6CE2" w14:textId="77777777" w:rsidR="00714427" w:rsidRDefault="00714427" w:rsidP="00EB5708">
      <w:pPr>
        <w:spacing w:after="0" w:line="240" w:lineRule="auto"/>
      </w:pPr>
      <w:r>
        <w:separator/>
      </w:r>
    </w:p>
  </w:endnote>
  <w:endnote w:type="continuationSeparator" w:id="0">
    <w:p w14:paraId="0B669162" w14:textId="77777777" w:rsidR="00714427" w:rsidRDefault="00714427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FC88" w14:textId="77777777" w:rsidR="00714427" w:rsidRDefault="00714427" w:rsidP="00EB5708">
      <w:pPr>
        <w:spacing w:after="0" w:line="240" w:lineRule="auto"/>
      </w:pPr>
      <w:r>
        <w:separator/>
      </w:r>
    </w:p>
  </w:footnote>
  <w:footnote w:type="continuationSeparator" w:id="0">
    <w:p w14:paraId="510D548B" w14:textId="77777777" w:rsidR="00714427" w:rsidRDefault="00714427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158E0"/>
    <w:rsid w:val="00021595"/>
    <w:rsid w:val="0002289F"/>
    <w:rsid w:val="00041EBA"/>
    <w:rsid w:val="000A7278"/>
    <w:rsid w:val="000A7CDE"/>
    <w:rsid w:val="000B7BC9"/>
    <w:rsid w:val="000D5619"/>
    <w:rsid w:val="000D75F4"/>
    <w:rsid w:val="00106843"/>
    <w:rsid w:val="001115FF"/>
    <w:rsid w:val="0012028D"/>
    <w:rsid w:val="0013605F"/>
    <w:rsid w:val="00144123"/>
    <w:rsid w:val="00161456"/>
    <w:rsid w:val="00163FD5"/>
    <w:rsid w:val="001803EE"/>
    <w:rsid w:val="001947A5"/>
    <w:rsid w:val="0019793B"/>
    <w:rsid w:val="001A3E54"/>
    <w:rsid w:val="001A56C8"/>
    <w:rsid w:val="001B19F0"/>
    <w:rsid w:val="001C06D9"/>
    <w:rsid w:val="001E5825"/>
    <w:rsid w:val="00203091"/>
    <w:rsid w:val="0020687A"/>
    <w:rsid w:val="00211B95"/>
    <w:rsid w:val="00216B51"/>
    <w:rsid w:val="00217A40"/>
    <w:rsid w:val="00223270"/>
    <w:rsid w:val="00233A40"/>
    <w:rsid w:val="00237F9D"/>
    <w:rsid w:val="00241E63"/>
    <w:rsid w:val="00251C27"/>
    <w:rsid w:val="002E1177"/>
    <w:rsid w:val="00323FBD"/>
    <w:rsid w:val="0033533F"/>
    <w:rsid w:val="0038547E"/>
    <w:rsid w:val="003B554B"/>
    <w:rsid w:val="003B6297"/>
    <w:rsid w:val="003C38AA"/>
    <w:rsid w:val="003D224A"/>
    <w:rsid w:val="003E313C"/>
    <w:rsid w:val="0040467C"/>
    <w:rsid w:val="004109CD"/>
    <w:rsid w:val="004235DB"/>
    <w:rsid w:val="00436266"/>
    <w:rsid w:val="004446E7"/>
    <w:rsid w:val="004554C6"/>
    <w:rsid w:val="0047657D"/>
    <w:rsid w:val="004824B1"/>
    <w:rsid w:val="004B3B69"/>
    <w:rsid w:val="004C256B"/>
    <w:rsid w:val="004C4F60"/>
    <w:rsid w:val="004D49B0"/>
    <w:rsid w:val="004D6315"/>
    <w:rsid w:val="004E0BD4"/>
    <w:rsid w:val="004E15FD"/>
    <w:rsid w:val="005039D0"/>
    <w:rsid w:val="00520C4A"/>
    <w:rsid w:val="00521F11"/>
    <w:rsid w:val="0053054B"/>
    <w:rsid w:val="0054356B"/>
    <w:rsid w:val="00560C3F"/>
    <w:rsid w:val="00594C54"/>
    <w:rsid w:val="005A6CDF"/>
    <w:rsid w:val="005A791D"/>
    <w:rsid w:val="005B683A"/>
    <w:rsid w:val="005C303B"/>
    <w:rsid w:val="005C485D"/>
    <w:rsid w:val="005D664A"/>
    <w:rsid w:val="005E3B3F"/>
    <w:rsid w:val="00601DE0"/>
    <w:rsid w:val="006044D5"/>
    <w:rsid w:val="00660C0B"/>
    <w:rsid w:val="00661962"/>
    <w:rsid w:val="006760EF"/>
    <w:rsid w:val="006925FC"/>
    <w:rsid w:val="00693340"/>
    <w:rsid w:val="006B2BFA"/>
    <w:rsid w:val="006B6A68"/>
    <w:rsid w:val="006D428A"/>
    <w:rsid w:val="006D45E7"/>
    <w:rsid w:val="006E7E75"/>
    <w:rsid w:val="006F55A8"/>
    <w:rsid w:val="00714427"/>
    <w:rsid w:val="00721DCF"/>
    <w:rsid w:val="00723F1B"/>
    <w:rsid w:val="00725CC7"/>
    <w:rsid w:val="007515D9"/>
    <w:rsid w:val="00752EF2"/>
    <w:rsid w:val="007873F1"/>
    <w:rsid w:val="0079287D"/>
    <w:rsid w:val="00796B91"/>
    <w:rsid w:val="00797803"/>
    <w:rsid w:val="007C30B5"/>
    <w:rsid w:val="007C6110"/>
    <w:rsid w:val="007E4B1D"/>
    <w:rsid w:val="007F0F10"/>
    <w:rsid w:val="00810A2C"/>
    <w:rsid w:val="00810BE5"/>
    <w:rsid w:val="00822B82"/>
    <w:rsid w:val="00830B93"/>
    <w:rsid w:val="00844DAE"/>
    <w:rsid w:val="008530FA"/>
    <w:rsid w:val="008531C7"/>
    <w:rsid w:val="00860716"/>
    <w:rsid w:val="008614C5"/>
    <w:rsid w:val="00862FD1"/>
    <w:rsid w:val="0086731E"/>
    <w:rsid w:val="00867E96"/>
    <w:rsid w:val="00876CE9"/>
    <w:rsid w:val="008925F3"/>
    <w:rsid w:val="008A7157"/>
    <w:rsid w:val="008B087D"/>
    <w:rsid w:val="008B16B8"/>
    <w:rsid w:val="008C0EB6"/>
    <w:rsid w:val="008C4245"/>
    <w:rsid w:val="008D0BCD"/>
    <w:rsid w:val="008E58D2"/>
    <w:rsid w:val="008F7C56"/>
    <w:rsid w:val="009054E1"/>
    <w:rsid w:val="00930348"/>
    <w:rsid w:val="009317B5"/>
    <w:rsid w:val="0094455E"/>
    <w:rsid w:val="00945C87"/>
    <w:rsid w:val="00952D1A"/>
    <w:rsid w:val="00967931"/>
    <w:rsid w:val="00993E6F"/>
    <w:rsid w:val="009A4735"/>
    <w:rsid w:val="009B698C"/>
    <w:rsid w:val="009D5B4F"/>
    <w:rsid w:val="009E5D51"/>
    <w:rsid w:val="009F78F8"/>
    <w:rsid w:val="00A210F8"/>
    <w:rsid w:val="00A25E2D"/>
    <w:rsid w:val="00A421EB"/>
    <w:rsid w:val="00A505E7"/>
    <w:rsid w:val="00A52232"/>
    <w:rsid w:val="00A53C3B"/>
    <w:rsid w:val="00A55FC9"/>
    <w:rsid w:val="00A93F09"/>
    <w:rsid w:val="00AC3C2F"/>
    <w:rsid w:val="00AD640F"/>
    <w:rsid w:val="00AF49AB"/>
    <w:rsid w:val="00AF7559"/>
    <w:rsid w:val="00B04314"/>
    <w:rsid w:val="00B176FA"/>
    <w:rsid w:val="00B26CA1"/>
    <w:rsid w:val="00B31515"/>
    <w:rsid w:val="00B72DF7"/>
    <w:rsid w:val="00B83438"/>
    <w:rsid w:val="00BB4870"/>
    <w:rsid w:val="00BD00EF"/>
    <w:rsid w:val="00C075F8"/>
    <w:rsid w:val="00C40897"/>
    <w:rsid w:val="00C534E9"/>
    <w:rsid w:val="00C60789"/>
    <w:rsid w:val="00C612E9"/>
    <w:rsid w:val="00C7204E"/>
    <w:rsid w:val="00C83A22"/>
    <w:rsid w:val="00C86FBF"/>
    <w:rsid w:val="00CB669D"/>
    <w:rsid w:val="00CC0CEB"/>
    <w:rsid w:val="00CC4C35"/>
    <w:rsid w:val="00CD19D8"/>
    <w:rsid w:val="00D10B88"/>
    <w:rsid w:val="00D37C0F"/>
    <w:rsid w:val="00D46EE4"/>
    <w:rsid w:val="00D5168F"/>
    <w:rsid w:val="00D65322"/>
    <w:rsid w:val="00DA3E07"/>
    <w:rsid w:val="00DA6C4A"/>
    <w:rsid w:val="00DC1CA7"/>
    <w:rsid w:val="00DD6E7E"/>
    <w:rsid w:val="00E21D94"/>
    <w:rsid w:val="00E70344"/>
    <w:rsid w:val="00E775FD"/>
    <w:rsid w:val="00E83638"/>
    <w:rsid w:val="00E926F8"/>
    <w:rsid w:val="00EB334B"/>
    <w:rsid w:val="00EB5708"/>
    <w:rsid w:val="00EB5844"/>
    <w:rsid w:val="00EF2600"/>
    <w:rsid w:val="00F00292"/>
    <w:rsid w:val="00F01914"/>
    <w:rsid w:val="00F1763F"/>
    <w:rsid w:val="00F17972"/>
    <w:rsid w:val="00F36864"/>
    <w:rsid w:val="00F45A1D"/>
    <w:rsid w:val="00F5315C"/>
    <w:rsid w:val="00F64AC9"/>
    <w:rsid w:val="00F9631B"/>
    <w:rsid w:val="00FD530A"/>
    <w:rsid w:val="00FE21D5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table" w:styleId="af7">
    <w:name w:val="Table Grid"/>
    <w:basedOn w:val="a1"/>
    <w:uiPriority w:val="39"/>
    <w:rsid w:val="008C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6</Pages>
  <Words>655</Words>
  <Characters>3736</Characters>
  <Application>Microsoft Office Word</Application>
  <DocSecurity>0</DocSecurity>
  <Lines>31</Lines>
  <Paragraphs>8</Paragraphs>
  <ScaleCrop>false</ScaleCrop>
  <Company>QN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172</cp:revision>
  <cp:lastPrinted>2023-10-25T11:35:00Z</cp:lastPrinted>
  <dcterms:created xsi:type="dcterms:W3CDTF">2025-02-24T02:08:00Z</dcterms:created>
  <dcterms:modified xsi:type="dcterms:W3CDTF">2026-03-26T02:21:00Z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