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9D4F" w14:textId="77777777" w:rsidR="00600507" w:rsidRPr="00887E74" w:rsidRDefault="00600507" w:rsidP="00600507">
      <w:pPr>
        <w:spacing w:beforeLines="50" w:before="156" w:afterLines="50" w:after="156" w:line="400" w:lineRule="exact"/>
        <w:ind w:firstLineChars="0" w:firstLine="0"/>
        <w:rPr>
          <w:rFonts w:ascii="宋体" w:hAnsi="宋体" w:hint="eastAsia"/>
          <w:bCs/>
          <w:iCs/>
          <w:szCs w:val="22"/>
        </w:rPr>
      </w:pPr>
      <w:r w:rsidRPr="00887E74">
        <w:rPr>
          <w:rFonts w:ascii="宋体" w:hAnsi="宋体" w:hint="eastAsia"/>
          <w:bCs/>
          <w:iCs/>
          <w:szCs w:val="22"/>
        </w:rPr>
        <w:t>证券代码：</w:t>
      </w:r>
      <w:r w:rsidR="00976F09" w:rsidRPr="00887E74">
        <w:rPr>
          <w:rFonts w:ascii="宋体" w:hAnsi="宋体"/>
          <w:bCs/>
          <w:iCs/>
          <w:szCs w:val="22"/>
        </w:rPr>
        <w:t>688161</w:t>
      </w:r>
      <w:r w:rsidRPr="00887E74">
        <w:rPr>
          <w:rFonts w:ascii="宋体" w:hAnsi="宋体" w:hint="eastAsia"/>
          <w:bCs/>
          <w:iCs/>
          <w:szCs w:val="22"/>
        </w:rPr>
        <w:t xml:space="preserve">                           </w:t>
      </w:r>
      <w:r w:rsidRPr="00887E74">
        <w:rPr>
          <w:rFonts w:ascii="宋体" w:hAnsi="宋体"/>
          <w:bCs/>
          <w:iCs/>
          <w:szCs w:val="22"/>
        </w:rPr>
        <w:t xml:space="preserve">      </w:t>
      </w:r>
      <w:r w:rsidRPr="00887E74">
        <w:rPr>
          <w:rFonts w:ascii="宋体" w:hAnsi="宋体" w:hint="eastAsia"/>
          <w:bCs/>
          <w:iCs/>
          <w:szCs w:val="22"/>
        </w:rPr>
        <w:t>证券简称：</w:t>
      </w:r>
      <w:r w:rsidR="00976F09" w:rsidRPr="00887E74">
        <w:rPr>
          <w:rFonts w:ascii="宋体" w:hAnsi="宋体" w:hint="eastAsia"/>
          <w:bCs/>
          <w:iCs/>
          <w:szCs w:val="22"/>
        </w:rPr>
        <w:t>威高骨科</w:t>
      </w:r>
    </w:p>
    <w:p w14:paraId="2C05BB1D" w14:textId="77777777" w:rsidR="00600507" w:rsidRPr="00887E74" w:rsidRDefault="00976F09" w:rsidP="00600507">
      <w:pPr>
        <w:ind w:firstLine="482"/>
        <w:jc w:val="center"/>
        <w:rPr>
          <w:rFonts w:ascii="宋体" w:hAnsi="宋体" w:hint="eastAsia"/>
          <w:b/>
          <w:bCs/>
          <w:iCs/>
        </w:rPr>
      </w:pPr>
      <w:r w:rsidRPr="00887E74">
        <w:rPr>
          <w:rFonts w:ascii="宋体" w:hAnsi="宋体" w:hint="eastAsia"/>
          <w:b/>
          <w:bCs/>
          <w:iCs/>
        </w:rPr>
        <w:t>山东威高骨科材料股份</w:t>
      </w:r>
      <w:r w:rsidR="00600507" w:rsidRPr="00887E74">
        <w:rPr>
          <w:rFonts w:ascii="宋体" w:hAnsi="宋体" w:hint="eastAsia"/>
          <w:b/>
          <w:bCs/>
          <w:iCs/>
        </w:rPr>
        <w:t>有限公司投资者关系活动记录表</w:t>
      </w:r>
    </w:p>
    <w:p w14:paraId="72E81216" w14:textId="5DA99D4E" w:rsidR="00600507" w:rsidRPr="00887E74" w:rsidRDefault="00600507" w:rsidP="00600507">
      <w:pPr>
        <w:spacing w:line="400" w:lineRule="exact"/>
        <w:ind w:firstLine="480"/>
        <w:rPr>
          <w:rFonts w:ascii="宋体" w:hAnsi="宋体" w:hint="eastAsia"/>
          <w:bCs/>
          <w:iCs/>
        </w:rPr>
      </w:pPr>
      <w:r w:rsidRPr="00887E74">
        <w:rPr>
          <w:rFonts w:ascii="宋体" w:hAnsi="宋体" w:hint="eastAsia"/>
          <w:bCs/>
          <w:iCs/>
        </w:rPr>
        <w:t xml:space="preserve">                         </w:t>
      </w:r>
      <w:r w:rsidR="00895106" w:rsidRPr="00887E74">
        <w:rPr>
          <w:rFonts w:ascii="宋体" w:hAnsi="宋体" w:hint="eastAsia"/>
          <w:bCs/>
          <w:iCs/>
        </w:rPr>
        <w:t xml:space="preserve">                           </w:t>
      </w:r>
      <w:r w:rsidRPr="00887E74">
        <w:rPr>
          <w:rFonts w:ascii="宋体" w:hAnsi="宋体" w:hint="eastAsia"/>
          <w:bCs/>
          <w:iCs/>
        </w:rPr>
        <w:t>编号：</w:t>
      </w:r>
      <w:r w:rsidR="00895106" w:rsidRPr="00887E74">
        <w:rPr>
          <w:rFonts w:ascii="宋体" w:hAnsi="宋体" w:hint="eastAsia"/>
          <w:bCs/>
          <w:iCs/>
        </w:rPr>
        <w:t>2</w:t>
      </w:r>
      <w:r w:rsidR="00895106" w:rsidRPr="00887E74">
        <w:rPr>
          <w:rFonts w:ascii="宋体" w:hAnsi="宋体"/>
          <w:bCs/>
          <w:iCs/>
        </w:rPr>
        <w:t>02</w:t>
      </w:r>
      <w:r w:rsidR="00700CF6">
        <w:rPr>
          <w:rFonts w:ascii="宋体" w:hAnsi="宋体" w:hint="eastAsia"/>
          <w:bCs/>
          <w:iCs/>
        </w:rPr>
        <w:t>6</w:t>
      </w:r>
      <w:r w:rsidR="00895106" w:rsidRPr="00887E74">
        <w:rPr>
          <w:rFonts w:ascii="宋体" w:hAnsi="宋体"/>
          <w:bCs/>
          <w:iCs/>
        </w:rPr>
        <w:t>-</w:t>
      </w:r>
      <w:r w:rsidR="00F37B6F" w:rsidRPr="00887E74">
        <w:rPr>
          <w:rFonts w:ascii="宋体" w:hAnsi="宋体"/>
          <w:bCs/>
          <w:iCs/>
        </w:rPr>
        <w:t>00</w:t>
      </w:r>
      <w:r w:rsidR="00F74E37">
        <w:rPr>
          <w:rFonts w:ascii="宋体" w:hAnsi="宋体"/>
          <w:bCs/>
          <w:iCs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443"/>
      </w:tblGrid>
      <w:tr w:rsidR="00887E74" w:rsidRPr="00887E74" w14:paraId="54B3235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CBEE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投资者关系活动类别</w:t>
            </w:r>
          </w:p>
          <w:p w14:paraId="553E3FB4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8DA" w14:textId="604DAAB8" w:rsidR="00600507" w:rsidRPr="00887E74" w:rsidRDefault="00C64890" w:rsidP="006E0909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 xml:space="preserve">特定对象调研        </w:t>
            </w:r>
            <w:r w:rsidR="00600507"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分析师会议</w:t>
            </w:r>
          </w:p>
          <w:p w14:paraId="45A66294" w14:textId="6A417CCD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媒体采访            </w:t>
            </w:r>
            <w:r w:rsidR="00C64890" w:rsidRPr="00887E74">
              <w:rPr>
                <w:rFonts w:ascii="宋体" w:hAnsi="宋体" w:hint="eastAsia"/>
                <w:bCs/>
                <w:iCs/>
              </w:rPr>
              <w:t>√</w:t>
            </w:r>
            <w:r w:rsidRPr="00887E74">
              <w:rPr>
                <w:rFonts w:ascii="宋体" w:hAnsi="宋体" w:hint="eastAsia"/>
              </w:rPr>
              <w:t>业绩说明会</w:t>
            </w:r>
          </w:p>
          <w:p w14:paraId="1B20AA60" w14:textId="77777777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新闻发布会          </w:t>
            </w: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路演活动</w:t>
            </w:r>
          </w:p>
          <w:p w14:paraId="4F34D9D9" w14:textId="77777777" w:rsidR="00600507" w:rsidRPr="00887E74" w:rsidRDefault="00600507" w:rsidP="006E090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现场参观</w:t>
            </w:r>
            <w:r w:rsidRPr="00887E74">
              <w:rPr>
                <w:rFonts w:ascii="宋体" w:hAnsi="宋体" w:hint="eastAsia"/>
                <w:bCs/>
                <w:iCs/>
              </w:rPr>
              <w:tab/>
            </w:r>
          </w:p>
          <w:p w14:paraId="399643C8" w14:textId="170CAECC" w:rsidR="00600507" w:rsidRPr="00887E74" w:rsidRDefault="00221259" w:rsidP="006E0909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其他 （</w:t>
            </w:r>
            <w:proofErr w:type="gramStart"/>
            <w:r w:rsidR="00600507" w:rsidRPr="00887E74">
              <w:rPr>
                <w:rFonts w:ascii="宋体" w:hAnsi="宋体" w:hint="eastAsia"/>
                <w:u w:val="single"/>
              </w:rPr>
              <w:t>请文字</w:t>
            </w:r>
            <w:proofErr w:type="gramEnd"/>
            <w:r w:rsidR="00600507" w:rsidRPr="00887E74">
              <w:rPr>
                <w:rFonts w:ascii="宋体" w:hAnsi="宋体" w:hint="eastAsia"/>
                <w:u w:val="single"/>
              </w:rPr>
              <w:t>说明其他活动内容）</w:t>
            </w:r>
          </w:p>
        </w:tc>
      </w:tr>
      <w:tr w:rsidR="00887E74" w:rsidRPr="00CE2227" w14:paraId="0F539288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0969" w14:textId="77777777" w:rsidR="00600507" w:rsidRPr="00887E74" w:rsidRDefault="002660CC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参与单位名称及</w:t>
            </w:r>
            <w:r w:rsidR="00600507" w:rsidRPr="00887E74">
              <w:rPr>
                <w:rFonts w:ascii="宋体" w:hAnsi="宋体" w:hint="eastAsia"/>
                <w:bCs/>
                <w:iCs/>
              </w:rPr>
              <w:t>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98E" w14:textId="073AD5BB" w:rsidR="002660CC" w:rsidRPr="00887E74" w:rsidRDefault="00CE2227" w:rsidP="00EB7D0D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sz w:val="21"/>
              </w:rPr>
            </w:pPr>
            <w:r>
              <w:rPr>
                <w:rFonts w:ascii="宋体" w:hAnsi="宋体" w:hint="eastAsia"/>
                <w:bCs/>
                <w:iCs/>
              </w:rPr>
              <w:t>76</w:t>
            </w:r>
            <w:r w:rsidR="00CC72AB">
              <w:rPr>
                <w:rFonts w:ascii="宋体" w:hAnsi="宋体"/>
                <w:bCs/>
                <w:iCs/>
              </w:rPr>
              <w:t>家境内外机构共</w:t>
            </w:r>
            <w:r w:rsidR="00700CF6">
              <w:rPr>
                <w:rFonts w:ascii="宋体" w:hAnsi="宋体" w:hint="eastAsia"/>
                <w:bCs/>
                <w:iCs/>
              </w:rPr>
              <w:t>92</w:t>
            </w:r>
            <w:r w:rsidR="00CC72AB">
              <w:rPr>
                <w:rFonts w:ascii="宋体" w:hAnsi="宋体"/>
                <w:bCs/>
                <w:iCs/>
              </w:rPr>
              <w:t>名参会人员</w:t>
            </w:r>
            <w:r w:rsidR="00CC72AB">
              <w:rPr>
                <w:rFonts w:ascii="宋体" w:hAnsi="宋体" w:hint="eastAsia"/>
                <w:bCs/>
                <w:iCs/>
              </w:rPr>
              <w:t>，</w:t>
            </w:r>
            <w:r w:rsidR="00F37B6F" w:rsidRPr="00F37B6F">
              <w:rPr>
                <w:rFonts w:ascii="宋体" w:hAnsi="宋体" w:hint="eastAsia"/>
                <w:bCs/>
                <w:iCs/>
              </w:rPr>
              <w:t>详见附件</w:t>
            </w:r>
            <w:r w:rsidR="00CC72AB">
              <w:rPr>
                <w:rFonts w:ascii="宋体" w:hAnsi="宋体" w:hint="eastAsia"/>
                <w:bCs/>
                <w:iCs/>
              </w:rPr>
              <w:t>明细</w:t>
            </w:r>
          </w:p>
        </w:tc>
      </w:tr>
      <w:tr w:rsidR="00887E74" w:rsidRPr="00887E74" w14:paraId="5CAB092F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BFF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F25" w14:textId="2E1E0041" w:rsidR="00600507" w:rsidRPr="00887E74" w:rsidRDefault="00895106" w:rsidP="00104F66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700CF6">
              <w:rPr>
                <w:rFonts w:ascii="宋体" w:hAnsi="宋体" w:hint="eastAsia"/>
                <w:bCs/>
                <w:iCs/>
              </w:rPr>
              <w:t>6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104F66">
              <w:rPr>
                <w:rFonts w:ascii="宋体" w:hAnsi="宋体"/>
                <w:bCs/>
                <w:iCs/>
              </w:rPr>
              <w:t>3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104F66">
              <w:rPr>
                <w:rFonts w:ascii="宋体" w:hAnsi="宋体"/>
                <w:bCs/>
                <w:iCs/>
              </w:rPr>
              <w:t>2</w:t>
            </w:r>
            <w:r w:rsidR="00700CF6">
              <w:rPr>
                <w:rFonts w:ascii="宋体" w:hAnsi="宋体" w:hint="eastAsia"/>
                <w:bCs/>
                <w:iCs/>
              </w:rPr>
              <w:t>9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  <w:tr w:rsidR="00887E74" w:rsidRPr="00887E74" w14:paraId="179F40DC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3980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CC8" w14:textId="30177F18" w:rsidR="00600507" w:rsidRPr="00887E74" w:rsidRDefault="008374D9" w:rsidP="009C6A5F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/>
                <w:bCs/>
                <w:iCs/>
              </w:rPr>
              <w:t>公司会议室</w:t>
            </w:r>
            <w:r w:rsidR="00E72901" w:rsidRPr="00887E74">
              <w:rPr>
                <w:rFonts w:ascii="宋体" w:hAnsi="宋体" w:hint="eastAsia"/>
                <w:bCs/>
                <w:iCs/>
              </w:rPr>
              <w:t>（电话会议）</w:t>
            </w:r>
          </w:p>
        </w:tc>
      </w:tr>
      <w:tr w:rsidR="00887E74" w:rsidRPr="00887E74" w14:paraId="1008F72E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0758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A97D" w14:textId="3756415F" w:rsidR="00600507" w:rsidRPr="00887E74" w:rsidRDefault="00606C37" w:rsidP="001A27E3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董事长陈敏女士、</w:t>
            </w:r>
            <w:r w:rsidR="00895106" w:rsidRPr="00887E74">
              <w:rPr>
                <w:rFonts w:ascii="宋体" w:hAnsi="宋体"/>
                <w:bCs/>
                <w:iCs/>
              </w:rPr>
              <w:t>总经理</w:t>
            </w:r>
            <w:r w:rsidR="00700CF6">
              <w:rPr>
                <w:rFonts w:ascii="宋体" w:hAnsi="宋体" w:hint="eastAsia"/>
                <w:bCs/>
                <w:iCs/>
              </w:rPr>
              <w:t>李进取</w:t>
            </w:r>
            <w:r w:rsidR="00895106" w:rsidRPr="00887E74">
              <w:rPr>
                <w:rFonts w:ascii="宋体" w:hAnsi="宋体"/>
                <w:bCs/>
                <w:iCs/>
              </w:rPr>
              <w:t>先生</w:t>
            </w:r>
            <w:r w:rsidR="001A27E3" w:rsidRPr="00887E74">
              <w:rPr>
                <w:rFonts w:ascii="宋体" w:hAnsi="宋体" w:hint="eastAsia"/>
                <w:bCs/>
                <w:iCs/>
              </w:rPr>
              <w:t>、</w:t>
            </w:r>
            <w:r w:rsidR="001A27E3" w:rsidRPr="00887E74">
              <w:rPr>
                <w:rFonts w:ascii="宋体" w:hAnsi="宋体"/>
                <w:bCs/>
                <w:iCs/>
              </w:rPr>
              <w:t>财务总监</w:t>
            </w:r>
            <w:r>
              <w:rPr>
                <w:rFonts w:ascii="宋体" w:hAnsi="宋体" w:hint="eastAsia"/>
                <w:bCs/>
                <w:iCs/>
              </w:rPr>
              <w:t>吕苏云</w:t>
            </w:r>
            <w:r>
              <w:rPr>
                <w:rFonts w:ascii="宋体" w:hAnsi="宋体"/>
                <w:bCs/>
                <w:iCs/>
              </w:rPr>
              <w:t>女士</w:t>
            </w:r>
            <w:r w:rsidR="00895106" w:rsidRPr="00887E74">
              <w:rPr>
                <w:rFonts w:ascii="宋体" w:hAnsi="宋体" w:hint="eastAsia"/>
                <w:bCs/>
                <w:iCs/>
              </w:rPr>
              <w:t>、</w:t>
            </w:r>
            <w:r w:rsidR="00895106" w:rsidRPr="00887E74">
              <w:rPr>
                <w:rFonts w:ascii="宋体" w:hAnsi="宋体"/>
                <w:bCs/>
                <w:iCs/>
              </w:rPr>
              <w:t>董事会秘书林青女士</w:t>
            </w:r>
          </w:p>
        </w:tc>
      </w:tr>
      <w:tr w:rsidR="00887E74" w:rsidRPr="00887E74" w14:paraId="20A68EA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039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  <w:p w14:paraId="5A1B539B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689" w14:textId="198D7771" w:rsidR="00600507" w:rsidRPr="00887E74" w:rsidRDefault="008374D9" w:rsidP="006E0909">
            <w:pPr>
              <w:spacing w:line="480" w:lineRule="atLeast"/>
              <w:ind w:firstLineChars="0" w:firstLine="0"/>
              <w:rPr>
                <w:rFonts w:ascii="宋体" w:hAnsi="宋体" w:hint="eastAsia"/>
                <w:b/>
                <w:bCs/>
                <w:iCs/>
              </w:rPr>
            </w:pPr>
            <w:r w:rsidRPr="00887E74">
              <w:rPr>
                <w:rFonts w:ascii="宋体" w:hAnsi="宋体"/>
                <w:b/>
                <w:bCs/>
                <w:iCs/>
              </w:rPr>
              <w:t>一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、</w:t>
            </w:r>
            <w:r w:rsidR="00700CF6">
              <w:rPr>
                <w:rFonts w:ascii="宋体" w:hAnsi="宋体" w:hint="eastAsia"/>
                <w:b/>
                <w:bCs/>
                <w:iCs/>
              </w:rPr>
              <w:t>董事长陈敏女士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介绍</w:t>
            </w:r>
            <w:r w:rsidR="00700CF6">
              <w:rPr>
                <w:rFonts w:ascii="宋体" w:hAnsi="宋体" w:hint="eastAsia"/>
                <w:b/>
                <w:bCs/>
                <w:iCs/>
              </w:rPr>
              <w:t>行业发展</w:t>
            </w:r>
            <w:r w:rsidR="005C11EA">
              <w:rPr>
                <w:rFonts w:ascii="宋体" w:hAnsi="宋体" w:hint="eastAsia"/>
                <w:b/>
                <w:bCs/>
                <w:iCs/>
              </w:rPr>
              <w:t>情况</w:t>
            </w:r>
            <w:r w:rsidR="00700CF6">
              <w:rPr>
                <w:rFonts w:ascii="宋体" w:hAnsi="宋体" w:hint="eastAsia"/>
                <w:b/>
                <w:bCs/>
                <w:iCs/>
              </w:rPr>
              <w:t>、公司</w:t>
            </w:r>
            <w:r w:rsidR="00F61831">
              <w:rPr>
                <w:rFonts w:ascii="宋体" w:hAnsi="宋体" w:hint="eastAsia"/>
                <w:b/>
                <w:bCs/>
                <w:iCs/>
              </w:rPr>
              <w:t>2</w:t>
            </w:r>
            <w:r w:rsidR="00F61831">
              <w:rPr>
                <w:rFonts w:ascii="宋体" w:hAnsi="宋体"/>
                <w:b/>
                <w:bCs/>
                <w:iCs/>
              </w:rPr>
              <w:t>02</w:t>
            </w:r>
            <w:r w:rsidR="00700CF6">
              <w:rPr>
                <w:rFonts w:ascii="宋体" w:hAnsi="宋体" w:hint="eastAsia"/>
                <w:b/>
                <w:bCs/>
                <w:iCs/>
              </w:rPr>
              <w:t>5</w:t>
            </w:r>
            <w:r w:rsidR="00F61831">
              <w:rPr>
                <w:rFonts w:ascii="宋体" w:hAnsi="宋体"/>
                <w:b/>
                <w:bCs/>
                <w:iCs/>
              </w:rPr>
              <w:t>年</w:t>
            </w:r>
            <w:r w:rsidR="00B93C8E">
              <w:rPr>
                <w:rFonts w:ascii="宋体" w:hAnsi="宋体" w:hint="eastAsia"/>
                <w:b/>
                <w:bCs/>
                <w:iCs/>
              </w:rPr>
              <w:t>经营情况</w:t>
            </w:r>
            <w:r w:rsidR="00700CF6">
              <w:rPr>
                <w:rFonts w:ascii="宋体" w:hAnsi="宋体" w:hint="eastAsia"/>
                <w:b/>
                <w:bCs/>
                <w:iCs/>
              </w:rPr>
              <w:t>及2026年经营计划</w:t>
            </w:r>
            <w:r w:rsidR="000E6C1E">
              <w:rPr>
                <w:rFonts w:ascii="宋体" w:hAnsi="宋体" w:hint="eastAsia"/>
                <w:b/>
                <w:bCs/>
                <w:iCs/>
              </w:rPr>
              <w:t>。</w:t>
            </w:r>
          </w:p>
          <w:p w14:paraId="49A2C66F" w14:textId="2BE60FF7" w:rsidR="008374D9" w:rsidRPr="00700CF6" w:rsidRDefault="008374D9" w:rsidP="0010537B">
            <w:pPr>
              <w:spacing w:line="480" w:lineRule="atLeast"/>
              <w:ind w:firstLineChars="0" w:firstLine="0"/>
            </w:pPr>
            <w:r w:rsidRPr="00887E74">
              <w:rPr>
                <w:rFonts w:ascii="宋体" w:hAnsi="宋体" w:hint="eastAsia"/>
                <w:b/>
                <w:bCs/>
                <w:iCs/>
              </w:rPr>
              <w:t>二、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投资者问答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环节</w:t>
            </w:r>
          </w:p>
          <w:p w14:paraId="04A36DEA" w14:textId="2AD57BCC" w:rsidR="00895106" w:rsidRPr="00887E74" w:rsidRDefault="008374D9" w:rsidP="00377D02">
            <w:pPr>
              <w:ind w:firstLine="482"/>
              <w:rPr>
                <w:rFonts w:asciiTheme="minorEastAsia" w:eastAsiaTheme="minorEastAsia" w:hAnsiTheme="minorEastAsia" w:cs="Arial" w:hint="eastAsia"/>
                <w:b/>
                <w:b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问题1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700CF6" w:rsidRPr="00700CF6">
              <w:rPr>
                <w:rFonts w:asciiTheme="minorEastAsia" w:eastAsiaTheme="minorEastAsia" w:hAnsiTheme="minorEastAsia" w:cs="Arial" w:hint="eastAsia"/>
                <w:b/>
                <w:bCs/>
              </w:rPr>
              <w:t>公司国际化业务在研发、销售方面的布局进展，重点布局的国家和地区？</w:t>
            </w:r>
            <w:r w:rsidR="00700CF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 xml:space="preserve"> </w:t>
            </w:r>
          </w:p>
          <w:p w14:paraId="078009C2" w14:textId="786E6E21" w:rsidR="008A6B16" w:rsidRPr="00645066" w:rsidRDefault="00C64890" w:rsidP="00700CF6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 w:rsidR="00700CF6" w:rsidRPr="00700CF6">
              <w:rPr>
                <w:rFonts w:ascii="宋体" w:hAnsi="宋体" w:hint="eastAsia"/>
                <w:bCs/>
                <w:iCs/>
              </w:rPr>
              <w:t>2025年，公司加速海外注册取证进度，全面推动国际化战略落地，确定目标市场及出海产品，组建海外注册团队，实现从本土迈向全球的整体规划。目前海外取证产品涵盖脊柱、创伤、关节产线，主要集中在欧盟、东南亚、南美、非洲等市场。产品推广方面，脊柱产品线继续保持领先优势，同时积极拓展创伤、关节及运动医学等其他产线，形成多品类协同发展的良好态势。通过深度参与国际学术会议、组织海外医生来华交流、开展专业化培训与展会活动，公司的品牌形象在全球范围内持续提升，专业信任度不断增</w:t>
            </w:r>
            <w:r w:rsidR="00700CF6" w:rsidRPr="00700CF6">
              <w:rPr>
                <w:rFonts w:ascii="宋体" w:hAnsi="宋体" w:hint="eastAsia"/>
                <w:bCs/>
                <w:iCs/>
              </w:rPr>
              <w:lastRenderedPageBreak/>
              <w:t>强。2025年，公司共取得25张海外注册证，实现海外收入8,636.21万元，同比增长59.70%。</w:t>
            </w:r>
          </w:p>
          <w:p w14:paraId="5199912A" w14:textId="4AABD56F" w:rsidR="00C64890" w:rsidRDefault="008374D9" w:rsidP="00C64890">
            <w:pPr>
              <w:ind w:firstLine="482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8F2B5A">
              <w:rPr>
                <w:rFonts w:asciiTheme="minorEastAsia" w:eastAsiaTheme="minorEastAsia" w:hAnsiTheme="minorEastAsia" w:cs="Arial"/>
                <w:b/>
                <w:bCs/>
              </w:rPr>
              <w:t>2</w:t>
            </w:r>
            <w:r w:rsidR="00895106" w:rsidRPr="00CC72AB">
              <w:rPr>
                <w:rFonts w:hint="eastAsia"/>
                <w:b/>
              </w:rPr>
              <w:t>：</w:t>
            </w:r>
            <w:r w:rsidR="007A7719" w:rsidRPr="007A7719">
              <w:rPr>
                <w:rFonts w:asciiTheme="minorEastAsia" w:eastAsiaTheme="minorEastAsia" w:hAnsiTheme="minorEastAsia" w:cs="Arial" w:hint="eastAsia"/>
                <w:b/>
                <w:bCs/>
              </w:rPr>
              <w:t>公司在骨科新材料、骨科机器人等新技术方面的布局与最新发展进展</w:t>
            </w:r>
            <w:r w:rsidR="00C64890" w:rsidRPr="001644CD">
              <w:rPr>
                <w:rFonts w:asciiTheme="minorEastAsia" w:eastAsiaTheme="minorEastAsia" w:hAnsiTheme="minorEastAsia" w:cs="Arial" w:hint="eastAsia"/>
                <w:b/>
                <w:bCs/>
              </w:rPr>
              <w:t>？</w:t>
            </w:r>
          </w:p>
          <w:p w14:paraId="4715B873" w14:textId="7241329F" w:rsidR="007A7719" w:rsidRPr="007A7719" w:rsidRDefault="00C64890" w:rsidP="007A7719">
            <w:pPr>
              <w:ind w:firstLine="480"/>
              <w:rPr>
                <w:rFonts w:ascii="宋体" w:hAnsi="宋体" w:hint="eastAsia"/>
                <w:bCs/>
                <w:iCs/>
              </w:rPr>
            </w:pPr>
            <w:r w:rsidRPr="00580587">
              <w:rPr>
                <w:rFonts w:ascii="宋体" w:hAnsi="宋体"/>
                <w:bCs/>
                <w:iCs/>
              </w:rPr>
              <w:t>回答：</w:t>
            </w:r>
            <w:r w:rsidR="008F2B5A" w:rsidRPr="007A7719" w:rsidDel="008F2B5A">
              <w:rPr>
                <w:rFonts w:ascii="宋体" w:hAnsi="宋体" w:hint="eastAsia"/>
                <w:bCs/>
                <w:iCs/>
              </w:rPr>
              <w:t xml:space="preserve"> </w:t>
            </w:r>
            <w:r w:rsidR="007A7719" w:rsidRPr="007A7719">
              <w:rPr>
                <w:rFonts w:ascii="宋体" w:hAnsi="宋体" w:hint="eastAsia"/>
                <w:bCs/>
                <w:iCs/>
              </w:rPr>
              <w:t>新材料</w:t>
            </w:r>
            <w:r w:rsidR="001C371E">
              <w:rPr>
                <w:rFonts w:ascii="宋体" w:hAnsi="宋体" w:hint="eastAsia"/>
                <w:bCs/>
                <w:iCs/>
              </w:rPr>
              <w:t>研发</w:t>
            </w:r>
            <w:r w:rsidR="007A7719" w:rsidRPr="007A7719">
              <w:rPr>
                <w:rFonts w:ascii="宋体" w:hAnsi="宋体" w:hint="eastAsia"/>
                <w:bCs/>
                <w:iCs/>
              </w:rPr>
              <w:t>围绕的方向是生物相容性、可吸收可降解、骨结构匹配等方向，包括碳纤维PEEK、</w:t>
            </w:r>
            <w:r w:rsidR="008952A1">
              <w:rPr>
                <w:rFonts w:ascii="宋体" w:hAnsi="宋体" w:hint="eastAsia"/>
                <w:bCs/>
                <w:iCs/>
              </w:rPr>
              <w:t>可降解镁</w:t>
            </w:r>
            <w:r w:rsidR="007A7719" w:rsidRPr="007A7719">
              <w:rPr>
                <w:rFonts w:ascii="宋体" w:hAnsi="宋体" w:hint="eastAsia"/>
                <w:bCs/>
                <w:iCs/>
              </w:rPr>
              <w:t>合金、多孔钽、抗菌涂层等。</w:t>
            </w:r>
            <w:r w:rsidR="008952A1">
              <w:rPr>
                <w:rFonts w:ascii="宋体" w:hAnsi="宋体" w:hint="eastAsia"/>
                <w:bCs/>
                <w:iCs/>
              </w:rPr>
              <w:t>目前都在按计划稳步推进</w:t>
            </w:r>
            <w:r w:rsidR="007A7719" w:rsidRPr="007A7719">
              <w:rPr>
                <w:rFonts w:ascii="宋体" w:hAnsi="宋体" w:hint="eastAsia"/>
                <w:bCs/>
                <w:iCs/>
              </w:rPr>
              <w:t>。</w:t>
            </w:r>
          </w:p>
          <w:p w14:paraId="49258EFE" w14:textId="2820F17E" w:rsidR="00C64890" w:rsidRPr="007A7719" w:rsidRDefault="007A7719" w:rsidP="007A7719">
            <w:pPr>
              <w:ind w:firstLine="480"/>
              <w:rPr>
                <w:rFonts w:asciiTheme="minorEastAsia" w:eastAsiaTheme="minorEastAsia" w:hAnsiTheme="minorEastAsia" w:cs="Arial" w:hint="eastAsia"/>
              </w:rPr>
            </w:pPr>
            <w:r w:rsidRPr="007A7719">
              <w:rPr>
                <w:rFonts w:ascii="宋体" w:hAnsi="宋体" w:hint="eastAsia"/>
                <w:bCs/>
                <w:iCs/>
              </w:rPr>
              <w:t>骨科手术机器人</w:t>
            </w:r>
            <w:r w:rsidR="008952A1">
              <w:rPr>
                <w:rFonts w:ascii="宋体" w:hAnsi="宋体" w:hint="eastAsia"/>
                <w:bCs/>
                <w:iCs/>
              </w:rPr>
              <w:t>方面，</w:t>
            </w:r>
            <w:r w:rsidRPr="007A7719">
              <w:rPr>
                <w:rFonts w:ascii="宋体" w:hAnsi="宋体" w:hint="eastAsia"/>
                <w:bCs/>
                <w:iCs/>
              </w:rPr>
              <w:t>公司关联公司、实际控制人控制的威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智科技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公司致力于提供以骨科手术机器人为载体的全套智能骨科解决方案，面向骨科临床提供人工辅助诊断、个体化手术计划、手术导航,手术机器人、术后评估等全流程解决方案，至今已拥有近90项核心专利与软著。临床手术例数超过270例，覆盖14家医院，优良率超过95%。威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智科技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研发的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首款全膝关节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置换手术机器人于2024年12月获得NMPA注册证，</w:t>
            </w:r>
            <w:r w:rsidR="008952A1">
              <w:rPr>
                <w:rFonts w:ascii="宋体" w:hAnsi="宋体" w:hint="eastAsia"/>
                <w:bCs/>
                <w:iCs/>
              </w:rPr>
              <w:t>目前正在推进</w:t>
            </w:r>
            <w:r w:rsidRPr="007A7719">
              <w:rPr>
                <w:rFonts w:ascii="宋体" w:hAnsi="宋体" w:hint="eastAsia"/>
                <w:bCs/>
                <w:iCs/>
              </w:rPr>
              <w:t>国产化关节手术机器人</w:t>
            </w:r>
            <w:r w:rsidR="008952A1">
              <w:rPr>
                <w:rFonts w:ascii="宋体" w:hAnsi="宋体" w:hint="eastAsia"/>
                <w:bCs/>
                <w:iCs/>
              </w:rPr>
              <w:t>的</w:t>
            </w:r>
            <w:r w:rsidRPr="007A7719">
              <w:rPr>
                <w:rFonts w:ascii="宋体" w:hAnsi="宋体" w:hint="eastAsia"/>
                <w:bCs/>
                <w:iCs/>
              </w:rPr>
              <w:t>取证</w:t>
            </w:r>
            <w:r w:rsidR="008952A1">
              <w:rPr>
                <w:rFonts w:ascii="宋体" w:hAnsi="宋体" w:hint="eastAsia"/>
                <w:bCs/>
                <w:iCs/>
              </w:rPr>
              <w:t>工作以及</w:t>
            </w:r>
            <w:r w:rsidRPr="007A7719">
              <w:rPr>
                <w:rFonts w:ascii="宋体" w:hAnsi="宋体" w:hint="eastAsia"/>
                <w:bCs/>
                <w:iCs/>
              </w:rPr>
              <w:t>全平台骨科手术机器人</w:t>
            </w:r>
            <w:r w:rsidR="008952A1">
              <w:rPr>
                <w:rFonts w:ascii="宋体" w:hAnsi="宋体" w:hint="eastAsia"/>
                <w:bCs/>
                <w:iCs/>
              </w:rPr>
              <w:t>的研发工作</w:t>
            </w:r>
            <w:r w:rsidR="001C371E">
              <w:rPr>
                <w:rFonts w:hint="eastAsia"/>
              </w:rPr>
              <w:t>。</w:t>
            </w:r>
            <w:r w:rsidR="00C64890" w:rsidRPr="00887E74">
              <w:rPr>
                <w:rFonts w:asciiTheme="minorEastAsia" w:eastAsiaTheme="minorEastAsia" w:hAnsiTheme="minorEastAsia" w:cs="Arial"/>
              </w:rPr>
              <w:t xml:space="preserve"> </w:t>
            </w:r>
          </w:p>
          <w:p w14:paraId="783CCC47" w14:textId="1B307C7C" w:rsidR="00C64890" w:rsidRDefault="001B0D68" w:rsidP="00C64890">
            <w:pPr>
              <w:ind w:firstLine="482"/>
              <w:rPr>
                <w:rFonts w:ascii="宋体" w:hAnsi="宋体" w:hint="eastAsia"/>
                <w:bCs/>
                <w:iCs/>
              </w:rPr>
            </w:pPr>
            <w:r w:rsidRPr="001B0D68">
              <w:rPr>
                <w:rFonts w:ascii="宋体" w:hAnsi="宋体"/>
                <w:b/>
                <w:bCs/>
                <w:iCs/>
              </w:rPr>
              <w:t>问题</w:t>
            </w:r>
            <w:r w:rsidR="008952A1">
              <w:rPr>
                <w:rFonts w:ascii="宋体" w:hAnsi="宋体"/>
                <w:b/>
                <w:bCs/>
                <w:iCs/>
              </w:rPr>
              <w:t>3</w:t>
            </w:r>
            <w:r w:rsidRPr="001B0D68">
              <w:rPr>
                <w:rFonts w:ascii="宋体" w:hAnsi="宋体"/>
                <w:b/>
                <w:bCs/>
                <w:iCs/>
              </w:rPr>
              <w:t>：</w:t>
            </w:r>
            <w:r w:rsidR="007A7719" w:rsidRPr="007A7719">
              <w:rPr>
                <w:rFonts w:ascii="宋体" w:hAnsi="宋体" w:hint="eastAsia"/>
                <w:b/>
                <w:bCs/>
                <w:iCs/>
              </w:rPr>
              <w:t>公司</w:t>
            </w:r>
            <w:proofErr w:type="gramStart"/>
            <w:r w:rsidR="007A7719" w:rsidRPr="007A7719">
              <w:rPr>
                <w:rFonts w:ascii="宋体" w:hAnsi="宋体" w:hint="eastAsia"/>
                <w:b/>
                <w:bCs/>
                <w:iCs/>
              </w:rPr>
              <w:t>成立威影智能</w:t>
            </w:r>
            <w:proofErr w:type="gramEnd"/>
            <w:r w:rsidR="007A7719" w:rsidRPr="007A7719">
              <w:rPr>
                <w:rFonts w:ascii="宋体" w:hAnsi="宋体" w:hint="eastAsia"/>
                <w:b/>
                <w:bCs/>
                <w:iCs/>
              </w:rPr>
              <w:t>的目的？</w:t>
            </w:r>
            <w:proofErr w:type="gramStart"/>
            <w:r w:rsidR="007A7719" w:rsidRPr="007A7719">
              <w:rPr>
                <w:rFonts w:ascii="宋体" w:hAnsi="宋体" w:hint="eastAsia"/>
                <w:b/>
                <w:bCs/>
                <w:iCs/>
              </w:rPr>
              <w:t>负重位</w:t>
            </w:r>
            <w:proofErr w:type="gramEnd"/>
            <w:r w:rsidR="007A7719" w:rsidRPr="007A7719">
              <w:rPr>
                <w:rFonts w:ascii="宋体" w:hAnsi="宋体" w:hint="eastAsia"/>
                <w:b/>
                <w:bCs/>
                <w:iCs/>
              </w:rPr>
              <w:t>CT技术有哪些优势？</w:t>
            </w:r>
            <w:r w:rsidR="00954C7E" w:rsidRPr="007A7719" w:rsidDel="00954C7E">
              <w:rPr>
                <w:rFonts w:ascii="宋体" w:hAnsi="宋体" w:hint="eastAsia"/>
                <w:b/>
                <w:bCs/>
                <w:iCs/>
              </w:rPr>
              <w:t xml:space="preserve"> </w:t>
            </w:r>
          </w:p>
          <w:p w14:paraId="731FADB5" w14:textId="6D16A9C7" w:rsidR="00C64890" w:rsidRDefault="00C64890" w:rsidP="00112BE7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="008952A1" w:rsidRPr="007A7719" w:rsidDel="008952A1">
              <w:rPr>
                <w:rFonts w:ascii="宋体" w:hAnsi="宋体" w:hint="eastAsia"/>
                <w:bCs/>
                <w:iCs/>
              </w:rPr>
              <w:t xml:space="preserve"> </w:t>
            </w:r>
            <w:r w:rsidR="007A7719" w:rsidRPr="007A7719">
              <w:rPr>
                <w:rFonts w:ascii="宋体" w:hAnsi="宋体" w:hint="eastAsia"/>
                <w:bCs/>
                <w:iCs/>
              </w:rPr>
              <w:t>2025年8月公司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参股威影智能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，占49%股权。主要目的是通过引进负重CT的发明者与标准制定者–澳大利亚</w:t>
            </w:r>
            <w:proofErr w:type="spellStart"/>
            <w:r w:rsidR="007A7719" w:rsidRPr="007A7719">
              <w:rPr>
                <w:rFonts w:ascii="宋体" w:hAnsi="宋体" w:hint="eastAsia"/>
                <w:bCs/>
                <w:iCs/>
              </w:rPr>
              <w:t>CurveBeam</w:t>
            </w:r>
            <w:proofErr w:type="spellEnd"/>
            <w:r w:rsidR="007A7719" w:rsidRPr="007A7719">
              <w:rPr>
                <w:rFonts w:ascii="宋体" w:hAnsi="宋体" w:hint="eastAsia"/>
                <w:bCs/>
                <w:iCs/>
              </w:rPr>
              <w:t xml:space="preserve"> AI公司的负重锥形束CT成像系列产品并在中国进行本地化生产和销售推广，拓展公司在骨科疾病精准诊断和规划领域的布局，打造涵盖骨科疾病定量评价、个性化手术路径设计、术后功能评估与康复追踪的全链条数字骨科平台，并带动公司耗材销售，提高临床粘性与采购转化率。通过合作，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威影智能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将获得澳大利亚CVB公司在国内独家的产品使用权，包括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负重位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CT、高清CT、配套AI分析平台</w:t>
            </w:r>
            <w:r w:rsidR="008952A1">
              <w:rPr>
                <w:rFonts w:ascii="宋体" w:hAnsi="宋体" w:hint="eastAsia"/>
                <w:bCs/>
                <w:iCs/>
              </w:rPr>
              <w:t>等。</w:t>
            </w:r>
            <w:r w:rsidR="008952A1" w:rsidRPr="007A7719" w:rsidDel="008952A1">
              <w:rPr>
                <w:rFonts w:ascii="宋体" w:hAnsi="宋体" w:hint="eastAsia"/>
                <w:bCs/>
                <w:iCs/>
              </w:rPr>
              <w:t xml:space="preserve"> </w:t>
            </w:r>
            <w:r w:rsidR="007A7719" w:rsidRPr="007A7719">
              <w:rPr>
                <w:rFonts w:ascii="宋体" w:hAnsi="宋体" w:hint="eastAsia"/>
                <w:bCs/>
                <w:iCs/>
              </w:rPr>
              <w:t>CVB在美国装机超过270台，</w:t>
            </w:r>
            <w:proofErr w:type="gramStart"/>
            <w:r w:rsidR="001C371E" w:rsidRPr="0010537B">
              <w:rPr>
                <w:rFonts w:ascii="宋体" w:hAnsi="宋体" w:hint="eastAsia"/>
                <w:bCs/>
                <w:iCs/>
              </w:rPr>
              <w:t>负重位</w:t>
            </w:r>
            <w:proofErr w:type="gramEnd"/>
            <w:r w:rsidR="001C371E" w:rsidRPr="0010537B">
              <w:rPr>
                <w:rFonts w:ascii="宋体" w:hAnsi="宋体" w:hint="eastAsia"/>
                <w:bCs/>
                <w:iCs/>
              </w:rPr>
              <w:t>CT（立位锥形束X射线扫描系统）技术在骨科及运动医学领域具有独特优势，其具</w:t>
            </w:r>
            <w:r w:rsidR="001C371E" w:rsidRPr="0010537B">
              <w:rPr>
                <w:rFonts w:ascii="宋体" w:hAnsi="宋体" w:hint="eastAsia"/>
                <w:bCs/>
                <w:iCs/>
              </w:rPr>
              <w:lastRenderedPageBreak/>
              <w:t>有超低辐射、2分钟完成扫描、支持软组织成像，软件支持三维重建和模拟X光片的优点，可进行站立</w:t>
            </w:r>
            <w:proofErr w:type="gramStart"/>
            <w:r w:rsidR="001C371E" w:rsidRPr="0010537B">
              <w:rPr>
                <w:rFonts w:ascii="宋体" w:hAnsi="宋体" w:hint="eastAsia"/>
                <w:bCs/>
                <w:iCs/>
              </w:rPr>
              <w:t>负重位</w:t>
            </w:r>
            <w:proofErr w:type="gramEnd"/>
            <w:r w:rsidR="001C371E" w:rsidRPr="0010537B">
              <w:rPr>
                <w:rFonts w:ascii="宋体" w:hAnsi="宋体" w:hint="eastAsia"/>
                <w:bCs/>
                <w:iCs/>
              </w:rPr>
              <w:t>与传统卧位CT扫描，为骨科诊疗提供传统CT或MRI无法实现的三维负重力线与关节间隙信息，为骨关节疾病的诊断与治疗提供关键数据支撑。同时，基于骨微结构的骨质分析亦处于国际领先地位，其自主开发的“结构脆性评分（Structural Fragility Score, SFS）”算法能够提供骨密度（BMD）、骨结构、力线分析等AI辅助诊断功能，实现影像到诊断报告的一体化服务，该技术获得美国FDA的突破性医疗器械认证，为</w:t>
            </w:r>
            <w:proofErr w:type="gramStart"/>
            <w:r w:rsidR="001C371E" w:rsidRPr="0010537B">
              <w:rPr>
                <w:rFonts w:ascii="宋体" w:hAnsi="宋体" w:hint="eastAsia"/>
                <w:bCs/>
                <w:iCs/>
              </w:rPr>
              <w:t>骨健康</w:t>
            </w:r>
            <w:proofErr w:type="gramEnd"/>
            <w:r w:rsidR="001C371E" w:rsidRPr="0010537B">
              <w:rPr>
                <w:rFonts w:ascii="宋体" w:hAnsi="宋体" w:hint="eastAsia"/>
                <w:bCs/>
                <w:iCs/>
              </w:rPr>
              <w:t>管理和骨质疏松早</w:t>
            </w:r>
            <w:proofErr w:type="gramStart"/>
            <w:r w:rsidR="001C371E" w:rsidRPr="0010537B">
              <w:rPr>
                <w:rFonts w:ascii="宋体" w:hAnsi="宋体" w:hint="eastAsia"/>
                <w:bCs/>
                <w:iCs/>
              </w:rPr>
              <w:t>筛提供</w:t>
            </w:r>
            <w:proofErr w:type="gramEnd"/>
            <w:r w:rsidR="001C371E" w:rsidRPr="0010537B">
              <w:rPr>
                <w:rFonts w:ascii="宋体" w:hAnsi="宋体" w:hint="eastAsia"/>
                <w:bCs/>
                <w:iCs/>
              </w:rPr>
              <w:t>全新影像学指标。</w:t>
            </w:r>
          </w:p>
          <w:p w14:paraId="3CDF61B5" w14:textId="4A04B0FB" w:rsidR="000B7165" w:rsidRPr="000B7165" w:rsidRDefault="000B7165" w:rsidP="00112BE7">
            <w:pPr>
              <w:ind w:firstLine="482"/>
              <w:rPr>
                <w:rFonts w:ascii="宋体" w:hAnsi="宋体" w:hint="eastAsia"/>
                <w:b/>
                <w:bCs/>
                <w:iCs/>
              </w:rPr>
            </w:pPr>
            <w:r w:rsidRPr="000B7165">
              <w:rPr>
                <w:rFonts w:ascii="宋体" w:hAnsi="宋体"/>
                <w:b/>
                <w:bCs/>
                <w:iCs/>
              </w:rPr>
              <w:t>问题</w:t>
            </w:r>
            <w:r w:rsidR="00363751">
              <w:rPr>
                <w:rFonts w:ascii="宋体" w:hAnsi="宋体"/>
                <w:b/>
                <w:bCs/>
                <w:iCs/>
              </w:rPr>
              <w:t>4</w:t>
            </w:r>
            <w:r w:rsidRPr="000B7165">
              <w:rPr>
                <w:rFonts w:ascii="宋体" w:hAnsi="宋体"/>
                <w:b/>
                <w:bCs/>
                <w:iCs/>
              </w:rPr>
              <w:t>：</w:t>
            </w:r>
            <w:r w:rsidR="007A7719" w:rsidRPr="007A7719">
              <w:rPr>
                <w:rFonts w:ascii="宋体" w:hAnsi="宋体" w:hint="eastAsia"/>
                <w:b/>
                <w:bCs/>
                <w:iCs/>
              </w:rPr>
              <w:t>公司在微创化产品方面的布局和落地情况如何？</w:t>
            </w:r>
            <w:proofErr w:type="gramStart"/>
            <w:r w:rsidR="007A7719" w:rsidRPr="007A7719">
              <w:rPr>
                <w:rFonts w:ascii="宋体" w:hAnsi="宋体" w:hint="eastAsia"/>
                <w:b/>
                <w:bCs/>
                <w:iCs/>
              </w:rPr>
              <w:t>集采外产品</w:t>
            </w:r>
            <w:proofErr w:type="gramEnd"/>
            <w:r w:rsidR="007A7719" w:rsidRPr="007A7719">
              <w:rPr>
                <w:rFonts w:ascii="宋体" w:hAnsi="宋体" w:hint="eastAsia"/>
                <w:b/>
                <w:bCs/>
                <w:iCs/>
              </w:rPr>
              <w:t>占比和增速情况如何</w:t>
            </w:r>
            <w:r w:rsidRPr="000B7165">
              <w:rPr>
                <w:rFonts w:ascii="宋体" w:hAnsi="宋体" w:hint="eastAsia"/>
                <w:b/>
                <w:bCs/>
                <w:iCs/>
              </w:rPr>
              <w:t>？</w:t>
            </w:r>
          </w:p>
          <w:p w14:paraId="64A6E62C" w14:textId="1ACB51A2" w:rsidR="007A7719" w:rsidRPr="007A7719" w:rsidRDefault="000B7165" w:rsidP="007A7719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="007A7719" w:rsidRPr="007A7719">
              <w:rPr>
                <w:rFonts w:ascii="宋体" w:hAnsi="宋体" w:hint="eastAsia"/>
                <w:bCs/>
                <w:iCs/>
              </w:rPr>
              <w:t>公司通过并购</w:t>
            </w:r>
            <w:r w:rsidR="007A7719">
              <w:rPr>
                <w:rFonts w:ascii="宋体" w:hAnsi="宋体" w:hint="eastAsia"/>
                <w:bCs/>
                <w:iCs/>
              </w:rPr>
              <w:t>杰思拜尔</w:t>
            </w:r>
            <w:r w:rsidR="007A7719" w:rsidRPr="007A7719">
              <w:rPr>
                <w:rFonts w:ascii="宋体" w:hAnsi="宋体" w:hint="eastAsia"/>
                <w:bCs/>
                <w:iCs/>
              </w:rPr>
              <w:t>公司，同步整合量子公司、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精创公司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成为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新精创公司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，</w:t>
            </w:r>
            <w:proofErr w:type="gramStart"/>
            <w:r w:rsidR="007A7719" w:rsidRPr="007A7719">
              <w:rPr>
                <w:rFonts w:ascii="宋体" w:hAnsi="宋体" w:hint="eastAsia"/>
                <w:bCs/>
                <w:iCs/>
              </w:rPr>
              <w:t>微创类产品</w:t>
            </w:r>
            <w:proofErr w:type="gramEnd"/>
            <w:r w:rsidR="007A7719" w:rsidRPr="007A7719">
              <w:rPr>
                <w:rFonts w:ascii="宋体" w:hAnsi="宋体" w:hint="eastAsia"/>
                <w:bCs/>
                <w:iCs/>
              </w:rPr>
              <w:t>线得到全面完善。公司</w:t>
            </w:r>
            <w:r w:rsidR="00363751">
              <w:rPr>
                <w:rFonts w:ascii="宋体" w:hAnsi="宋体" w:hint="eastAsia"/>
                <w:bCs/>
                <w:iCs/>
              </w:rPr>
              <w:t>微创化产品</w:t>
            </w:r>
            <w:r w:rsidR="007A7719" w:rsidRPr="007A7719">
              <w:rPr>
                <w:rFonts w:ascii="宋体" w:hAnsi="宋体" w:hint="eastAsia"/>
                <w:bCs/>
                <w:iCs/>
              </w:rPr>
              <w:t>围绕脊柱内镜、关节镜、射频等离子、超声骨刀、高清摄像系统、动力平台等产品进行布局，业务主要包括脊柱微创和运</w:t>
            </w:r>
            <w:r w:rsidR="00363751">
              <w:rPr>
                <w:rFonts w:ascii="宋体" w:hAnsi="宋体" w:hint="eastAsia"/>
                <w:bCs/>
                <w:iCs/>
              </w:rPr>
              <w:t>动</w:t>
            </w:r>
            <w:r w:rsidR="007A7719" w:rsidRPr="007A7719">
              <w:rPr>
                <w:rFonts w:ascii="宋体" w:hAnsi="宋体" w:hint="eastAsia"/>
                <w:bCs/>
                <w:iCs/>
              </w:rPr>
              <w:t>医</w:t>
            </w:r>
            <w:r w:rsidR="00363751">
              <w:rPr>
                <w:rFonts w:ascii="宋体" w:hAnsi="宋体" w:hint="eastAsia"/>
                <w:bCs/>
                <w:iCs/>
              </w:rPr>
              <w:t>学</w:t>
            </w:r>
            <w:r w:rsidR="007A7719" w:rsidRPr="007A7719">
              <w:rPr>
                <w:rFonts w:ascii="宋体" w:hAnsi="宋体" w:hint="eastAsia"/>
                <w:bCs/>
                <w:iCs/>
              </w:rPr>
              <w:t>两个团队。</w:t>
            </w:r>
          </w:p>
          <w:p w14:paraId="4DBE512E" w14:textId="6E14903C" w:rsidR="007A7719" w:rsidRDefault="007A7719" w:rsidP="007A7719">
            <w:pPr>
              <w:ind w:firstLine="480"/>
              <w:rPr>
                <w:rFonts w:ascii="宋体" w:hAnsi="宋体" w:hint="eastAsia"/>
                <w:bCs/>
                <w:iCs/>
              </w:rPr>
            </w:pPr>
            <w:r w:rsidRPr="007A7719">
              <w:rPr>
                <w:rFonts w:ascii="宋体" w:hAnsi="宋体" w:hint="eastAsia"/>
                <w:bCs/>
                <w:iCs/>
              </w:rPr>
              <w:t>如果剔除海外销售的影响，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集采外产品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占比达到20%</w:t>
            </w:r>
            <w:r w:rsidR="00363751">
              <w:rPr>
                <w:rFonts w:ascii="宋体" w:hAnsi="宋体" w:hint="eastAsia"/>
                <w:bCs/>
                <w:iCs/>
              </w:rPr>
              <w:t>以上</w:t>
            </w:r>
            <w:r w:rsidRPr="007A7719">
              <w:rPr>
                <w:rFonts w:ascii="宋体" w:hAnsi="宋体" w:hint="eastAsia"/>
                <w:bCs/>
                <w:iCs/>
              </w:rPr>
              <w:t>，增速</w:t>
            </w:r>
            <w:r w:rsidR="00363751">
              <w:rPr>
                <w:rFonts w:ascii="宋体" w:hAnsi="宋体" w:hint="eastAsia"/>
                <w:bCs/>
                <w:iCs/>
              </w:rPr>
              <w:t>也在</w:t>
            </w:r>
            <w:r w:rsidRPr="007A7719">
              <w:rPr>
                <w:rFonts w:ascii="宋体" w:hAnsi="宋体" w:hint="eastAsia"/>
                <w:bCs/>
                <w:iCs/>
              </w:rPr>
              <w:t>20%以上。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集采外产品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是利润护城河和创新溢价来源，在保持常规品份额的同时，为威高骨科提供可持续增长动力。</w:t>
            </w:r>
          </w:p>
          <w:p w14:paraId="4F32683F" w14:textId="062119C1" w:rsidR="007A7719" w:rsidRDefault="007A7719" w:rsidP="006E4C94">
            <w:pPr>
              <w:ind w:firstLine="482"/>
              <w:rPr>
                <w:rFonts w:ascii="宋体" w:hAnsi="宋体" w:hint="eastAsia"/>
                <w:bCs/>
                <w:iCs/>
              </w:rPr>
            </w:pPr>
            <w:r w:rsidRPr="000B7165">
              <w:rPr>
                <w:rFonts w:ascii="宋体" w:hAnsi="宋体"/>
                <w:b/>
                <w:bCs/>
                <w:iCs/>
              </w:rPr>
              <w:t>问题</w:t>
            </w:r>
            <w:r w:rsidR="00363751">
              <w:rPr>
                <w:rFonts w:ascii="宋体" w:hAnsi="宋体"/>
                <w:b/>
                <w:bCs/>
                <w:iCs/>
              </w:rPr>
              <w:t>5</w:t>
            </w:r>
            <w:r w:rsidRPr="000B7165">
              <w:rPr>
                <w:rFonts w:ascii="宋体" w:hAnsi="宋体"/>
                <w:b/>
                <w:bCs/>
                <w:iCs/>
              </w:rPr>
              <w:t>：</w:t>
            </w:r>
            <w:r w:rsidRPr="007A7719">
              <w:rPr>
                <w:rFonts w:ascii="宋体" w:hAnsi="宋体" w:hint="eastAsia"/>
                <w:b/>
                <w:bCs/>
                <w:iCs/>
              </w:rPr>
              <w:t>杰思拜尔并购整合后对骨科微创业</w:t>
            </w:r>
            <w:proofErr w:type="gramStart"/>
            <w:r w:rsidRPr="007A7719">
              <w:rPr>
                <w:rFonts w:ascii="宋体" w:hAnsi="宋体" w:hint="eastAsia"/>
                <w:b/>
                <w:bCs/>
                <w:iCs/>
              </w:rPr>
              <w:t>务</w:t>
            </w:r>
            <w:proofErr w:type="gramEnd"/>
            <w:r w:rsidRPr="007A7719">
              <w:rPr>
                <w:rFonts w:ascii="宋体" w:hAnsi="宋体" w:hint="eastAsia"/>
                <w:b/>
                <w:bCs/>
                <w:iCs/>
              </w:rPr>
              <w:t>的中长期展望？</w:t>
            </w:r>
            <w:r w:rsidR="00D0156A">
              <w:rPr>
                <w:rFonts w:ascii="宋体" w:hAnsi="宋体"/>
                <w:bCs/>
                <w:iCs/>
              </w:rPr>
              <w:t xml:space="preserve"> </w:t>
            </w:r>
          </w:p>
          <w:p w14:paraId="0F6B3060" w14:textId="3EE5C646" w:rsidR="007A7719" w:rsidRPr="007A7719" w:rsidRDefault="007A7719" w:rsidP="007A7719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回答：公司</w:t>
            </w:r>
            <w:r w:rsidRPr="007A7719">
              <w:rPr>
                <w:rFonts w:ascii="宋体" w:hAnsi="宋体" w:hint="eastAsia"/>
                <w:bCs/>
                <w:iCs/>
              </w:rPr>
              <w:t>与杰思拜尔完成并购后迅速步入正轨，已落地新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精创管理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组织架构，按产品品类划分四大专业生产基地（上海</w:t>
            </w:r>
            <w:r>
              <w:rPr>
                <w:rFonts w:ascii="宋体" w:hAnsi="宋体" w:hint="eastAsia"/>
                <w:bCs/>
                <w:iCs/>
              </w:rPr>
              <w:t>、</w:t>
            </w:r>
            <w:r w:rsidRPr="007A7719">
              <w:rPr>
                <w:rFonts w:ascii="宋体" w:hAnsi="宋体" w:hint="eastAsia"/>
                <w:bCs/>
                <w:iCs/>
              </w:rPr>
              <w:t>威海</w:t>
            </w:r>
            <w:r>
              <w:rPr>
                <w:rFonts w:ascii="宋体" w:hAnsi="宋体" w:hint="eastAsia"/>
                <w:bCs/>
                <w:iCs/>
              </w:rPr>
              <w:t>、</w:t>
            </w:r>
            <w:r w:rsidRPr="007A7719">
              <w:rPr>
                <w:rFonts w:ascii="宋体" w:hAnsi="宋体" w:hint="eastAsia"/>
                <w:bCs/>
                <w:iCs/>
              </w:rPr>
              <w:t>杭州</w:t>
            </w:r>
            <w:r>
              <w:rPr>
                <w:rFonts w:ascii="宋体" w:hAnsi="宋体" w:hint="eastAsia"/>
                <w:bCs/>
                <w:iCs/>
              </w:rPr>
              <w:t>、</w:t>
            </w:r>
            <w:r w:rsidRPr="007A7719">
              <w:rPr>
                <w:rFonts w:ascii="宋体" w:hAnsi="宋体" w:hint="eastAsia"/>
                <w:bCs/>
                <w:iCs/>
              </w:rPr>
              <w:t>珠海），完成涵盖有源、光学、结构领域的</w:t>
            </w:r>
            <w:r w:rsidR="00363751">
              <w:rPr>
                <w:rFonts w:ascii="宋体" w:hAnsi="宋体" w:hint="eastAsia"/>
                <w:bCs/>
                <w:iCs/>
              </w:rPr>
              <w:t>2</w:t>
            </w:r>
            <w:r w:rsidR="00363751">
              <w:rPr>
                <w:rFonts w:ascii="宋体" w:hAnsi="宋体"/>
                <w:bCs/>
                <w:iCs/>
              </w:rPr>
              <w:t>0</w:t>
            </w:r>
            <w:r w:rsidRPr="007A7719">
              <w:rPr>
                <w:rFonts w:ascii="宋体" w:hAnsi="宋体" w:hint="eastAsia"/>
                <w:bCs/>
                <w:iCs/>
              </w:rPr>
              <w:t>多人核心研发团队整编融合，并组建了20+分布全国的技术支持及售后网络。现阶段产品协同、市场推广、渠道共享、合</w:t>
            </w:r>
            <w:proofErr w:type="gramStart"/>
            <w:r w:rsidRPr="007A7719">
              <w:rPr>
                <w:rFonts w:ascii="宋体" w:hAnsi="宋体" w:hint="eastAsia"/>
                <w:bCs/>
                <w:iCs/>
              </w:rPr>
              <w:t>规管控四大</w:t>
            </w:r>
            <w:proofErr w:type="gramEnd"/>
            <w:r w:rsidRPr="007A7719">
              <w:rPr>
                <w:rFonts w:ascii="宋体" w:hAnsi="宋体" w:hint="eastAsia"/>
                <w:bCs/>
                <w:iCs/>
              </w:rPr>
              <w:t>维度整合后的协同效应持续释放，业务</w:t>
            </w:r>
            <w:r w:rsidRPr="007A7719">
              <w:rPr>
                <w:rFonts w:ascii="宋体" w:hAnsi="宋体" w:hint="eastAsia"/>
                <w:bCs/>
                <w:iCs/>
              </w:rPr>
              <w:lastRenderedPageBreak/>
              <w:t>正稳步迈向深度融合、高效运转的良性态势。</w:t>
            </w:r>
          </w:p>
          <w:p w14:paraId="589EE11F" w14:textId="0A7047FA" w:rsidR="007A7719" w:rsidRDefault="007A7719" w:rsidP="00112BE7">
            <w:pPr>
              <w:ind w:firstLine="482"/>
              <w:rPr>
                <w:rFonts w:ascii="宋体" w:hAnsi="宋体" w:hint="eastAsia"/>
                <w:bCs/>
                <w:iCs/>
              </w:rPr>
            </w:pPr>
            <w:r w:rsidRPr="000B7165">
              <w:rPr>
                <w:rFonts w:ascii="宋体" w:hAnsi="宋体"/>
                <w:b/>
                <w:bCs/>
                <w:iCs/>
              </w:rPr>
              <w:t>问题</w:t>
            </w:r>
            <w:r w:rsidR="00002D0B">
              <w:rPr>
                <w:rFonts w:ascii="宋体" w:hAnsi="宋体"/>
                <w:b/>
                <w:bCs/>
                <w:iCs/>
              </w:rPr>
              <w:t>6</w:t>
            </w:r>
            <w:r w:rsidRPr="000B7165">
              <w:rPr>
                <w:rFonts w:ascii="宋体" w:hAnsi="宋体"/>
                <w:b/>
                <w:bCs/>
                <w:iCs/>
              </w:rPr>
              <w:t>：</w:t>
            </w:r>
            <w:r w:rsidRPr="003D0DA0">
              <w:rPr>
                <w:rFonts w:hint="eastAsia"/>
                <w:b/>
              </w:rPr>
              <w:t>未来净利率提升的趋势？收并购的角度会关注哪些资产，集团资产注入的预期如何</w:t>
            </w:r>
            <w:r>
              <w:rPr>
                <w:rFonts w:ascii="宋体" w:hAnsi="宋体" w:hint="eastAsia"/>
                <w:b/>
                <w:bCs/>
                <w:iCs/>
              </w:rPr>
              <w:t>？</w:t>
            </w:r>
          </w:p>
          <w:p w14:paraId="70097F26" w14:textId="5DAEEA32" w:rsidR="007A7719" w:rsidRDefault="007A7719" w:rsidP="007A7719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Pr="007A7719">
              <w:rPr>
                <w:rFonts w:ascii="宋体" w:hAnsi="宋体" w:hint="eastAsia"/>
                <w:bCs/>
                <w:iCs/>
              </w:rPr>
              <w:t>公司未来净利率会随着产品结构优化、收入增长、运营效率改善稳步提升。投资并购方向公司会继续围绕微创化、智能化、生物材料和海外并购的大方向进行。集团资产</w:t>
            </w:r>
            <w:r w:rsidR="00002D0B">
              <w:rPr>
                <w:rFonts w:ascii="宋体" w:hAnsi="宋体" w:hint="eastAsia"/>
                <w:bCs/>
                <w:iCs/>
              </w:rPr>
              <w:t>注入会根据集团资本运作计划统筹安排</w:t>
            </w:r>
            <w:r w:rsidRPr="007A7719">
              <w:rPr>
                <w:rFonts w:ascii="宋体" w:hAnsi="宋体" w:hint="eastAsia"/>
                <w:bCs/>
                <w:iCs/>
              </w:rPr>
              <w:t>。</w:t>
            </w:r>
          </w:p>
          <w:p w14:paraId="1D428651" w14:textId="3F8CD388" w:rsidR="007A7719" w:rsidRDefault="002A372C" w:rsidP="006E4C94">
            <w:pPr>
              <w:ind w:firstLine="482"/>
              <w:rPr>
                <w:rFonts w:ascii="宋体" w:hAnsi="宋体" w:hint="eastAsia"/>
                <w:bCs/>
                <w:iCs/>
              </w:rPr>
            </w:pPr>
            <w:r w:rsidRPr="000B7165">
              <w:rPr>
                <w:rFonts w:ascii="宋体" w:hAnsi="宋体"/>
                <w:b/>
                <w:bCs/>
                <w:iCs/>
              </w:rPr>
              <w:t>问题</w:t>
            </w:r>
            <w:r w:rsidR="00002D0B">
              <w:rPr>
                <w:rFonts w:ascii="宋体" w:hAnsi="宋体"/>
                <w:b/>
                <w:bCs/>
                <w:iCs/>
              </w:rPr>
              <w:t>7</w:t>
            </w:r>
            <w:r w:rsidRPr="000B7165">
              <w:rPr>
                <w:rFonts w:ascii="宋体" w:hAnsi="宋体"/>
                <w:b/>
                <w:bCs/>
                <w:iCs/>
              </w:rPr>
              <w:t>：</w:t>
            </w:r>
            <w:r w:rsidRPr="00CA081C">
              <w:rPr>
                <w:rFonts w:hint="eastAsia"/>
                <w:b/>
              </w:rPr>
              <w:t>杰思拜尔相对于既有产品的优势？</w:t>
            </w:r>
          </w:p>
          <w:p w14:paraId="334AA1C8" w14:textId="79792B8E" w:rsidR="007A7719" w:rsidRPr="002A372C" w:rsidRDefault="002A372C" w:rsidP="006E4C94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="003A1358">
              <w:t>杰思拜尔专注于脊柱微创和运动医学领域，拥有骨科微创和有源能量设备两大技术平台，主要产品包括经皮脊柱内窥镜、骨科关节内窥镜、超声骨刀、医用内窥镜摄像系统、高频电刀及各类配套器械耗材产品，在骨科微</w:t>
            </w:r>
            <w:proofErr w:type="gramStart"/>
            <w:r w:rsidR="003A1358">
              <w:t>创产品</w:t>
            </w:r>
            <w:proofErr w:type="gramEnd"/>
            <w:r w:rsidR="003A1358">
              <w:t>和有源能量产品两大产品领域拥有较强的研发实力。杰思拜尔已取证的主要产品包括脊柱内窥镜、</w:t>
            </w:r>
            <w:r w:rsidR="003A1358">
              <w:t xml:space="preserve"> </w:t>
            </w:r>
            <w:r w:rsidR="003A1358">
              <w:t>关节镜、光学镜等微创骨科产品及高频电刀、超声骨刀、手术动力系统等有源产</w:t>
            </w:r>
            <w:r w:rsidR="003A1358">
              <w:t xml:space="preserve"> </w:t>
            </w:r>
            <w:r w:rsidR="003A1358">
              <w:t>品，形成了较为完备的产品矩阵。此外，杰思拜尔相关产品具有一定技术研发上领先优势，如</w:t>
            </w:r>
            <w:r w:rsidR="003A1358">
              <w:t>2025</w:t>
            </w:r>
            <w:r w:rsidR="003A1358">
              <w:t>年</w:t>
            </w:r>
            <w:r w:rsidR="003A1358">
              <w:t>7</w:t>
            </w:r>
            <w:r w:rsidR="003A1358">
              <w:t>月取证的骨组织手术设备（即超声骨刀）完成了对脚踏、</w:t>
            </w:r>
            <w:r w:rsidR="003A1358">
              <w:t xml:space="preserve"> </w:t>
            </w:r>
            <w:r w:rsidR="003A1358">
              <w:t>单机集成镜下</w:t>
            </w:r>
            <w:r w:rsidR="003A1358">
              <w:t>/</w:t>
            </w:r>
            <w:r w:rsidR="003A1358">
              <w:t>开放超声、高速动力、高速刨削、灌注泵、负压泵的</w:t>
            </w:r>
            <w:proofErr w:type="gramStart"/>
            <w:r w:rsidR="003A1358">
              <w:t>一</w:t>
            </w:r>
            <w:proofErr w:type="gramEnd"/>
            <w:r w:rsidR="003A1358">
              <w:t>体式设计，</w:t>
            </w:r>
            <w:r w:rsidR="003A1358">
              <w:t xml:space="preserve"> </w:t>
            </w:r>
            <w:r w:rsidR="003A1358">
              <w:t>保证流量持续的同时确保手术区域压力处于安全范围；在脊柱内镜及关节镜方面，</w:t>
            </w:r>
            <w:r w:rsidR="003A1358">
              <w:t xml:space="preserve"> </w:t>
            </w:r>
            <w:r w:rsidR="003A1358">
              <w:t>杰思拜尔是国内全自主掌握设计研发生产各类型光学、电子内窥镜厂商。</w:t>
            </w:r>
            <w:r w:rsidR="003A1358">
              <w:rPr>
                <w:rFonts w:hint="eastAsia"/>
              </w:rPr>
              <w:t>其产品对于公司现有</w:t>
            </w:r>
            <w:proofErr w:type="gramStart"/>
            <w:r w:rsidR="003A1358">
              <w:rPr>
                <w:rFonts w:hint="eastAsia"/>
              </w:rPr>
              <w:t>微创类产品</w:t>
            </w:r>
            <w:proofErr w:type="gramEnd"/>
            <w:r w:rsidR="003A1358">
              <w:rPr>
                <w:rFonts w:hint="eastAsia"/>
              </w:rPr>
              <w:t>是强有力的补充。</w:t>
            </w:r>
          </w:p>
          <w:p w14:paraId="4F58AEF3" w14:textId="77470256" w:rsidR="007A7719" w:rsidRPr="007A7719" w:rsidRDefault="002A372C" w:rsidP="006E4C94">
            <w:pPr>
              <w:ind w:firstLine="482"/>
              <w:rPr>
                <w:rFonts w:ascii="宋体" w:hAnsi="宋体" w:hint="eastAsia"/>
                <w:bCs/>
                <w:iCs/>
              </w:rPr>
            </w:pPr>
            <w:r>
              <w:rPr>
                <w:rFonts w:hint="eastAsia"/>
                <w:b/>
              </w:rPr>
              <w:t>问题</w:t>
            </w:r>
            <w:r w:rsidR="00002D0B">
              <w:rPr>
                <w:b/>
              </w:rPr>
              <w:t>8</w:t>
            </w:r>
            <w:r>
              <w:rPr>
                <w:rFonts w:hint="eastAsia"/>
                <w:b/>
              </w:rPr>
              <w:t>：</w:t>
            </w:r>
            <w:r w:rsidRPr="002A372C">
              <w:rPr>
                <w:rFonts w:hint="eastAsia"/>
                <w:b/>
              </w:rPr>
              <w:t>PRP</w:t>
            </w:r>
            <w:r w:rsidRPr="002A372C">
              <w:rPr>
                <w:rFonts w:hint="eastAsia"/>
                <w:b/>
              </w:rPr>
              <w:t>产品在妇科、疼痛科等非骨科科室的收入体量及占比？未来对于该业务发展前景的展望</w:t>
            </w:r>
            <w:r w:rsidRPr="00CA081C">
              <w:rPr>
                <w:rFonts w:hint="eastAsia"/>
                <w:b/>
              </w:rPr>
              <w:t>？</w:t>
            </w:r>
          </w:p>
          <w:p w14:paraId="1E759A20" w14:textId="5EE9891C" w:rsidR="000B7165" w:rsidRPr="00367AD8" w:rsidRDefault="002A372C" w:rsidP="00112BE7">
            <w:pPr>
              <w:ind w:firstLine="48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Pr="002A372C">
              <w:rPr>
                <w:rFonts w:ascii="宋体" w:hAnsi="宋体" w:hint="eastAsia"/>
                <w:bCs/>
                <w:iCs/>
              </w:rPr>
              <w:t>目前PRP产品在临床的应用领域中，骨科和运动医学长期占据主导地位，非骨科科室的渗透率正在</w:t>
            </w:r>
            <w:r w:rsidR="003A1358">
              <w:rPr>
                <w:rFonts w:ascii="宋体" w:hAnsi="宋体" w:hint="eastAsia"/>
                <w:bCs/>
                <w:iCs/>
              </w:rPr>
              <w:t>逐步</w:t>
            </w:r>
            <w:r w:rsidRPr="002A372C">
              <w:rPr>
                <w:rFonts w:ascii="宋体" w:hAnsi="宋体" w:hint="eastAsia"/>
                <w:bCs/>
                <w:iCs/>
              </w:rPr>
              <w:t>提升</w:t>
            </w:r>
            <w:r w:rsidR="003A1358">
              <w:rPr>
                <w:rFonts w:ascii="宋体" w:hAnsi="宋体" w:hint="eastAsia"/>
                <w:bCs/>
                <w:iCs/>
              </w:rPr>
              <w:t>。</w:t>
            </w:r>
            <w:r w:rsidRPr="002A372C">
              <w:rPr>
                <w:rFonts w:ascii="宋体" w:hAnsi="宋体" w:hint="eastAsia"/>
                <w:bCs/>
                <w:iCs/>
              </w:rPr>
              <w:t>骨科与运动医学为传统核心</w:t>
            </w:r>
            <w:r w:rsidR="003A1358">
              <w:rPr>
                <w:rFonts w:ascii="宋体" w:hAnsi="宋体" w:hint="eastAsia"/>
                <w:bCs/>
                <w:iCs/>
              </w:rPr>
              <w:t>应用领域</w:t>
            </w:r>
            <w:r w:rsidRPr="002A372C">
              <w:rPr>
                <w:rFonts w:ascii="宋体" w:hAnsi="宋体" w:hint="eastAsia"/>
                <w:bCs/>
                <w:iCs/>
              </w:rPr>
              <w:t>，占比约70%-80%；皮肤科与整形外科为增长最快的细分领域，占比约10%；其</w:t>
            </w:r>
            <w:r w:rsidRPr="002A372C">
              <w:rPr>
                <w:rFonts w:ascii="宋体" w:hAnsi="宋体" w:hint="eastAsia"/>
                <w:bCs/>
                <w:iCs/>
              </w:rPr>
              <w:lastRenderedPageBreak/>
              <w:t>他非骨科应用（主要包括疼痛科、妇科/生殖科等）合计占比约10-15%。</w:t>
            </w:r>
            <w:r w:rsidR="00EA54F4" w:rsidRPr="00D81BD7">
              <w:rPr>
                <w:rFonts w:ascii="宋体" w:hAnsi="宋体" w:hint="eastAsia"/>
                <w:bCs/>
                <w:iCs/>
              </w:rPr>
              <w:t>疼痛科将是PRP产品的高频消耗场景，PRP凭借其自体源性、无排异、长效修复组织的根本性优势，正逐渐成为顽固性疼痛的标准化治疗手段；妇科领域的PRP应用是近年来国内外医学研究的热点，其商业化前景极具空间</w:t>
            </w:r>
            <w:r w:rsidR="000B7165" w:rsidRPr="000B7165">
              <w:rPr>
                <w:rFonts w:ascii="宋体" w:hAnsi="宋体"/>
                <w:bCs/>
                <w:iCs/>
              </w:rPr>
              <w:t>。</w:t>
            </w:r>
          </w:p>
        </w:tc>
      </w:tr>
      <w:tr w:rsidR="00887E74" w:rsidRPr="00887E74" w14:paraId="16D3FDFF" w14:textId="77777777" w:rsidTr="00EC15FA">
        <w:trPr>
          <w:trHeight w:val="64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A28" w14:textId="6AF2C688" w:rsidR="00600507" w:rsidRPr="00887E74" w:rsidRDefault="00600507" w:rsidP="00FA1E95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919" w14:textId="4733E5A7" w:rsidR="00600507" w:rsidRPr="00887E74" w:rsidRDefault="000F1651" w:rsidP="00FA1E95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见附件</w:t>
            </w:r>
            <w:r w:rsidR="00F91F81">
              <w:rPr>
                <w:rFonts w:ascii="宋体" w:hAnsi="宋体" w:hint="eastAsia"/>
                <w:bCs/>
                <w:iCs/>
              </w:rPr>
              <w:t>：</w:t>
            </w:r>
            <w:r w:rsidR="00F91F81">
              <w:rPr>
                <w:rFonts w:ascii="宋体" w:hAnsi="宋体"/>
                <w:bCs/>
                <w:iCs/>
              </w:rPr>
              <w:t>参会名单</w:t>
            </w:r>
          </w:p>
        </w:tc>
      </w:tr>
      <w:tr w:rsidR="00887E74" w:rsidRPr="00887E74" w14:paraId="50033FC2" w14:textId="77777777" w:rsidTr="00EC15FA">
        <w:trPr>
          <w:trHeight w:val="69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CA0" w14:textId="77777777" w:rsidR="00600507" w:rsidRPr="00887E74" w:rsidRDefault="00600507" w:rsidP="006E0909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0C8" w14:textId="69A3AFEA" w:rsidR="00600507" w:rsidRPr="00887E74" w:rsidRDefault="008374D9" w:rsidP="00C9256B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2A372C">
              <w:rPr>
                <w:rFonts w:ascii="宋体" w:hAnsi="宋体" w:hint="eastAsia"/>
                <w:bCs/>
                <w:iCs/>
              </w:rPr>
              <w:t>6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EB0747">
              <w:rPr>
                <w:rFonts w:ascii="宋体" w:hAnsi="宋体" w:hint="eastAsia"/>
                <w:bCs/>
                <w:iCs/>
              </w:rPr>
              <w:t>3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2A372C">
              <w:rPr>
                <w:rFonts w:ascii="宋体" w:hAnsi="宋体" w:hint="eastAsia"/>
                <w:bCs/>
                <w:iCs/>
              </w:rPr>
              <w:t>30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</w:tbl>
    <w:p w14:paraId="50B8CBCF" w14:textId="77777777" w:rsidR="00A659CC" w:rsidRDefault="00A659CC">
      <w:pPr>
        <w:ind w:firstLine="480"/>
      </w:pPr>
    </w:p>
    <w:p w14:paraId="5307A425" w14:textId="77777777" w:rsidR="00A659CC" w:rsidRDefault="00A659CC">
      <w:pPr>
        <w:ind w:firstLine="480"/>
      </w:pPr>
      <w:r>
        <w:br w:type="page"/>
      </w:r>
    </w:p>
    <w:p w14:paraId="27B1CCEB" w14:textId="29FB1983" w:rsidR="009675AC" w:rsidRPr="00A659CC" w:rsidRDefault="00A659CC" w:rsidP="00A659CC">
      <w:pPr>
        <w:ind w:firstLine="442"/>
        <w:jc w:val="left"/>
        <w:rPr>
          <w:b/>
          <w:sz w:val="22"/>
        </w:rPr>
      </w:pPr>
      <w:r w:rsidRPr="00A659CC">
        <w:rPr>
          <w:b/>
          <w:sz w:val="22"/>
        </w:rPr>
        <w:lastRenderedPageBreak/>
        <w:t>附件</w:t>
      </w:r>
      <w:r w:rsidRPr="00A659CC">
        <w:rPr>
          <w:rFonts w:hint="eastAsia"/>
          <w:b/>
          <w:sz w:val="22"/>
        </w:rPr>
        <w:t>：</w:t>
      </w:r>
      <w:r w:rsidR="00F91F81">
        <w:rPr>
          <w:rFonts w:hint="eastAsia"/>
          <w:b/>
          <w:sz w:val="22"/>
        </w:rPr>
        <w:t>参会名单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659CC" w:rsidRPr="00A659CC" w14:paraId="27EF18E6" w14:textId="77777777" w:rsidTr="00F52D9A">
        <w:trPr>
          <w:trHeight w:val="57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F3B4B8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68F5C6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A97B61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</w:tr>
      <w:tr w:rsidR="00CE2227" w:rsidRPr="00A659CC" w14:paraId="7274AB9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EF2C" w14:textId="599F96BE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邮证券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26A1" w14:textId="38D9F84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深圳市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尚诚资管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B871" w14:textId="6407262A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国投证券</w:t>
            </w:r>
          </w:p>
        </w:tc>
      </w:tr>
      <w:tr w:rsidR="00CE2227" w:rsidRPr="00A659CC" w14:paraId="0EE627F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2A03" w14:textId="75C5D9E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中银国际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5A54" w14:textId="561FED77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银基金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2CEB" w14:textId="098671B4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国泰君安国际</w:t>
            </w:r>
          </w:p>
        </w:tc>
      </w:tr>
      <w:tr w:rsidR="00CE2227" w:rsidRPr="00A659CC" w14:paraId="6982288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D41F" w14:textId="66EA6D84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中信建投资管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753E" w14:textId="0622F97E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上海天惠投资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860A" w14:textId="11149E1F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国泰基金</w:t>
            </w:r>
          </w:p>
        </w:tc>
      </w:tr>
      <w:tr w:rsidR="00CE2227" w:rsidRPr="00A659CC" w14:paraId="03311937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2599" w14:textId="096472ED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信建投证券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29AA" w14:textId="3CFA51FE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上海荣晟私募基金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1261" w14:textId="28BF83EA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国泰海通</w:t>
            </w:r>
            <w:proofErr w:type="gramEnd"/>
          </w:p>
        </w:tc>
      </w:tr>
      <w:tr w:rsidR="00CE2227" w:rsidRPr="00A659CC" w14:paraId="3AAAE4A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FDC5" w14:textId="36E7B93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中信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建投(國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際)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172D" w14:textId="2B6283E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健顺资管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1B6D" w14:textId="243E0705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国盛医药</w:t>
            </w:r>
          </w:p>
        </w:tc>
      </w:tr>
      <w:tr w:rsidR="00CE2227" w:rsidRPr="00A659CC" w14:paraId="702BB13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0CD9" w14:textId="6724D254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信保诚基金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B86C" w14:textId="17C4CEDD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上海季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胜资管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E0A" w14:textId="72C94EF8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国联民生</w:t>
            </w:r>
          </w:p>
        </w:tc>
      </w:tr>
      <w:tr w:rsidR="00CE2227" w:rsidRPr="00A659CC" w14:paraId="3EEB523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DAE0" w14:textId="5F0F36E8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中泰证券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AC33" w14:textId="3744C48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高毅资管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FECA" w14:textId="5A633FD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国联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安基金</w:t>
            </w:r>
            <w:proofErr w:type="gramEnd"/>
          </w:p>
        </w:tc>
      </w:tr>
      <w:tr w:rsidR="00CE2227" w:rsidRPr="00A659CC" w14:paraId="3C46318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EE3A" w14:textId="00DDCCB9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中金公司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0B66" w14:textId="18A869E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上海高恩私募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2A36" w14:textId="6DD197BF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海证券</w:t>
            </w:r>
            <w:proofErr w:type="gramEnd"/>
          </w:p>
        </w:tc>
      </w:tr>
      <w:tr w:rsidR="00CE2227" w:rsidRPr="00A659CC" w14:paraId="0925649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2489" w14:textId="41A8357D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中国人寿资管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9394" w14:textId="6B9595C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上海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冲积资管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7FB0" w14:textId="7A864379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国海富兰克林基金</w:t>
            </w:r>
          </w:p>
        </w:tc>
      </w:tr>
      <w:tr w:rsidR="00CE2227" w:rsidRPr="00A659CC" w14:paraId="7932AC7B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0296" w14:textId="65D3FA4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中国人寿保险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34A0" w14:textId="4AA0C08E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容光私募基金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829D" w14:textId="0EDE3313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广发证券</w:t>
            </w:r>
          </w:p>
        </w:tc>
      </w:tr>
      <w:tr w:rsidR="00CE2227" w:rsidRPr="00A659CC" w14:paraId="451EC18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EDA9" w14:textId="01EE75B3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浙江益恒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335B" w14:textId="346D5558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清池资本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DE0F" w14:textId="1E89ED9F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光大证券</w:t>
            </w:r>
          </w:p>
        </w:tc>
      </w:tr>
      <w:tr w:rsidR="00CE2227" w:rsidRPr="00A659CC" w14:paraId="327E7D2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87AD" w14:textId="085ACB4A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招银理财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C8B2" w14:textId="04DB178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青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骊资管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2E21" w14:textId="726815B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工银瑞信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基金</w:t>
            </w:r>
          </w:p>
        </w:tc>
      </w:tr>
      <w:tr w:rsidR="00CE2227" w:rsidRPr="00A659CC" w14:paraId="29646FE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3BB5" w14:textId="2E066143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招商基金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5B1B" w14:textId="0E2F66A8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前海联合基金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F82B" w14:textId="529F2349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格林基金</w:t>
            </w:r>
          </w:p>
        </w:tc>
      </w:tr>
      <w:tr w:rsidR="00CE2227" w:rsidRPr="00A659CC" w14:paraId="5559A37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A213" w14:textId="754D8387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长江医药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6C5F" w14:textId="74F672A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前海海运通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5E91" w14:textId="5603D573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高盛</w:t>
            </w:r>
          </w:p>
        </w:tc>
      </w:tr>
      <w:tr w:rsidR="00CE2227" w:rsidRPr="00A659CC" w14:paraId="61A072A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D374" w14:textId="363C688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圆合资本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0C31" w14:textId="081DACCD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农银汇理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81CE" w14:textId="06B9AB9C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丰琰资管</w:t>
            </w:r>
          </w:p>
        </w:tc>
      </w:tr>
      <w:tr w:rsidR="00CE2227" w:rsidRPr="00A659CC" w14:paraId="1D5E3AB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7BEA" w14:textId="415D13CA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益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民基金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9FC4" w14:textId="14DC5CBF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宁波莲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盛资管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014A" w14:textId="51B165E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东海基金</w:t>
            </w:r>
          </w:p>
        </w:tc>
      </w:tr>
      <w:tr w:rsidR="00CE2227" w:rsidRPr="00A659CC" w14:paraId="63A1820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64BA" w14:textId="18C1771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兴业证券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17E6" w14:textId="3C7B5C0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民生加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银基金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B4B7" w14:textId="0C33CB0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东方财富证券</w:t>
            </w:r>
          </w:p>
        </w:tc>
      </w:tr>
      <w:tr w:rsidR="00CE2227" w:rsidRPr="00A659CC" w14:paraId="3812BD2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630A" w14:textId="1CEAC98A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达证券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4814" w14:textId="6EE563A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凯石基金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121D" w14:textId="4464A9BC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东北证券</w:t>
            </w:r>
          </w:p>
        </w:tc>
      </w:tr>
      <w:tr w:rsidR="00CE2227" w:rsidRPr="00A659CC" w14:paraId="6FB322E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F41" w14:textId="2D2ED26B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西南医药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7727" w14:textId="7691D8B3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巨杉（上海）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0B80" w14:textId="4F416386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淡水泉（北京）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资管</w:t>
            </w:r>
            <w:proofErr w:type="gramEnd"/>
          </w:p>
        </w:tc>
      </w:tr>
      <w:tr w:rsidR="00CE2227" w:rsidRPr="00A659CC" w14:paraId="10999F9D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36C3" w14:textId="38967CF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西藏合众易晟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A2E4" w14:textId="4E342EA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进门财金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ECAE" w14:textId="3025AE05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创金合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信基金</w:t>
            </w:r>
          </w:p>
        </w:tc>
      </w:tr>
      <w:tr w:rsidR="00CE2227" w:rsidRPr="00A659CC" w14:paraId="1DC46CC4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F9B0" w14:textId="62B32A67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武汉言是科技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C2DB" w14:textId="44C9B327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华泰证券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3762" w14:textId="30BCA868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宝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盈基金</w:t>
            </w:r>
            <w:proofErr w:type="gramEnd"/>
          </w:p>
        </w:tc>
      </w:tr>
      <w:tr w:rsidR="00CE2227" w:rsidRPr="00A659CC" w14:paraId="2F240D5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5D98" w14:textId="104909E1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五地私募基金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4126" w14:textId="49D6EAE7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华创证券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19BB" w14:textId="437D6309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UBS Asset Management (Singapore) Limited</w:t>
            </w:r>
          </w:p>
        </w:tc>
      </w:tr>
      <w:tr w:rsidR="00CE2227" w:rsidRPr="00A659CC" w14:paraId="1DFEBF61" w14:textId="77777777" w:rsidTr="0061335F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F730" w14:textId="7524BF0F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通用技术集团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9679" w14:textId="4E87D6C2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华安基金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75FA" w14:textId="4D685DF4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MORGAN STANLEY INVESTMENT MANAGEMENT COMPANY</w:t>
            </w:r>
          </w:p>
        </w:tc>
      </w:tr>
      <w:tr w:rsidR="00CE2227" w:rsidRPr="00A659CC" w14:paraId="340B32A3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B19F" w14:textId="06943C7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天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治基金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023F" w14:textId="36BD43F4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杭州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荣泽石资管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EA6E" w14:textId="018F380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Hillhouse Capital-HCM China Fund</w:t>
            </w:r>
          </w:p>
        </w:tc>
      </w:tr>
      <w:tr w:rsidR="00CE2227" w:rsidRPr="00A659CC" w14:paraId="6E693109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654B" w14:textId="0FC5913D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天风证券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AC0F" w14:textId="1C443D3C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国信证券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B608" w14:textId="43341A90" w:rsidR="00CE2227" w:rsidRPr="0061335F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苏州高新私募基金</w:t>
            </w:r>
          </w:p>
        </w:tc>
      </w:tr>
      <w:tr w:rsidR="00CE2227" w:rsidRPr="00A659CC" w14:paraId="316396F6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9B33" w14:textId="1386DDE0" w:rsidR="00CE2227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泰信基金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D621" w14:textId="77777777" w:rsidR="00CE2227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B1B1" w14:textId="77777777" w:rsidR="00CE2227" w:rsidRDefault="00CE2227" w:rsidP="00CE2227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</w:tr>
    </w:tbl>
    <w:p w14:paraId="0C0BD146" w14:textId="77777777" w:rsidR="00A659CC" w:rsidRPr="00887E74" w:rsidRDefault="00A659CC" w:rsidP="00AA701D">
      <w:pPr>
        <w:ind w:firstLineChars="0" w:firstLine="0"/>
      </w:pPr>
    </w:p>
    <w:sectPr w:rsidR="00A659CC" w:rsidRPr="00887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BB41" w14:textId="77777777" w:rsidR="005A52F2" w:rsidRDefault="005A52F2" w:rsidP="00600507">
      <w:pPr>
        <w:spacing w:line="240" w:lineRule="auto"/>
        <w:ind w:firstLine="480"/>
      </w:pPr>
      <w:r>
        <w:separator/>
      </w:r>
    </w:p>
  </w:endnote>
  <w:endnote w:type="continuationSeparator" w:id="0">
    <w:p w14:paraId="0E16920A" w14:textId="77777777" w:rsidR="005A52F2" w:rsidRDefault="005A52F2" w:rsidP="00600507">
      <w:pPr>
        <w:spacing w:line="240" w:lineRule="auto"/>
        <w:ind w:firstLine="480"/>
      </w:pPr>
      <w:r>
        <w:continuationSeparator/>
      </w:r>
    </w:p>
  </w:endnote>
  <w:endnote w:type="continuationNotice" w:id="1">
    <w:p w14:paraId="31A1B49B" w14:textId="77777777" w:rsidR="005A52F2" w:rsidRDefault="005A52F2"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6BE2" w14:textId="77777777" w:rsidR="00976F09" w:rsidRDefault="00976F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67E1" w14:textId="77777777" w:rsidR="00976F09" w:rsidRDefault="00976F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8B4" w14:textId="77777777" w:rsidR="00976F09" w:rsidRDefault="00976F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879C" w14:textId="77777777" w:rsidR="005A52F2" w:rsidRDefault="005A52F2" w:rsidP="00600507">
      <w:pPr>
        <w:spacing w:line="240" w:lineRule="auto"/>
        <w:ind w:firstLine="480"/>
      </w:pPr>
      <w:r>
        <w:separator/>
      </w:r>
    </w:p>
  </w:footnote>
  <w:footnote w:type="continuationSeparator" w:id="0">
    <w:p w14:paraId="7ED2B3F7" w14:textId="77777777" w:rsidR="005A52F2" w:rsidRDefault="005A52F2" w:rsidP="00600507">
      <w:pPr>
        <w:spacing w:line="240" w:lineRule="auto"/>
        <w:ind w:firstLine="480"/>
      </w:pPr>
      <w:r>
        <w:continuationSeparator/>
      </w:r>
    </w:p>
  </w:footnote>
  <w:footnote w:type="continuationNotice" w:id="1">
    <w:p w14:paraId="143E68C9" w14:textId="77777777" w:rsidR="005A52F2" w:rsidRDefault="005A52F2"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2C3C" w14:textId="77777777" w:rsidR="00976F09" w:rsidRDefault="00976F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89C5" w14:textId="77777777" w:rsidR="00976F09" w:rsidRPr="00C976AB" w:rsidRDefault="00976F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D82C" w14:textId="77777777" w:rsidR="00976F09" w:rsidRDefault="00976F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2136"/>
    <w:multiLevelType w:val="hybridMultilevel"/>
    <w:tmpl w:val="A6800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D4BE6"/>
    <w:multiLevelType w:val="hybridMultilevel"/>
    <w:tmpl w:val="67A8EFC8"/>
    <w:lvl w:ilvl="0" w:tplc="06F659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450A02"/>
    <w:multiLevelType w:val="hybridMultilevel"/>
    <w:tmpl w:val="9886EF74"/>
    <w:lvl w:ilvl="0" w:tplc="43707EB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3866878">
    <w:abstractNumId w:val="0"/>
  </w:num>
  <w:num w:numId="2" w16cid:durableId="473257494">
    <w:abstractNumId w:val="1"/>
  </w:num>
  <w:num w:numId="3" w16cid:durableId="12544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5B"/>
    <w:rsid w:val="00002D0B"/>
    <w:rsid w:val="00003709"/>
    <w:rsid w:val="00034352"/>
    <w:rsid w:val="00037872"/>
    <w:rsid w:val="00046963"/>
    <w:rsid w:val="00090061"/>
    <w:rsid w:val="00090C61"/>
    <w:rsid w:val="000B7165"/>
    <w:rsid w:val="000E367B"/>
    <w:rsid w:val="000E6C1E"/>
    <w:rsid w:val="000F1651"/>
    <w:rsid w:val="000F447D"/>
    <w:rsid w:val="00104812"/>
    <w:rsid w:val="00104F66"/>
    <w:rsid w:val="0010537B"/>
    <w:rsid w:val="00112BE7"/>
    <w:rsid w:val="001144C8"/>
    <w:rsid w:val="00125411"/>
    <w:rsid w:val="00141E6B"/>
    <w:rsid w:val="00163C4A"/>
    <w:rsid w:val="001644CD"/>
    <w:rsid w:val="00185727"/>
    <w:rsid w:val="001A27E3"/>
    <w:rsid w:val="001A4EB7"/>
    <w:rsid w:val="001B0D68"/>
    <w:rsid w:val="001B3FDC"/>
    <w:rsid w:val="001C371E"/>
    <w:rsid w:val="001E1C15"/>
    <w:rsid w:val="001E3FA9"/>
    <w:rsid w:val="001F047E"/>
    <w:rsid w:val="001F4100"/>
    <w:rsid w:val="001F60DF"/>
    <w:rsid w:val="00221259"/>
    <w:rsid w:val="00254B4D"/>
    <w:rsid w:val="0025666F"/>
    <w:rsid w:val="0026400A"/>
    <w:rsid w:val="002660CC"/>
    <w:rsid w:val="00271641"/>
    <w:rsid w:val="0028375B"/>
    <w:rsid w:val="002A372C"/>
    <w:rsid w:val="003334F0"/>
    <w:rsid w:val="00344342"/>
    <w:rsid w:val="00347B93"/>
    <w:rsid w:val="00363751"/>
    <w:rsid w:val="00367AD8"/>
    <w:rsid w:val="00377D02"/>
    <w:rsid w:val="0039734A"/>
    <w:rsid w:val="003A1358"/>
    <w:rsid w:val="003A6EF2"/>
    <w:rsid w:val="003E5A31"/>
    <w:rsid w:val="00426E67"/>
    <w:rsid w:val="00443BA4"/>
    <w:rsid w:val="004464BD"/>
    <w:rsid w:val="00446B64"/>
    <w:rsid w:val="00480BAC"/>
    <w:rsid w:val="00495A61"/>
    <w:rsid w:val="004B6B8C"/>
    <w:rsid w:val="004D07FE"/>
    <w:rsid w:val="004D09A4"/>
    <w:rsid w:val="004E21A4"/>
    <w:rsid w:val="004E38AD"/>
    <w:rsid w:val="005169C6"/>
    <w:rsid w:val="00517581"/>
    <w:rsid w:val="0052280B"/>
    <w:rsid w:val="005260B1"/>
    <w:rsid w:val="0053580C"/>
    <w:rsid w:val="005378BE"/>
    <w:rsid w:val="00574C75"/>
    <w:rsid w:val="00580587"/>
    <w:rsid w:val="005923BB"/>
    <w:rsid w:val="005A120D"/>
    <w:rsid w:val="005A1CBD"/>
    <w:rsid w:val="005A52F2"/>
    <w:rsid w:val="005A78F5"/>
    <w:rsid w:val="005B034B"/>
    <w:rsid w:val="005B04DF"/>
    <w:rsid w:val="005C11EA"/>
    <w:rsid w:val="005D547D"/>
    <w:rsid w:val="005D7AE2"/>
    <w:rsid w:val="00600507"/>
    <w:rsid w:val="00606C37"/>
    <w:rsid w:val="0061335F"/>
    <w:rsid w:val="00624BB4"/>
    <w:rsid w:val="00645066"/>
    <w:rsid w:val="00650724"/>
    <w:rsid w:val="00673111"/>
    <w:rsid w:val="00681696"/>
    <w:rsid w:val="00681812"/>
    <w:rsid w:val="006C0E4D"/>
    <w:rsid w:val="006C2A07"/>
    <w:rsid w:val="006D0BBC"/>
    <w:rsid w:val="006D187B"/>
    <w:rsid w:val="006E2880"/>
    <w:rsid w:val="006E4C94"/>
    <w:rsid w:val="00700CF6"/>
    <w:rsid w:val="00707270"/>
    <w:rsid w:val="00730113"/>
    <w:rsid w:val="00740295"/>
    <w:rsid w:val="0076545F"/>
    <w:rsid w:val="007A0953"/>
    <w:rsid w:val="007A430C"/>
    <w:rsid w:val="007A7719"/>
    <w:rsid w:val="007C483C"/>
    <w:rsid w:val="007E3527"/>
    <w:rsid w:val="007E40C5"/>
    <w:rsid w:val="007F287B"/>
    <w:rsid w:val="0080692C"/>
    <w:rsid w:val="00806C7C"/>
    <w:rsid w:val="00813338"/>
    <w:rsid w:val="00834D5A"/>
    <w:rsid w:val="008374D9"/>
    <w:rsid w:val="00856EF5"/>
    <w:rsid w:val="00864C87"/>
    <w:rsid w:val="00867315"/>
    <w:rsid w:val="00881AD8"/>
    <w:rsid w:val="00887E74"/>
    <w:rsid w:val="00895106"/>
    <w:rsid w:val="008952A1"/>
    <w:rsid w:val="008A6B16"/>
    <w:rsid w:val="008D344A"/>
    <w:rsid w:val="008E0BD2"/>
    <w:rsid w:val="008F2B5A"/>
    <w:rsid w:val="008F318C"/>
    <w:rsid w:val="008F3805"/>
    <w:rsid w:val="00906CBF"/>
    <w:rsid w:val="00912C08"/>
    <w:rsid w:val="009227A9"/>
    <w:rsid w:val="0094064D"/>
    <w:rsid w:val="00945BC4"/>
    <w:rsid w:val="00953102"/>
    <w:rsid w:val="00954C7E"/>
    <w:rsid w:val="009675AC"/>
    <w:rsid w:val="00971D03"/>
    <w:rsid w:val="00976F09"/>
    <w:rsid w:val="009A62F5"/>
    <w:rsid w:val="009C07BD"/>
    <w:rsid w:val="009C6A5F"/>
    <w:rsid w:val="009C798B"/>
    <w:rsid w:val="009D2D4E"/>
    <w:rsid w:val="009D6B6B"/>
    <w:rsid w:val="009E108E"/>
    <w:rsid w:val="00A15C15"/>
    <w:rsid w:val="00A35BC8"/>
    <w:rsid w:val="00A464CA"/>
    <w:rsid w:val="00A533E7"/>
    <w:rsid w:val="00A61024"/>
    <w:rsid w:val="00A659CC"/>
    <w:rsid w:val="00A75E68"/>
    <w:rsid w:val="00AA701D"/>
    <w:rsid w:val="00AB5BBB"/>
    <w:rsid w:val="00AB6B7B"/>
    <w:rsid w:val="00AC5CF4"/>
    <w:rsid w:val="00B10BCB"/>
    <w:rsid w:val="00B221F6"/>
    <w:rsid w:val="00B53DF0"/>
    <w:rsid w:val="00B6191E"/>
    <w:rsid w:val="00B77140"/>
    <w:rsid w:val="00B86C06"/>
    <w:rsid w:val="00B873AD"/>
    <w:rsid w:val="00B93C8E"/>
    <w:rsid w:val="00B96256"/>
    <w:rsid w:val="00BB523B"/>
    <w:rsid w:val="00BF196F"/>
    <w:rsid w:val="00C20B0F"/>
    <w:rsid w:val="00C33D9C"/>
    <w:rsid w:val="00C638E4"/>
    <w:rsid w:val="00C63C40"/>
    <w:rsid w:val="00C64890"/>
    <w:rsid w:val="00C65628"/>
    <w:rsid w:val="00C9256B"/>
    <w:rsid w:val="00C976AB"/>
    <w:rsid w:val="00CA1DFA"/>
    <w:rsid w:val="00CA511B"/>
    <w:rsid w:val="00CB39A1"/>
    <w:rsid w:val="00CC48CE"/>
    <w:rsid w:val="00CC72AB"/>
    <w:rsid w:val="00CD49F6"/>
    <w:rsid w:val="00CE15C3"/>
    <w:rsid w:val="00CE2227"/>
    <w:rsid w:val="00D0156A"/>
    <w:rsid w:val="00D0688B"/>
    <w:rsid w:val="00D3229E"/>
    <w:rsid w:val="00D415A8"/>
    <w:rsid w:val="00D55872"/>
    <w:rsid w:val="00D65EB4"/>
    <w:rsid w:val="00D75DA9"/>
    <w:rsid w:val="00D81BD7"/>
    <w:rsid w:val="00DB0096"/>
    <w:rsid w:val="00DC25B7"/>
    <w:rsid w:val="00DC493C"/>
    <w:rsid w:val="00DC4D29"/>
    <w:rsid w:val="00DE641F"/>
    <w:rsid w:val="00E24C96"/>
    <w:rsid w:val="00E33EF6"/>
    <w:rsid w:val="00E53D70"/>
    <w:rsid w:val="00E708F4"/>
    <w:rsid w:val="00E72901"/>
    <w:rsid w:val="00E768CA"/>
    <w:rsid w:val="00E92E30"/>
    <w:rsid w:val="00EA25D7"/>
    <w:rsid w:val="00EA54F4"/>
    <w:rsid w:val="00EA6F14"/>
    <w:rsid w:val="00EB0747"/>
    <w:rsid w:val="00EB0B3C"/>
    <w:rsid w:val="00EB7D0D"/>
    <w:rsid w:val="00EC15FA"/>
    <w:rsid w:val="00ED6C32"/>
    <w:rsid w:val="00EE0B82"/>
    <w:rsid w:val="00F13500"/>
    <w:rsid w:val="00F32965"/>
    <w:rsid w:val="00F37B6F"/>
    <w:rsid w:val="00F52D9A"/>
    <w:rsid w:val="00F57364"/>
    <w:rsid w:val="00F61831"/>
    <w:rsid w:val="00F74E37"/>
    <w:rsid w:val="00F91F81"/>
    <w:rsid w:val="00F94C93"/>
    <w:rsid w:val="00F9778D"/>
    <w:rsid w:val="00FA1E95"/>
    <w:rsid w:val="00FA2F5A"/>
    <w:rsid w:val="00FC182E"/>
    <w:rsid w:val="00FD28FF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922B"/>
  <w15:chartTrackingRefBased/>
  <w15:docId w15:val="{EC6C2613-0843-4D17-9131-6EB3CEE2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50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50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507"/>
    <w:rPr>
      <w:sz w:val="18"/>
      <w:szCs w:val="18"/>
    </w:rPr>
  </w:style>
  <w:style w:type="table" w:styleId="a7">
    <w:name w:val="Table Grid"/>
    <w:basedOn w:val="a1"/>
    <w:uiPriority w:val="39"/>
    <w:rsid w:val="00600507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6A5F"/>
    <w:pPr>
      <w:spacing w:line="240" w:lineRule="auto"/>
      <w:ind w:firstLine="420"/>
    </w:pPr>
    <w:rPr>
      <w:rFonts w:asciiTheme="minorHAnsi" w:eastAsiaTheme="minorEastAsia" w:hAnsiTheme="minorHAnsi" w:cstheme="minorBidi"/>
      <w:sz w:val="21"/>
    </w:rPr>
  </w:style>
  <w:style w:type="paragraph" w:styleId="a9">
    <w:name w:val="Revision"/>
    <w:hidden/>
    <w:uiPriority w:val="99"/>
    <w:semiHidden/>
    <w:rsid w:val="001A27E3"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27E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27E3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12BE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2BE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2BE7"/>
    <w:rPr>
      <w:rFonts w:ascii="Times New Roman" w:eastAsia="宋体" w:hAnsi="Times New Roman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2BE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2BE7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Wangwx</dc:creator>
  <cp:keywords/>
  <dc:description/>
  <cp:lastModifiedBy>y'z'l</cp:lastModifiedBy>
  <cp:revision>130</cp:revision>
  <dcterms:created xsi:type="dcterms:W3CDTF">2023-03-31T08:40:00Z</dcterms:created>
  <dcterms:modified xsi:type="dcterms:W3CDTF">2026-03-30T08:18:00Z</dcterms:modified>
</cp:coreProperties>
</file>