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sz w:val="24"/>
        </w:rPr>
      </w:pPr>
      <w:r>
        <w:rPr>
          <w:rFonts w:hint="eastAsia"/>
          <w:sz w:val="24"/>
        </w:rPr>
        <w:t>证券代码：688036                                  证券简称：传音控股</w:t>
      </w:r>
    </w:p>
    <w:p>
      <w:pPr>
        <w:adjustRightInd w:val="0"/>
        <w:snapToGrid w:val="0"/>
        <w:spacing w:line="600" w:lineRule="exact"/>
        <w:rPr>
          <w:sz w:val="30"/>
          <w:szCs w:val="30"/>
        </w:rPr>
      </w:pPr>
    </w:p>
    <w:p>
      <w:pPr>
        <w:adjustRightInd w:val="0"/>
        <w:snapToGrid w:val="0"/>
        <w:spacing w:line="600" w:lineRule="exact"/>
        <w:jc w:val="center"/>
        <w:outlineLvl w:val="1"/>
        <w:rPr>
          <w:b/>
          <w:sz w:val="36"/>
          <w:szCs w:val="36"/>
        </w:rPr>
      </w:pPr>
      <w:r>
        <w:rPr>
          <w:rFonts w:hint="eastAsia"/>
          <w:b/>
          <w:sz w:val="36"/>
          <w:szCs w:val="36"/>
        </w:rPr>
        <w:t>深圳传音控股股份有限公司</w:t>
      </w:r>
    </w:p>
    <w:p>
      <w:pPr>
        <w:adjustRightInd w:val="0"/>
        <w:snapToGrid w:val="0"/>
        <w:spacing w:line="600" w:lineRule="exact"/>
        <w:jc w:val="center"/>
        <w:outlineLvl w:val="1"/>
        <w:rPr>
          <w:b/>
          <w:sz w:val="36"/>
          <w:szCs w:val="36"/>
        </w:rPr>
      </w:pPr>
      <w:r>
        <w:rPr>
          <w:rFonts w:hint="eastAsia"/>
          <w:b/>
          <w:sz w:val="36"/>
          <w:szCs w:val="36"/>
        </w:rPr>
        <w:t>投资者关系活动记录表</w:t>
      </w:r>
    </w:p>
    <w:tbl>
      <w:tblPr>
        <w:tblStyle w:val="20"/>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投资者关系活动类别</w:t>
            </w:r>
          </w:p>
        </w:tc>
        <w:tc>
          <w:tcPr>
            <w:tcW w:w="7145" w:type="dxa"/>
          </w:tcPr>
          <w:p>
            <w:pPr>
              <w:adjustRightInd w:val="0"/>
              <w:spacing w:line="360" w:lineRule="auto"/>
              <w:contextualSpacing/>
              <w:rPr>
                <w:sz w:val="24"/>
              </w:rPr>
            </w:pPr>
            <w:r>
              <w:rPr>
                <w:rFonts w:hint="eastAsia"/>
                <w:sz w:val="24"/>
              </w:rPr>
              <w:sym w:font="Wingdings 2" w:char="00A3"/>
            </w:r>
            <w:r>
              <w:rPr>
                <w:rFonts w:hint="eastAsia"/>
                <w:sz w:val="24"/>
              </w:rPr>
              <w:t xml:space="preserve">特定对象调研             </w:t>
            </w:r>
            <w:r>
              <w:rPr>
                <w:rFonts w:hint="eastAsia"/>
                <w:sz w:val="24"/>
              </w:rPr>
              <w:sym w:font="Wingdings 2" w:char="00A3"/>
            </w:r>
            <w:r>
              <w:rPr>
                <w:rFonts w:hint="eastAsia"/>
                <w:sz w:val="24"/>
              </w:rPr>
              <w:t>分析师会议</w:t>
            </w:r>
          </w:p>
          <w:p>
            <w:pPr>
              <w:adjustRightInd w:val="0"/>
              <w:spacing w:line="360" w:lineRule="auto"/>
              <w:contextualSpacing/>
              <w:rPr>
                <w:sz w:val="24"/>
              </w:rPr>
            </w:pPr>
            <w:r>
              <w:rPr>
                <w:rFonts w:hint="eastAsia"/>
                <w:sz w:val="24"/>
              </w:rPr>
              <w:sym w:font="Wingdings 2" w:char="00A3"/>
            </w:r>
            <w:r>
              <w:rPr>
                <w:rFonts w:hint="eastAsia"/>
                <w:sz w:val="24"/>
              </w:rPr>
              <w:t xml:space="preserve">媒体采访                 </w:t>
            </w:r>
            <w:r>
              <w:rPr>
                <w:rFonts w:hint="eastAsia"/>
                <w:sz w:val="24"/>
              </w:rPr>
              <w:sym w:font="Wingdings 2" w:char="00A3"/>
            </w:r>
            <w:r>
              <w:rPr>
                <w:rFonts w:hint="eastAsia"/>
                <w:sz w:val="24"/>
              </w:rPr>
              <w:t>业绩说明会</w:t>
            </w:r>
          </w:p>
          <w:p>
            <w:pPr>
              <w:adjustRightInd w:val="0"/>
              <w:spacing w:line="360" w:lineRule="auto"/>
              <w:contextualSpacing/>
              <w:rPr>
                <w:sz w:val="24"/>
              </w:rPr>
            </w:pPr>
            <w:r>
              <w:rPr>
                <w:rFonts w:hint="eastAsia"/>
                <w:sz w:val="24"/>
              </w:rPr>
              <w:sym w:font="Wingdings 2" w:char="00A3"/>
            </w:r>
            <w:r>
              <w:rPr>
                <w:rFonts w:hint="eastAsia"/>
                <w:sz w:val="24"/>
              </w:rPr>
              <w:t xml:space="preserve">新闻发布会               </w:t>
            </w:r>
            <w:r>
              <w:rPr>
                <w:rFonts w:hint="eastAsia"/>
                <w:sz w:val="24"/>
              </w:rPr>
              <w:sym w:font="Wingdings 2" w:char="00A3"/>
            </w:r>
            <w:r>
              <w:rPr>
                <w:rFonts w:hint="eastAsia"/>
                <w:sz w:val="24"/>
              </w:rPr>
              <w:t>一对一沟通</w:t>
            </w:r>
          </w:p>
          <w:p>
            <w:pPr>
              <w:adjustRightInd w:val="0"/>
              <w:spacing w:line="360" w:lineRule="auto"/>
              <w:contextualSpacing/>
              <w:rPr>
                <w:sz w:val="24"/>
              </w:rPr>
            </w:pPr>
            <w:r>
              <w:rPr>
                <w:rFonts w:hint="eastAsia"/>
                <w:sz w:val="24"/>
              </w:rPr>
              <w:sym w:font="Wingdings 2" w:char="00A3"/>
            </w:r>
            <w:r>
              <w:rPr>
                <w:rFonts w:hint="eastAsia"/>
                <w:sz w:val="24"/>
              </w:rPr>
              <w:t xml:space="preserve">现场参观                 </w:t>
            </w:r>
            <w:r>
              <w:rPr>
                <w:rFonts w:hint="eastAsia"/>
                <w:sz w:val="24"/>
              </w:rPr>
              <w:sym w:font="Wingdings 2" w:char="00A3"/>
            </w:r>
            <w:r>
              <w:rPr>
                <w:rFonts w:hint="eastAsia"/>
                <w:sz w:val="24"/>
              </w:rPr>
              <w:t>路演活动</w:t>
            </w:r>
          </w:p>
          <w:p>
            <w:pPr>
              <w:adjustRightInd w:val="0"/>
              <w:spacing w:line="360" w:lineRule="auto"/>
              <w:contextualSpacing/>
              <w:rPr>
                <w:sz w:val="24"/>
              </w:rPr>
            </w:pPr>
            <w:r>
              <w:rPr>
                <w:rFonts w:hint="eastAsia"/>
                <w:sz w:val="24"/>
              </w:rPr>
              <w:sym w:font="Wingdings 2" w:char="0052"/>
            </w:r>
            <w:r>
              <w:rPr>
                <w:rFonts w:hint="eastAsia"/>
                <w:sz w:val="24"/>
              </w:rPr>
              <w:t>其他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参与单位及人员</w:t>
            </w:r>
          </w:p>
        </w:tc>
        <w:tc>
          <w:tcPr>
            <w:tcW w:w="7145" w:type="dxa"/>
          </w:tcPr>
          <w:p>
            <w:pPr>
              <w:adjustRightInd w:val="0"/>
              <w:spacing w:line="360" w:lineRule="auto"/>
              <w:rPr>
                <w:sz w:val="24"/>
              </w:rPr>
            </w:pPr>
            <w:r>
              <w:rPr>
                <w:rFonts w:hint="eastAsia"/>
                <w:color w:val="000000"/>
                <w:sz w:val="24"/>
              </w:rPr>
              <w:t>159家机构196人次</w:t>
            </w:r>
            <w:r>
              <w:rPr>
                <w:rFonts w:hint="eastAsia"/>
                <w:sz w:val="24"/>
              </w:rPr>
              <w:t>（详见附件《与会清单》）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时间</w:t>
            </w:r>
          </w:p>
        </w:tc>
        <w:tc>
          <w:tcPr>
            <w:tcW w:w="7145" w:type="dxa"/>
          </w:tcPr>
          <w:p>
            <w:pPr>
              <w:adjustRightInd w:val="0"/>
              <w:spacing w:line="360" w:lineRule="auto"/>
              <w:rPr>
                <w:sz w:val="24"/>
              </w:rPr>
            </w:pPr>
            <w:r>
              <w:rPr>
                <w:rFonts w:hint="eastAsia"/>
                <w:sz w:val="24"/>
              </w:rPr>
              <w:t>2026年3月27</w:t>
            </w:r>
            <w:r>
              <w:rPr>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地点</w:t>
            </w:r>
          </w:p>
        </w:tc>
        <w:tc>
          <w:tcPr>
            <w:tcW w:w="7145" w:type="dxa"/>
          </w:tcPr>
          <w:p>
            <w:pPr>
              <w:adjustRightInd w:val="0"/>
              <w:spacing w:line="360" w:lineRule="auto"/>
              <w:contextualSpacing/>
              <w:rPr>
                <w:sz w:val="24"/>
              </w:rPr>
            </w:pPr>
            <w:r>
              <w:rPr>
                <w:rFonts w:hint="eastAsia"/>
                <w:sz w:val="24"/>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sz w:val="24"/>
              </w:rPr>
            </w:pPr>
            <w:r>
              <w:rPr>
                <w:rFonts w:hint="eastAsia"/>
                <w:sz w:val="24"/>
              </w:rPr>
              <w:t>接待人员</w:t>
            </w:r>
          </w:p>
        </w:tc>
        <w:tc>
          <w:tcPr>
            <w:tcW w:w="7145" w:type="dxa"/>
          </w:tcPr>
          <w:p>
            <w:pPr>
              <w:adjustRightInd w:val="0"/>
              <w:spacing w:line="360" w:lineRule="auto"/>
              <w:contextualSpacing/>
              <w:rPr>
                <w:sz w:val="24"/>
              </w:rPr>
            </w:pPr>
            <w:bookmarkStart w:id="0" w:name="OLE_LINK1"/>
            <w:r>
              <w:rPr>
                <w:rFonts w:hint="eastAsia"/>
                <w:sz w:val="24"/>
              </w:rPr>
              <w:t xml:space="preserve">传音控股  董事、副总经理       </w:t>
            </w:r>
            <w:bookmarkEnd w:id="0"/>
            <w:r>
              <w:rPr>
                <w:rFonts w:hint="eastAsia"/>
                <w:sz w:val="24"/>
              </w:rPr>
              <w:t>张祺</w:t>
            </w:r>
          </w:p>
          <w:p>
            <w:pPr>
              <w:adjustRightInd w:val="0"/>
              <w:spacing w:line="360" w:lineRule="auto"/>
              <w:contextualSpacing/>
              <w:rPr>
                <w:sz w:val="24"/>
              </w:rPr>
            </w:pPr>
            <w:bookmarkStart w:id="1" w:name="OLE_LINK2"/>
            <w:r>
              <w:rPr>
                <w:rFonts w:hint="eastAsia"/>
                <w:sz w:val="24"/>
              </w:rPr>
              <w:t>传音控股</w:t>
            </w:r>
            <w:bookmarkEnd w:id="1"/>
            <w:r>
              <w:rPr>
                <w:rFonts w:hint="eastAsia"/>
                <w:sz w:val="24"/>
              </w:rPr>
              <w:t xml:space="preserve">  副总经理             王海滨</w:t>
            </w:r>
          </w:p>
          <w:p>
            <w:pPr>
              <w:adjustRightInd w:val="0"/>
              <w:spacing w:line="360" w:lineRule="auto"/>
              <w:contextualSpacing/>
              <w:rPr>
                <w:sz w:val="24"/>
              </w:rPr>
            </w:pPr>
            <w:r>
              <w:rPr>
                <w:rFonts w:hint="eastAsia"/>
                <w:sz w:val="24"/>
              </w:rPr>
              <w:t>传音控股  董事会秘书           曾春</w:t>
            </w:r>
          </w:p>
          <w:p>
            <w:pPr>
              <w:adjustRightInd w:val="0"/>
              <w:spacing w:line="360" w:lineRule="auto"/>
              <w:contextualSpacing/>
              <w:rPr>
                <w:sz w:val="24"/>
              </w:rPr>
            </w:pPr>
            <w:r>
              <w:rPr>
                <w:rFonts w:hint="eastAsia"/>
                <w:sz w:val="24"/>
              </w:rPr>
              <w:t>传音控股  TEX AI中心总经理    史团委</w:t>
            </w:r>
          </w:p>
          <w:p>
            <w:pPr>
              <w:adjustRightInd w:val="0"/>
              <w:spacing w:line="360" w:lineRule="auto"/>
              <w:contextualSpacing/>
              <w:rPr>
                <w:sz w:val="24"/>
              </w:rPr>
            </w:pPr>
            <w:r>
              <w:rPr>
                <w:rFonts w:hint="eastAsia"/>
                <w:sz w:val="24"/>
              </w:rPr>
              <w:t>传音控股  共享财务总监         方玉意</w:t>
            </w:r>
          </w:p>
          <w:p>
            <w:pPr>
              <w:adjustRightInd w:val="0"/>
              <w:spacing w:line="360" w:lineRule="auto"/>
              <w:contextualSpacing/>
              <w:rPr>
                <w:sz w:val="24"/>
              </w:rPr>
            </w:pPr>
            <w:r>
              <w:rPr>
                <w:rFonts w:hint="eastAsia"/>
                <w:sz w:val="24"/>
              </w:rPr>
              <w:t>传音控股  投资者关系总监       梓轩</w:t>
            </w:r>
          </w:p>
          <w:p>
            <w:pPr>
              <w:adjustRightInd w:val="0"/>
              <w:spacing w:line="360" w:lineRule="auto"/>
              <w:contextualSpacing/>
              <w:rPr>
                <w:sz w:val="24"/>
              </w:rPr>
            </w:pPr>
            <w:r>
              <w:rPr>
                <w:rFonts w:hint="eastAsia"/>
                <w:sz w:val="24"/>
              </w:rPr>
              <w:t>传音控股  投资者关系主管       吕天赐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sz w:val="24"/>
              </w:rPr>
            </w:pPr>
            <w:r>
              <w:rPr>
                <w:rFonts w:hint="eastAsia"/>
                <w:sz w:val="24"/>
              </w:rPr>
              <w:t>投资者关系活动主要内容介绍</w:t>
            </w:r>
          </w:p>
        </w:tc>
        <w:tc>
          <w:tcPr>
            <w:tcW w:w="7145" w:type="dxa"/>
          </w:tcPr>
          <w:p>
            <w:pPr>
              <w:spacing w:line="360" w:lineRule="auto"/>
              <w:ind w:firstLine="480" w:firstLineChars="200"/>
              <w:rPr>
                <w:sz w:val="24"/>
              </w:rPr>
            </w:pPr>
            <w:r>
              <w:rPr>
                <w:rFonts w:hint="eastAsia"/>
                <w:sz w:val="24"/>
              </w:rPr>
              <w:t>公司对2025年经营情况做了简要的介绍。</w:t>
            </w:r>
          </w:p>
          <w:p>
            <w:pPr>
              <w:spacing w:line="360" w:lineRule="auto"/>
              <w:ind w:firstLine="480" w:firstLineChars="200"/>
              <w:rPr>
                <w:sz w:val="24"/>
              </w:rPr>
            </w:pPr>
            <w:r>
              <w:rPr>
                <w:rFonts w:hint="eastAsia"/>
                <w:sz w:val="24"/>
              </w:rPr>
              <w:t>互动问答：</w:t>
            </w:r>
          </w:p>
          <w:p>
            <w:pPr>
              <w:numPr>
                <w:ilvl w:val="0"/>
                <w:numId w:val="1"/>
              </w:numPr>
              <w:spacing w:line="360" w:lineRule="auto"/>
              <w:ind w:firstLine="482" w:firstLineChars="200"/>
              <w:rPr>
                <w:b/>
                <w:bCs/>
                <w:sz w:val="24"/>
              </w:rPr>
            </w:pPr>
            <w:r>
              <w:rPr>
                <w:rFonts w:hint="eastAsia"/>
                <w:b/>
                <w:bCs/>
                <w:sz w:val="24"/>
              </w:rPr>
              <w:t>今年新发布的Camon50以及Note60系列的提价幅度和销售反馈如何，公司中高端化的进展如何？</w:t>
            </w:r>
          </w:p>
          <w:p>
            <w:pPr>
              <w:spacing w:line="360" w:lineRule="auto"/>
              <w:ind w:firstLine="480" w:firstLineChars="200"/>
              <w:rPr>
                <w:sz w:val="24"/>
              </w:rPr>
            </w:pPr>
            <w:r>
              <w:rPr>
                <w:rFonts w:hint="eastAsia"/>
                <w:sz w:val="24"/>
              </w:rPr>
              <w:t>回答：公司近期发售的新产品已在不同市场采取了不同程度的涨价策略。今年发布的Camon50以及Note60系列从目前已经发布的国家区域来看整体反馈还是不错的，公司将持续加大中高端领域研发资源投入，强化中高端产品价值点选择，重视中高端体验，并将AI技术深度转化为差异化产品竞争力，实现高质量可持续增长。</w:t>
            </w:r>
          </w:p>
          <w:p>
            <w:pPr>
              <w:spacing w:line="360" w:lineRule="auto"/>
              <w:ind w:firstLine="480" w:firstLineChars="200"/>
              <w:rPr>
                <w:sz w:val="24"/>
              </w:rPr>
            </w:pPr>
          </w:p>
          <w:p>
            <w:pPr>
              <w:numPr>
                <w:ilvl w:val="0"/>
                <w:numId w:val="1"/>
              </w:numPr>
              <w:spacing w:line="360" w:lineRule="auto"/>
              <w:ind w:firstLine="482" w:firstLineChars="200"/>
              <w:rPr>
                <w:b/>
                <w:bCs/>
                <w:sz w:val="24"/>
              </w:rPr>
            </w:pPr>
            <w:r>
              <w:rPr>
                <w:rFonts w:hint="eastAsia"/>
                <w:b/>
                <w:bCs/>
                <w:sz w:val="24"/>
              </w:rPr>
              <w:t>公司移动互联业务的发展情况及战略？</w:t>
            </w:r>
          </w:p>
          <w:p>
            <w:pPr>
              <w:spacing w:line="360" w:lineRule="auto"/>
              <w:ind w:firstLine="480" w:firstLineChars="200"/>
              <w:rPr>
                <w:sz w:val="24"/>
              </w:rPr>
            </w:pPr>
            <w:r>
              <w:rPr>
                <w:rFonts w:hint="eastAsia"/>
                <w:sz w:val="24"/>
              </w:rPr>
              <w:t>回答：</w:t>
            </w:r>
            <w:bookmarkStart w:id="2" w:name="OLE_LINK3"/>
            <w:r>
              <w:rPr>
                <w:rFonts w:hint="eastAsia"/>
                <w:sz w:val="24"/>
              </w:rPr>
              <w:t>公司依托手机硬件流量基础持续深耕移动互联业务布局，构建高粘性的用户价值闭环，借助AI技术，移动互联业务核心产品的迭代速度与运营效率有所提升，有效加速了“软硬协同”商业模式的落地。目前，核心自研产品矩阵的多轮驱动格局已初步成型，持续赋能新兴市场数字化生态建设，推动长期价值释放。</w:t>
            </w:r>
          </w:p>
          <w:bookmarkEnd w:id="2"/>
          <w:p>
            <w:pPr>
              <w:spacing w:line="360" w:lineRule="auto"/>
              <w:ind w:firstLine="480" w:firstLineChars="200"/>
              <w:rPr>
                <w:sz w:val="24"/>
              </w:rPr>
            </w:pPr>
            <w:r>
              <w:rPr>
                <w:sz w:val="24"/>
              </w:rPr>
              <w:t>在 OS 系统及移动互联网产品服务领域，公司通过洞察市场本地化需求，深耕建设本地化服务和内容合作，并依托于公司市场占有率，形成高流量的应用产品矩阵。公司针对新兴市场存在流量成本高、网络不稳定、带宽低、内存配置低等特点，自主研发了流量节省、弱网网络连接、内存融合、感知调度、本地化小语种语音识别、AI 环境声降噪、AI 声纹降噪、画质增强等技术。同时，公司手机均搭载了基于Android系统平台二次开发、深度定制的手机智能终端操作系统（传音OS），深度洞察新兴市场用户在社交、效率办公、影音等场景体验构建，围绕传音OS，开发了应用商店、广告分发平台、手机管家等应用程序。</w:t>
            </w:r>
          </w:p>
          <w:p>
            <w:pPr>
              <w:spacing w:line="360" w:lineRule="auto"/>
              <w:rPr>
                <w:b/>
                <w:bCs/>
                <w:sz w:val="24"/>
              </w:rPr>
            </w:pPr>
          </w:p>
          <w:p>
            <w:pPr>
              <w:numPr>
                <w:ilvl w:val="0"/>
                <w:numId w:val="1"/>
              </w:numPr>
              <w:spacing w:line="360" w:lineRule="auto"/>
              <w:ind w:firstLine="482" w:firstLineChars="200"/>
              <w:rPr>
                <w:b/>
                <w:bCs/>
                <w:sz w:val="24"/>
              </w:rPr>
            </w:pPr>
            <w:r>
              <w:rPr>
                <w:rFonts w:hint="eastAsia"/>
                <w:b/>
                <w:bCs/>
                <w:sz w:val="24"/>
              </w:rPr>
              <w:t>新兴市场消费者对于AI功能的需求和痛点在哪方面？我们未来AI方向的规划是什么？</w:t>
            </w:r>
          </w:p>
          <w:p>
            <w:pPr>
              <w:spacing w:line="360" w:lineRule="auto"/>
              <w:ind w:firstLine="480" w:firstLineChars="200"/>
              <w:rPr>
                <w:sz w:val="24"/>
              </w:rPr>
            </w:pPr>
            <w:r>
              <w:rPr>
                <w:rFonts w:hint="eastAsia"/>
                <w:sz w:val="24"/>
              </w:rPr>
              <w:t>回答：AI方面，公司将AI能力深度融入社交、出行、健康、教育等高频场景，让技术从“可用”变为“真实可感”，实现用户的体验升级。针对新兴市场的用户需求，公司自主研发了本地化小语种语音识别、AI自动接听、AI声纹降噪、AI通话摘要、AI视效增强、AI拍照解题等技术。同时，公司积极探索大模型和互联互通技术，构建了以AI使能多端融合互通、AIOS系统级应用重构、AI端侧应用以及AI的端云协同应用的架构，结合本地化市场用户需求，发布了TECNO AI，基于主动智能和场景智能，带来新一代的智慧助手Ella与创新交互体验，聚焦关键用户场景，用AI强化影像、学习、健康、办公效率与创造力等场景，开发了一系列AI辅助功能应用并持续迭代推进系统全面AI化，借助 Agent 提升用户智能设备移动体验。</w:t>
            </w:r>
          </w:p>
          <w:p>
            <w:pPr>
              <w:spacing w:line="360" w:lineRule="auto"/>
              <w:rPr>
                <w:b/>
                <w:bCs/>
                <w:sz w:val="24"/>
              </w:rPr>
            </w:pPr>
          </w:p>
          <w:p>
            <w:pPr>
              <w:numPr>
                <w:ilvl w:val="0"/>
                <w:numId w:val="1"/>
              </w:numPr>
              <w:spacing w:line="360" w:lineRule="auto"/>
              <w:ind w:firstLine="482" w:firstLineChars="200"/>
              <w:rPr>
                <w:b/>
                <w:bCs/>
                <w:sz w:val="24"/>
              </w:rPr>
            </w:pPr>
            <w:r>
              <w:rPr>
                <w:rFonts w:hint="eastAsia"/>
                <w:b/>
                <w:bCs/>
                <w:sz w:val="24"/>
              </w:rPr>
              <w:t>如何应对存储涨价对公司成本的影响？</w:t>
            </w:r>
          </w:p>
          <w:p>
            <w:pPr>
              <w:spacing w:line="360" w:lineRule="auto"/>
              <w:ind w:firstLine="480" w:firstLineChars="200"/>
              <w:rPr>
                <w:sz w:val="24"/>
              </w:rPr>
            </w:pPr>
            <w:r>
              <w:rPr>
                <w:rFonts w:hint="eastAsia"/>
                <w:sz w:val="24"/>
              </w:rPr>
              <w:t>回答：公司会根据上游成本变化、市场竞争情况等，积极采取相应措施应对。在不同市场结合公司的经营策略和市场情况，采取例如产品调价、优化产品结构等措施。</w:t>
            </w:r>
          </w:p>
          <w:p>
            <w:pPr>
              <w:spacing w:line="360" w:lineRule="auto"/>
              <w:ind w:firstLine="480" w:firstLineChars="200"/>
              <w:rPr>
                <w:sz w:val="24"/>
              </w:rPr>
            </w:pPr>
          </w:p>
          <w:p>
            <w:pPr>
              <w:numPr>
                <w:ilvl w:val="0"/>
                <w:numId w:val="1"/>
              </w:numPr>
              <w:spacing w:line="360" w:lineRule="auto"/>
              <w:ind w:firstLine="482" w:firstLineChars="200"/>
              <w:rPr>
                <w:b/>
                <w:bCs/>
                <w:sz w:val="24"/>
              </w:rPr>
            </w:pPr>
            <w:r>
              <w:rPr>
                <w:rFonts w:hint="eastAsia"/>
                <w:b/>
                <w:bCs/>
                <w:sz w:val="24"/>
              </w:rPr>
              <w:t>公司刚引入国际语音与人工智能领域泰斗级专家俞栋博士，担任首席科学顾问，俞博士的定位和主要任务是什么？</w:t>
            </w:r>
          </w:p>
          <w:p>
            <w:pPr>
              <w:spacing w:line="360" w:lineRule="auto"/>
              <w:ind w:firstLine="480" w:firstLineChars="200"/>
              <w:rPr>
                <w:sz w:val="24"/>
              </w:rPr>
            </w:pPr>
            <w:r>
              <w:rPr>
                <w:rFonts w:hint="eastAsia"/>
                <w:sz w:val="24"/>
              </w:rPr>
              <w:t>回答：近期，国际语音与人工智能领域权威专家俞栋博士加入传音，担任首席科学顾问。俞栋博士将聚焦公司核心技术赛道，指导声学技术、ASR自动语音识别、TTS语音合成、端侧AI、多模态大模型、AI数据标注等全链条研发工作，为公司研发团队提供系统性技术指导与战略方向支持。结合俞栋博士的顶尖视野与行业资源，公司将持续推动语音及多模态AI技术的创新与落地，加速AI能力与新兴市场真实场景的深度融合，打造面向全球新兴市场的差异化竞争力，让前沿科技惠及更广泛的全球用户。</w:t>
            </w:r>
          </w:p>
          <w:p>
            <w:pPr>
              <w:spacing w:line="360" w:lineRule="auto"/>
              <w:rPr>
                <w:sz w:val="24"/>
              </w:rPr>
            </w:pPr>
          </w:p>
          <w:p>
            <w:pPr>
              <w:numPr>
                <w:ilvl w:val="0"/>
                <w:numId w:val="1"/>
              </w:numPr>
              <w:spacing w:line="360" w:lineRule="auto"/>
              <w:ind w:firstLine="482" w:firstLineChars="200"/>
              <w:rPr>
                <w:b/>
                <w:bCs/>
                <w:sz w:val="24"/>
              </w:rPr>
            </w:pPr>
            <w:r>
              <w:rPr>
                <w:rFonts w:hint="eastAsia"/>
                <w:b/>
                <w:bCs/>
                <w:sz w:val="24"/>
              </w:rPr>
              <w:t>扩品类业务的品类拓展和发展趋势如何？</w:t>
            </w:r>
          </w:p>
          <w:p>
            <w:pPr>
              <w:spacing w:line="360" w:lineRule="auto"/>
              <w:ind w:firstLine="480" w:firstLineChars="200"/>
              <w:rPr>
                <w:sz w:val="24"/>
              </w:rPr>
            </w:pPr>
            <w:r>
              <w:rPr>
                <w:rFonts w:hint="eastAsia"/>
                <w:sz w:val="24"/>
              </w:rPr>
              <w:t>回答：公司积极实施多元化战略布局，在新兴市场开展了数码配件、家用电器、储能等扩品类业务。在产品端，公司紧密围绕新兴市场用户痛点，专注打造兼具创新性与高性价比的差异化智能产品，持续提升用户体验与产品口碑。在渠道端，公司重点优化独立站、电商平台以及社交媒体运营，持续深化数字化变革以打造“线下+线上”立体布局，推进重点市场的零售布局，有效提升用户触达与品牌认知。推动扩品类业务向AI智能化、本地场景化方向纵深发展，构建完善的AIoT智能生态。</w:t>
            </w:r>
          </w:p>
          <w:p>
            <w:pPr>
              <w:spacing w:line="360" w:lineRule="auto"/>
              <w:ind w:firstLine="480" w:firstLineChars="200"/>
              <w:rPr>
                <w:sz w:val="24"/>
              </w:rPr>
            </w:pPr>
          </w:p>
          <w:p>
            <w:pPr>
              <w:numPr>
                <w:ilvl w:val="0"/>
                <w:numId w:val="1"/>
              </w:numPr>
              <w:spacing w:line="360" w:lineRule="auto"/>
              <w:ind w:firstLine="482" w:firstLineChars="200"/>
              <w:rPr>
                <w:b/>
                <w:bCs/>
                <w:sz w:val="24"/>
              </w:rPr>
            </w:pPr>
            <w:r>
              <w:rPr>
                <w:rFonts w:hint="eastAsia"/>
                <w:b/>
                <w:bCs/>
                <w:sz w:val="24"/>
              </w:rPr>
              <w:t>未来新兴市场手机行业的发展趋势及展望？</w:t>
            </w:r>
            <w:bookmarkStart w:id="3" w:name="_GoBack"/>
            <w:bookmarkEnd w:id="3"/>
          </w:p>
          <w:p>
            <w:pPr>
              <w:spacing w:line="360" w:lineRule="auto"/>
              <w:ind w:firstLine="480" w:firstLineChars="200"/>
              <w:rPr>
                <w:sz w:val="24"/>
              </w:rPr>
            </w:pPr>
            <w:r>
              <w:rPr>
                <w:rFonts w:hint="eastAsia"/>
                <w:sz w:val="24"/>
              </w:rPr>
              <w:t>回答：目前新兴市场国家仍处于“功能机向智能机切换”的市场发展趋势中，整体上，新兴市场国家的智能机渗透率相对于北美、西欧和成熟亚太发达经济体和中国市场较低，功能机换智能机仍然是新兴市场驱动智能机市场增长的一个重要因素。</w:t>
            </w:r>
          </w:p>
          <w:p>
            <w:pPr>
              <w:spacing w:line="360" w:lineRule="auto"/>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sz w:val="24"/>
              </w:rPr>
            </w:pPr>
            <w:r>
              <w:rPr>
                <w:rFonts w:hint="eastAsia"/>
                <w:sz w:val="24"/>
              </w:rPr>
              <w:t>附件清单（如有）</w:t>
            </w:r>
          </w:p>
        </w:tc>
        <w:tc>
          <w:tcPr>
            <w:tcW w:w="7145" w:type="dxa"/>
            <w:vAlign w:val="center"/>
          </w:tcPr>
          <w:p>
            <w:pPr>
              <w:adjustRightInd w:val="0"/>
              <w:spacing w:line="360" w:lineRule="auto"/>
              <w:contextualSpacing/>
              <w:rPr>
                <w:sz w:val="24"/>
              </w:rPr>
            </w:pPr>
            <w:r>
              <w:rPr>
                <w:rFonts w:hint="eastAsia"/>
                <w:sz w:val="24"/>
              </w:rPr>
              <w:t>附件一《与会清单》</w:t>
            </w:r>
          </w:p>
        </w:tc>
      </w:tr>
    </w:tbl>
    <w:p>
      <w:pPr>
        <w:widowControl/>
        <w:textAlignment w:val="center"/>
        <w:rPr>
          <w:sz w:val="24"/>
        </w:rPr>
      </w:pPr>
    </w:p>
    <w:p>
      <w:pPr>
        <w:widowControl/>
        <w:textAlignment w:val="center"/>
        <w:rPr>
          <w:sz w:val="24"/>
        </w:rPr>
      </w:pPr>
    </w:p>
    <w:p>
      <w:pPr>
        <w:widowControl/>
        <w:textAlignment w:val="center"/>
        <w:rPr>
          <w:sz w:val="24"/>
        </w:rPr>
      </w:pPr>
      <w:r>
        <w:rPr>
          <w:rFonts w:hint="eastAsia"/>
          <w:sz w:val="24"/>
        </w:rPr>
        <w:t>附件一《与会清单》</w:t>
      </w:r>
    </w:p>
    <w:tbl>
      <w:tblPr>
        <w:tblStyle w:val="20"/>
        <w:tblW w:w="5000" w:type="pct"/>
        <w:tblInd w:w="0" w:type="dxa"/>
        <w:tblLayout w:type="autofit"/>
        <w:tblCellMar>
          <w:top w:w="0" w:type="dxa"/>
          <w:left w:w="108" w:type="dxa"/>
          <w:bottom w:w="0" w:type="dxa"/>
          <w:right w:w="108" w:type="dxa"/>
        </w:tblCellMar>
      </w:tblPr>
      <w:tblGrid>
        <w:gridCol w:w="4382"/>
        <w:gridCol w:w="4382"/>
      </w:tblGrid>
      <w:tr>
        <w:tblPrEx>
          <w:tblCellMar>
            <w:top w:w="0" w:type="dxa"/>
            <w:left w:w="108" w:type="dxa"/>
            <w:bottom w:w="0" w:type="dxa"/>
            <w:right w:w="108" w:type="dxa"/>
          </w:tblCellMar>
        </w:tblPrEx>
        <w:trPr>
          <w:trHeight w:val="315" w:hRule="atLeast"/>
        </w:trPr>
        <w:tc>
          <w:tcPr>
            <w:tcW w:w="2500" w:type="pct"/>
            <w:tcBorders>
              <w:top w:val="single" w:color="000000" w:sz="8" w:space="0"/>
              <w:left w:val="single" w:color="000000" w:sz="8" w:space="0"/>
              <w:bottom w:val="single" w:color="000000" w:sz="8" w:space="0"/>
              <w:right w:val="single" w:color="000000" w:sz="8" w:space="0"/>
            </w:tcBorders>
            <w:shd w:val="clear" w:color="auto" w:fill="8DB4E2"/>
            <w:vAlign w:val="center"/>
          </w:tcPr>
          <w:p>
            <w:pPr>
              <w:widowControl/>
              <w:spacing w:after="0"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公司名称</w:t>
            </w:r>
          </w:p>
        </w:tc>
        <w:tc>
          <w:tcPr>
            <w:tcW w:w="2500" w:type="pct"/>
            <w:tcBorders>
              <w:top w:val="single" w:color="000000" w:sz="8" w:space="0"/>
              <w:left w:val="nil"/>
              <w:bottom w:val="single" w:color="000000" w:sz="8" w:space="0"/>
              <w:right w:val="single" w:color="000000" w:sz="8" w:space="0"/>
            </w:tcBorders>
            <w:shd w:val="clear" w:color="auto" w:fill="8DB4E2"/>
            <w:vAlign w:val="center"/>
          </w:tcPr>
          <w:p>
            <w:pPr>
              <w:widowControl/>
              <w:spacing w:after="0" w:line="360" w:lineRule="auto"/>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公司名称</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sz w:val="21"/>
                <w:szCs w:val="21"/>
              </w:rPr>
            </w:pPr>
            <w:r>
              <w:rPr>
                <w:color w:val="000000"/>
                <w:kern w:val="0"/>
                <w:sz w:val="21"/>
                <w:szCs w:val="21"/>
                <w:lang w:bidi="ar"/>
              </w:rPr>
              <w:t>JARISLOWSKY, FRASER LIMITÉE</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上海禅龙资产管理有限公司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sz w:val="21"/>
                <w:szCs w:val="21"/>
              </w:rPr>
            </w:pPr>
            <w:r>
              <w:rPr>
                <w:color w:val="000000"/>
                <w:kern w:val="0"/>
                <w:sz w:val="21"/>
                <w:szCs w:val="21"/>
                <w:lang w:bidi="ar"/>
              </w:rPr>
              <w:t>UBS Group AG</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上海常春藤投资有限公司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sz w:val="21"/>
                <w:szCs w:val="21"/>
              </w:rPr>
            </w:pPr>
            <w:r>
              <w:rPr>
                <w:color w:val="000000"/>
                <w:kern w:val="0"/>
                <w:sz w:val="21"/>
                <w:szCs w:val="21"/>
                <w:lang w:bidi="ar"/>
              </w:rPr>
              <w:t>柏骏资本管理(香港)有限公司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上海道翼投资管理有限公司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sz w:val="21"/>
                <w:szCs w:val="21"/>
              </w:rPr>
            </w:pPr>
            <w:r>
              <w:rPr>
                <w:color w:val="000000"/>
                <w:kern w:val="0"/>
                <w:sz w:val="21"/>
                <w:szCs w:val="21"/>
                <w:lang w:bidi="ar"/>
              </w:rPr>
              <w:t>宝盈基金管理有限公司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上海德晟百川私募基金管理有限公司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sz w:val="21"/>
                <w:szCs w:val="21"/>
              </w:rPr>
            </w:pPr>
            <w:r>
              <w:rPr>
                <w:color w:val="000000"/>
                <w:kern w:val="0"/>
                <w:sz w:val="21"/>
                <w:szCs w:val="21"/>
                <w:lang w:bidi="ar"/>
              </w:rPr>
              <w:t>北京沸点私募基金管理有限公司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上海德邻众福投资管理有限公司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sz w:val="21"/>
                <w:szCs w:val="21"/>
              </w:rPr>
            </w:pPr>
            <w:r>
              <w:rPr>
                <w:color w:val="000000"/>
                <w:kern w:val="0"/>
                <w:sz w:val="21"/>
                <w:szCs w:val="21"/>
                <w:lang w:bidi="ar"/>
              </w:rPr>
              <w:t>北京高信百诺投资管理有限公司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上海东方证券资产管理有限公司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color w:val="000000"/>
                <w:sz w:val="21"/>
                <w:szCs w:val="21"/>
              </w:rPr>
            </w:pPr>
            <w:r>
              <w:rPr>
                <w:color w:val="000000"/>
                <w:kern w:val="0"/>
                <w:sz w:val="21"/>
                <w:szCs w:val="21"/>
                <w:lang w:bidi="ar"/>
              </w:rPr>
              <w:t>北京泽铭投资有限公司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上海度势投资有限公司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博道基金管理有限公司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上海方物私募基金管理有限公司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博时基金管理有限公司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上海丰仓股权投资基金管理有限公司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博裕资本投资管理有限公司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上海禾其投资咨询有限公司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才华资本管理有限公司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上海合道资产管理有限公司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财通基金管理有限公司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上海鹤禧私募基金管理有限公司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创金合信基金管理有限公司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上海理臻投资管理有限公司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淳厚基金管理有限公司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上海聆泽私募基金管理有限公司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德邦基金管理有限公司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上海明汯投资管理有限公司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东北证券股份有限公司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上海璞智投资管理有限公司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东方证券股份有限公司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上海朴信投资管理有限公司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东吴证券股份有限公司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上海钦沐资产管理合伙企业(有限合伙)</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东兴基金管理有限公司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上海锐天投资管理有限公司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东亚前海证券有限责任公司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上海睿胜私募基金管理中心(有限合伙)</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福建豪山资产管理有限公司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上海森锦投资管理有限公司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富国基金管理有限公司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上海申银万国证券研究所有限公司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富瑞金融集团香港有限公司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上海喜世润投资管理有限公司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高盛(亚洲)有限责任公司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上海涌乐私募基金管理有限公司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高毅资产</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上海匀升投资管理有限公司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光大证券股份有限公司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上海智尔投资有限公司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广东钜洲投资有限责任公司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申万菱信基金管理有限公司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广东正圆私募基金管理有限公司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深圳大道至诚投资管理合伙企业(有限合伙)</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广发证券股份有限公司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深圳宏鼎财富管理有限公司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广西中创创业投资基金管理有限公司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深圳宽源私募证券基金管理有限公司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广州市航长投资管理有限公司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深圳市大秦基金管理有限公司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广州云禧私募证券投资基金管理有限公司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深圳市德远投资有限公司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国海证券股份有限公司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深圳市多和美投资顾问有限公司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国盛证券有限责任公司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深圳市领骥资本管理有限公司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国泰海通证券股份有限公司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深圳市尚诚资产管理有限责任公司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国泰基金管理有限公司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深圳市裕晋私募证券投资基金管理有限公司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国投证券资产管理有限公司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深圳市长青藤资产管理有限公司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国信证券股份有限公司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深圳拓森投资控股有限公司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海南谦信私募基金管理有限公司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深圳中天汇富基金管理有限公司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海南鑫焱创业投资有限公司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盛博香港有限公司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瀚亚投资管理(上海)有限公司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泰康基金管理有限公司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杭州致道投资有限公司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天风证券股份有限公司上海证券自营分公司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禾永投资管理(北京)有限公司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万联证券股份有限公司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荷荷(北京)私募基金管理有限公司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文渊资本管理有限公司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鸿运私募基金管理(海南)有限公司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沃虎基金</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花旗環球金融亞洲有限公司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西安江岳私募基金管理有限公司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华安基金管理有限公司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信达澳亚基金管理有限公司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华创证券有限责任公司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信达证券股份有限公司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华福证券股份有限公司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兴业银行股份有限公司南京分行</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华能贵诚信托有限公司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兴银理财有限责任公司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华泰证券股份有限公司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兴证全球基金管理有限公司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华泰资产管理有限公司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阳光资产管理股份有限公司</w:t>
            </w:r>
          </w:p>
        </w:tc>
      </w:tr>
      <w:tr>
        <w:tblPrEx>
          <w:tblCellMar>
            <w:top w:w="0" w:type="dxa"/>
            <w:left w:w="108" w:type="dxa"/>
            <w:bottom w:w="0" w:type="dxa"/>
            <w:right w:w="108" w:type="dxa"/>
          </w:tblCellMar>
        </w:tblPrEx>
        <w:trPr>
          <w:trHeight w:val="340"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华夏基金管理有限公司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易米基金管理有限公司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华源证券股份有限公司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银华基金管理股份有限公司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汇丰晋信基金管理有限公司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赢舟资产管理有限公司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嘉实基金管理有限公司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甬兴证券有限公司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交银施罗德基金管理有限公司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粤港澳大湾区科技创新产业投资基金(有限合伙)</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金融街证券股份有限公司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长安基金管理有限公司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巨杉(上海)资产管理有限公司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长城证券股份有限公司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开域资产管理(上海)有限公司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招商基金管理有限公司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开源证券股份有限公司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招商证券股份有限公司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凯联(北京)投资基金管理有限公司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浙江禾川科技股份有限公司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曼林(山东)私募(投资)基金管理有限公司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中财招商投资集团有限公司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美国银行</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中国国际金融股份有限公司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美林(亚太)有限公司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中国人寿保险(集团)公司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民生证券股份有限公司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中国人寿资产管理有限公司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摩根大通证券(中国)有限公司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中国银河证券股份有限公司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摩根基金管理(中国)有限公司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中海基金管理有限公司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摩根士丹利基金管理(中国)有限公司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中航基金管理有限公司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纳弗斯信息科技(上海)有限公司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中航证券有限公司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珠海横琴智合远见私募基金管理中心(有限合伙)</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陕西方德磐石私募基金管理有限公司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宁波莲盛投资管理有限公司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中泰信托有限责任公司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宁银理财有限责任公司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中泰证券股份有限公司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农银汇理基金管理有限公司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中信保诚基金管理有限公司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鹏华基金管理有限公司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中信保诚资产管理有限责任公司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平安基金管理有限公司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中信建投证券股份有限公司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千禧新加坡资产管理有限公司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中信证券股份有限公司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前海开源基金管理有限公司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中银基金管理有限公司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青骊投资管理(上海)有限公司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中邮创业基金管理股份有限公司</w:t>
            </w:r>
          </w:p>
        </w:tc>
      </w:tr>
      <w:tr>
        <w:tblPrEx>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融通基金管理有限公司</w:t>
            </w:r>
          </w:p>
        </w:tc>
        <w:tc>
          <w:tcPr>
            <w:tcW w:w="2500" w:type="pct"/>
            <w:tcBorders>
              <w:top w:val="nil"/>
              <w:left w:val="nil"/>
              <w:bottom w:val="single" w:color="000000" w:sz="8" w:space="0"/>
              <w:right w:val="single" w:color="000000" w:sz="8" w:space="0"/>
            </w:tcBorders>
            <w:vAlign w:val="center"/>
          </w:tcPr>
          <w:p>
            <w:pPr>
              <w:widowControl/>
              <w:spacing w:after="0" w:line="240" w:lineRule="auto"/>
              <w:jc w:val="center"/>
              <w:textAlignment w:val="center"/>
              <w:rPr>
                <w:rFonts w:hint="eastAsia" w:ascii="宋体" w:hAnsi="宋体" w:cs="宋体"/>
                <w:color w:val="000000"/>
                <w:sz w:val="21"/>
                <w:szCs w:val="21"/>
              </w:rPr>
            </w:pPr>
          </w:p>
        </w:tc>
      </w:tr>
    </w:tbl>
    <w:p>
      <w:pPr>
        <w:widowControl/>
        <w:spacing w:after="0" w:line="240" w:lineRule="auto"/>
        <w:jc w:val="center"/>
        <w:textAlignment w:val="center"/>
        <w:rPr>
          <w:sz w:val="24"/>
          <w:highlight w:val="yellow"/>
        </w:rPr>
      </w:pPr>
    </w:p>
    <w:p>
      <w:pPr>
        <w:widowControl/>
        <w:textAlignment w:val="center"/>
        <w:rPr>
          <w:sz w:val="24"/>
        </w:rPr>
      </w:pPr>
    </w:p>
    <w:sectPr>
      <w:footerReference r:id="rId5" w:type="default"/>
      <w:pgSz w:w="11906" w:h="16838"/>
      <w:pgMar w:top="1440" w:right="1558"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13D68"/>
    <w:multiLevelType w:val="singleLevel"/>
    <w:tmpl w:val="68913D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4799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5890"/>
    <w:rsid w:val="001D6593"/>
    <w:rsid w:val="001E24A3"/>
    <w:rsid w:val="001E334A"/>
    <w:rsid w:val="001E4D90"/>
    <w:rsid w:val="001E61E7"/>
    <w:rsid w:val="001E6FA0"/>
    <w:rsid w:val="001F0E25"/>
    <w:rsid w:val="001F0FA1"/>
    <w:rsid w:val="001F116F"/>
    <w:rsid w:val="001F43B1"/>
    <w:rsid w:val="001F5E83"/>
    <w:rsid w:val="001F6E43"/>
    <w:rsid w:val="0020038C"/>
    <w:rsid w:val="00200BCA"/>
    <w:rsid w:val="0020157B"/>
    <w:rsid w:val="002028C9"/>
    <w:rsid w:val="00202D87"/>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84365"/>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454F"/>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B6FDF"/>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3F5B32"/>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14C5"/>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A5F4F"/>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74365"/>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176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046"/>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5077"/>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4F9"/>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4AA"/>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B6993"/>
    <w:rsid w:val="009C03BE"/>
    <w:rsid w:val="009C1EC5"/>
    <w:rsid w:val="009C44E5"/>
    <w:rsid w:val="009C6350"/>
    <w:rsid w:val="009C729B"/>
    <w:rsid w:val="009C79F9"/>
    <w:rsid w:val="009C7B43"/>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47324"/>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476B"/>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5D08"/>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ACF"/>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1AB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74"/>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1177"/>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0E5"/>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1A9E"/>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6C55B6"/>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A36C03"/>
    <w:rsid w:val="0AC4111E"/>
    <w:rsid w:val="0B2215B0"/>
    <w:rsid w:val="0B325FCD"/>
    <w:rsid w:val="0B594E05"/>
    <w:rsid w:val="0B692418"/>
    <w:rsid w:val="0B7864F0"/>
    <w:rsid w:val="0B991C77"/>
    <w:rsid w:val="0BF14670"/>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1D90"/>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B10478"/>
    <w:rsid w:val="11E71ACF"/>
    <w:rsid w:val="12890F5D"/>
    <w:rsid w:val="128C5918"/>
    <w:rsid w:val="128F389E"/>
    <w:rsid w:val="12980BD0"/>
    <w:rsid w:val="12BD5C5A"/>
    <w:rsid w:val="12C70E0E"/>
    <w:rsid w:val="12C7439F"/>
    <w:rsid w:val="12C746C0"/>
    <w:rsid w:val="12FF22F4"/>
    <w:rsid w:val="132F268B"/>
    <w:rsid w:val="13350F33"/>
    <w:rsid w:val="13611518"/>
    <w:rsid w:val="137A29AA"/>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63062B"/>
    <w:rsid w:val="15706FB9"/>
    <w:rsid w:val="15ED1C29"/>
    <w:rsid w:val="165D1929"/>
    <w:rsid w:val="16665CC6"/>
    <w:rsid w:val="1697741D"/>
    <w:rsid w:val="169A775C"/>
    <w:rsid w:val="16BD6C48"/>
    <w:rsid w:val="16DA4037"/>
    <w:rsid w:val="16DE2F48"/>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2D0841"/>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EAC591B"/>
    <w:rsid w:val="1F364149"/>
    <w:rsid w:val="1F4D5F3F"/>
    <w:rsid w:val="1F8C5304"/>
    <w:rsid w:val="1FAA503E"/>
    <w:rsid w:val="1FCD20DB"/>
    <w:rsid w:val="1FDA3DD1"/>
    <w:rsid w:val="201255EF"/>
    <w:rsid w:val="2030732B"/>
    <w:rsid w:val="20A27E4D"/>
    <w:rsid w:val="20BD77E2"/>
    <w:rsid w:val="20F3560A"/>
    <w:rsid w:val="2115718C"/>
    <w:rsid w:val="21922495"/>
    <w:rsid w:val="219D02BB"/>
    <w:rsid w:val="21BD56B5"/>
    <w:rsid w:val="21D1799E"/>
    <w:rsid w:val="221906D6"/>
    <w:rsid w:val="22417E19"/>
    <w:rsid w:val="226360E7"/>
    <w:rsid w:val="22E0191E"/>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2472C"/>
    <w:rsid w:val="258B2624"/>
    <w:rsid w:val="25BA394C"/>
    <w:rsid w:val="25E5637D"/>
    <w:rsid w:val="25F5752D"/>
    <w:rsid w:val="260074C0"/>
    <w:rsid w:val="26051A2A"/>
    <w:rsid w:val="26071023"/>
    <w:rsid w:val="264B1F24"/>
    <w:rsid w:val="2686348E"/>
    <w:rsid w:val="26A755DA"/>
    <w:rsid w:val="26FD771C"/>
    <w:rsid w:val="270330EF"/>
    <w:rsid w:val="27084542"/>
    <w:rsid w:val="27310BFD"/>
    <w:rsid w:val="273803E6"/>
    <w:rsid w:val="27726401"/>
    <w:rsid w:val="27CA7B63"/>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E31BB"/>
    <w:rsid w:val="29C6253D"/>
    <w:rsid w:val="2A031AD9"/>
    <w:rsid w:val="2A3842AD"/>
    <w:rsid w:val="2A5F3098"/>
    <w:rsid w:val="2A614E0F"/>
    <w:rsid w:val="2A9A7760"/>
    <w:rsid w:val="2A9B29B5"/>
    <w:rsid w:val="2AE23593"/>
    <w:rsid w:val="2B3A1ABF"/>
    <w:rsid w:val="2B6D3D2B"/>
    <w:rsid w:val="2BA86E9E"/>
    <w:rsid w:val="2BD30A71"/>
    <w:rsid w:val="2BE412F3"/>
    <w:rsid w:val="2BEB6E87"/>
    <w:rsid w:val="2BF47C27"/>
    <w:rsid w:val="2C5974FB"/>
    <w:rsid w:val="2CD3611C"/>
    <w:rsid w:val="2CD42358"/>
    <w:rsid w:val="2D1241C0"/>
    <w:rsid w:val="2D3F4D02"/>
    <w:rsid w:val="2D432F4D"/>
    <w:rsid w:val="2D68269C"/>
    <w:rsid w:val="2D78548B"/>
    <w:rsid w:val="2DAE7AE2"/>
    <w:rsid w:val="2DB15BA1"/>
    <w:rsid w:val="2DB779D6"/>
    <w:rsid w:val="2E36091B"/>
    <w:rsid w:val="2E7262E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55314"/>
    <w:rsid w:val="30AF79A1"/>
    <w:rsid w:val="30B402E2"/>
    <w:rsid w:val="30F108BF"/>
    <w:rsid w:val="31376931"/>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454F8F"/>
    <w:rsid w:val="34863CE3"/>
    <w:rsid w:val="34AF0402"/>
    <w:rsid w:val="34B72FCB"/>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DC26E3"/>
    <w:rsid w:val="37DF0B51"/>
    <w:rsid w:val="38040B91"/>
    <w:rsid w:val="380F3DD2"/>
    <w:rsid w:val="381C34D8"/>
    <w:rsid w:val="382D4722"/>
    <w:rsid w:val="38531C34"/>
    <w:rsid w:val="386D18AB"/>
    <w:rsid w:val="38894CCC"/>
    <w:rsid w:val="38C23901"/>
    <w:rsid w:val="38CC5B1C"/>
    <w:rsid w:val="38D85479"/>
    <w:rsid w:val="390A7799"/>
    <w:rsid w:val="393743AF"/>
    <w:rsid w:val="395F573C"/>
    <w:rsid w:val="39676337"/>
    <w:rsid w:val="396B3F13"/>
    <w:rsid w:val="397B3AED"/>
    <w:rsid w:val="39AA42AD"/>
    <w:rsid w:val="39B238FC"/>
    <w:rsid w:val="39CD1A56"/>
    <w:rsid w:val="39F55E02"/>
    <w:rsid w:val="39F8405E"/>
    <w:rsid w:val="3A010FEC"/>
    <w:rsid w:val="3A0828E4"/>
    <w:rsid w:val="3A0D68DF"/>
    <w:rsid w:val="3A2D6675"/>
    <w:rsid w:val="3A6D5BAA"/>
    <w:rsid w:val="3AA750BE"/>
    <w:rsid w:val="3AF46DB2"/>
    <w:rsid w:val="3B06616D"/>
    <w:rsid w:val="3B290415"/>
    <w:rsid w:val="3B3145D0"/>
    <w:rsid w:val="3B8360F4"/>
    <w:rsid w:val="3B9818AC"/>
    <w:rsid w:val="3BED5CE2"/>
    <w:rsid w:val="3C335E91"/>
    <w:rsid w:val="3C3B275F"/>
    <w:rsid w:val="3C417B96"/>
    <w:rsid w:val="3C5431D0"/>
    <w:rsid w:val="3C783737"/>
    <w:rsid w:val="3CC354EE"/>
    <w:rsid w:val="3CCA6229"/>
    <w:rsid w:val="3CF257A4"/>
    <w:rsid w:val="3D031463"/>
    <w:rsid w:val="3D6C0634"/>
    <w:rsid w:val="3D8E7C24"/>
    <w:rsid w:val="3DBA4787"/>
    <w:rsid w:val="3DDE0AF0"/>
    <w:rsid w:val="3DEE649D"/>
    <w:rsid w:val="3E0C0A17"/>
    <w:rsid w:val="3E490D29"/>
    <w:rsid w:val="3E576765"/>
    <w:rsid w:val="3E8C4A69"/>
    <w:rsid w:val="3EB3059D"/>
    <w:rsid w:val="3F3D0292"/>
    <w:rsid w:val="3F3E18B7"/>
    <w:rsid w:val="3F420C04"/>
    <w:rsid w:val="3F56143C"/>
    <w:rsid w:val="3F687FFF"/>
    <w:rsid w:val="3F7336E2"/>
    <w:rsid w:val="3F976EF0"/>
    <w:rsid w:val="3F9E34AA"/>
    <w:rsid w:val="3FA947BC"/>
    <w:rsid w:val="3FD656E8"/>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AB27CD"/>
    <w:rsid w:val="43D16E80"/>
    <w:rsid w:val="43D40585"/>
    <w:rsid w:val="43F6709E"/>
    <w:rsid w:val="440D2D8C"/>
    <w:rsid w:val="4417183E"/>
    <w:rsid w:val="443114F0"/>
    <w:rsid w:val="443A435D"/>
    <w:rsid w:val="445125E7"/>
    <w:rsid w:val="446C40EF"/>
    <w:rsid w:val="446F2CB4"/>
    <w:rsid w:val="448E6782"/>
    <w:rsid w:val="44CC34C7"/>
    <w:rsid w:val="44E01DC6"/>
    <w:rsid w:val="44F10AF2"/>
    <w:rsid w:val="457771F8"/>
    <w:rsid w:val="45A1300E"/>
    <w:rsid w:val="45A90ECC"/>
    <w:rsid w:val="45B21AC3"/>
    <w:rsid w:val="45B4278B"/>
    <w:rsid w:val="45C223AF"/>
    <w:rsid w:val="45C665C3"/>
    <w:rsid w:val="45CD71B9"/>
    <w:rsid w:val="45DE201A"/>
    <w:rsid w:val="45FC3CEC"/>
    <w:rsid w:val="45FE485A"/>
    <w:rsid w:val="460A065E"/>
    <w:rsid w:val="461D5BD9"/>
    <w:rsid w:val="468912F2"/>
    <w:rsid w:val="46961BCD"/>
    <w:rsid w:val="46A83703"/>
    <w:rsid w:val="46CB14C3"/>
    <w:rsid w:val="46E23E04"/>
    <w:rsid w:val="47265CD5"/>
    <w:rsid w:val="47293BB1"/>
    <w:rsid w:val="47297947"/>
    <w:rsid w:val="472D4229"/>
    <w:rsid w:val="47457293"/>
    <w:rsid w:val="474B4DBA"/>
    <w:rsid w:val="47C74495"/>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C467D1"/>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8F07F9B"/>
    <w:rsid w:val="59052760"/>
    <w:rsid w:val="59716DB2"/>
    <w:rsid w:val="59754FF7"/>
    <w:rsid w:val="597A742C"/>
    <w:rsid w:val="59944086"/>
    <w:rsid w:val="59B15D0E"/>
    <w:rsid w:val="5A03189B"/>
    <w:rsid w:val="5A1475C1"/>
    <w:rsid w:val="5A1C27A3"/>
    <w:rsid w:val="5A3A1416"/>
    <w:rsid w:val="5A534065"/>
    <w:rsid w:val="5A59670A"/>
    <w:rsid w:val="5A627C46"/>
    <w:rsid w:val="5A911508"/>
    <w:rsid w:val="5AEB77AE"/>
    <w:rsid w:val="5AF710D9"/>
    <w:rsid w:val="5B0316B5"/>
    <w:rsid w:val="5B3541FE"/>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266771"/>
    <w:rsid w:val="5E3C7E71"/>
    <w:rsid w:val="5E5D39D1"/>
    <w:rsid w:val="5E5E02D2"/>
    <w:rsid w:val="5E746B56"/>
    <w:rsid w:val="5E833E0A"/>
    <w:rsid w:val="5ED72454"/>
    <w:rsid w:val="5EF677AD"/>
    <w:rsid w:val="5F216E64"/>
    <w:rsid w:val="5F6E0882"/>
    <w:rsid w:val="5F707E7F"/>
    <w:rsid w:val="5F92147C"/>
    <w:rsid w:val="5FAE0D13"/>
    <w:rsid w:val="5FC5509E"/>
    <w:rsid w:val="5FFF2F9A"/>
    <w:rsid w:val="601D69CC"/>
    <w:rsid w:val="602445C5"/>
    <w:rsid w:val="602E5240"/>
    <w:rsid w:val="603A0142"/>
    <w:rsid w:val="605C331D"/>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B300BC"/>
    <w:rsid w:val="63DB50B0"/>
    <w:rsid w:val="63E9155E"/>
    <w:rsid w:val="643D25A6"/>
    <w:rsid w:val="6448678C"/>
    <w:rsid w:val="6464313E"/>
    <w:rsid w:val="64A33B31"/>
    <w:rsid w:val="64B01D9F"/>
    <w:rsid w:val="64CE0BA7"/>
    <w:rsid w:val="64D975F8"/>
    <w:rsid w:val="64FB1227"/>
    <w:rsid w:val="655F0DB7"/>
    <w:rsid w:val="65654D13"/>
    <w:rsid w:val="65AD6381"/>
    <w:rsid w:val="65B56FAF"/>
    <w:rsid w:val="663B7BB7"/>
    <w:rsid w:val="663F16E6"/>
    <w:rsid w:val="664C5E68"/>
    <w:rsid w:val="668C22BF"/>
    <w:rsid w:val="66906858"/>
    <w:rsid w:val="66993849"/>
    <w:rsid w:val="66D61BC3"/>
    <w:rsid w:val="66DF13E0"/>
    <w:rsid w:val="67675615"/>
    <w:rsid w:val="67B313E7"/>
    <w:rsid w:val="67C573EA"/>
    <w:rsid w:val="67D06A7F"/>
    <w:rsid w:val="67D1683A"/>
    <w:rsid w:val="67ED4771"/>
    <w:rsid w:val="68423CA0"/>
    <w:rsid w:val="685946F9"/>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8A75DF"/>
    <w:rsid w:val="69C539A2"/>
    <w:rsid w:val="69D80AE6"/>
    <w:rsid w:val="69F11982"/>
    <w:rsid w:val="6A0D03CD"/>
    <w:rsid w:val="6A3969AF"/>
    <w:rsid w:val="6A62213E"/>
    <w:rsid w:val="6A9A0400"/>
    <w:rsid w:val="6ABD5F31"/>
    <w:rsid w:val="6ADE2CAB"/>
    <w:rsid w:val="6AFC5AC2"/>
    <w:rsid w:val="6B0D3F2C"/>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63758D"/>
    <w:rsid w:val="707F0BB6"/>
    <w:rsid w:val="70A70D19"/>
    <w:rsid w:val="70D255C7"/>
    <w:rsid w:val="712811C0"/>
    <w:rsid w:val="7186107A"/>
    <w:rsid w:val="71B41E9B"/>
    <w:rsid w:val="71D8596D"/>
    <w:rsid w:val="71FE7486"/>
    <w:rsid w:val="722F51EB"/>
    <w:rsid w:val="72391A22"/>
    <w:rsid w:val="723E433F"/>
    <w:rsid w:val="724111B0"/>
    <w:rsid w:val="725F4533"/>
    <w:rsid w:val="726D74B0"/>
    <w:rsid w:val="728E1D4B"/>
    <w:rsid w:val="72BD12CC"/>
    <w:rsid w:val="72F0532D"/>
    <w:rsid w:val="732F672A"/>
    <w:rsid w:val="734003FE"/>
    <w:rsid w:val="734211C7"/>
    <w:rsid w:val="736B35F1"/>
    <w:rsid w:val="73A92F87"/>
    <w:rsid w:val="73AD4078"/>
    <w:rsid w:val="73C617D8"/>
    <w:rsid w:val="74265712"/>
    <w:rsid w:val="74567621"/>
    <w:rsid w:val="74586BC4"/>
    <w:rsid w:val="74923767"/>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B97E60"/>
    <w:rsid w:val="7BCF07E3"/>
    <w:rsid w:val="7C60541F"/>
    <w:rsid w:val="7C6A37B2"/>
    <w:rsid w:val="7CCC1C8E"/>
    <w:rsid w:val="7CF83087"/>
    <w:rsid w:val="7CFC5A02"/>
    <w:rsid w:val="7D043953"/>
    <w:rsid w:val="7D0D1304"/>
    <w:rsid w:val="7D5869A8"/>
    <w:rsid w:val="7D961A3E"/>
    <w:rsid w:val="7DE95AD1"/>
    <w:rsid w:val="7E1C7EBC"/>
    <w:rsid w:val="7EA52B3B"/>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7"/>
    <w:qFormat/>
    <w:uiPriority w:val="0"/>
    <w:pPr>
      <w:keepNext/>
      <w:keepLines/>
      <w:spacing w:before="260" w:after="260" w:line="416" w:lineRule="auto"/>
      <w:outlineLvl w:val="2"/>
    </w:pPr>
    <w:rPr>
      <w:b/>
      <w:bCs/>
      <w:kern w:val="0"/>
      <w:sz w:val="32"/>
      <w:szCs w:val="3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1"/>
    <w:unhideWhenUsed/>
    <w:qFormat/>
    <w:uiPriority w:val="99"/>
    <w:rPr>
      <w:rFonts w:ascii="宋体"/>
      <w:sz w:val="18"/>
      <w:szCs w:val="18"/>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46"/>
    <w:unhideWhenUsed/>
    <w:qFormat/>
    <w:uiPriority w:val="0"/>
    <w:pPr>
      <w:spacing w:after="120"/>
      <w:ind w:left="420" w:leftChars="200"/>
    </w:pPr>
    <w:rPr>
      <w:kern w:val="0"/>
      <w:sz w:val="20"/>
    </w:rPr>
  </w:style>
  <w:style w:type="paragraph" w:styleId="9">
    <w:name w:val="toc 3"/>
    <w:basedOn w:val="1"/>
    <w:next w:val="1"/>
    <w:unhideWhenUsed/>
    <w:qFormat/>
    <w:uiPriority w:val="39"/>
    <w:pPr>
      <w:ind w:left="840" w:leftChars="400"/>
    </w:pPr>
  </w:style>
  <w:style w:type="paragraph" w:styleId="10">
    <w:name w:val="Date"/>
    <w:basedOn w:val="1"/>
    <w:next w:val="1"/>
    <w:link w:val="36"/>
    <w:unhideWhenUsed/>
    <w:qFormat/>
    <w:uiPriority w:val="0"/>
    <w:pPr>
      <w:ind w:left="100" w:leftChars="2500"/>
    </w:pPr>
    <w:rPr>
      <w:kern w:val="0"/>
      <w:sz w:val="20"/>
    </w:rPr>
  </w:style>
  <w:style w:type="paragraph" w:styleId="11">
    <w:name w:val="Body Text Indent 2"/>
    <w:basedOn w:val="1"/>
    <w:link w:val="45"/>
    <w:qFormat/>
    <w:uiPriority w:val="0"/>
    <w:pPr>
      <w:spacing w:line="600" w:lineRule="exact"/>
      <w:ind w:firstLine="600" w:firstLineChars="200"/>
    </w:pPr>
    <w:rPr>
      <w:rFonts w:ascii="仿宋_GB2312" w:hAnsi="宋体" w:eastAsia="仿宋_GB2312"/>
      <w:kern w:val="0"/>
      <w:sz w:val="30"/>
      <w:szCs w:val="30"/>
    </w:rPr>
  </w:style>
  <w:style w:type="paragraph" w:styleId="12">
    <w:name w:val="Balloon Text"/>
    <w:basedOn w:val="1"/>
    <w:link w:val="43"/>
    <w:semiHidden/>
    <w:qFormat/>
    <w:uiPriority w:val="0"/>
    <w:rPr>
      <w:kern w:val="0"/>
      <w:sz w:val="18"/>
      <w:szCs w:val="18"/>
    </w:rPr>
  </w:style>
  <w:style w:type="paragraph" w:styleId="13">
    <w:name w:val="footer"/>
    <w:basedOn w:val="1"/>
    <w:link w:val="39"/>
    <w:qFormat/>
    <w:uiPriority w:val="99"/>
    <w:pPr>
      <w:tabs>
        <w:tab w:val="center" w:pos="4153"/>
        <w:tab w:val="right" w:pos="8306"/>
      </w:tabs>
      <w:snapToGrid w:val="0"/>
      <w:jc w:val="left"/>
    </w:pPr>
    <w:rPr>
      <w:kern w:val="0"/>
      <w:sz w:val="18"/>
      <w:szCs w:val="18"/>
    </w:rPr>
  </w:style>
  <w:style w:type="paragraph" w:styleId="14">
    <w:name w:val="header"/>
    <w:basedOn w:val="1"/>
    <w:link w:val="4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pPr>
      <w:tabs>
        <w:tab w:val="right" w:leader="dot" w:pos="8302"/>
      </w:tabs>
      <w:spacing w:line="360" w:lineRule="auto"/>
    </w:pPr>
  </w:style>
  <w:style w:type="paragraph" w:styleId="16">
    <w:name w:val="Body Text Indent 3"/>
    <w:basedOn w:val="1"/>
    <w:link w:val="35"/>
    <w:unhideWhenUsed/>
    <w:qFormat/>
    <w:uiPriority w:val="0"/>
    <w:pPr>
      <w:spacing w:after="120"/>
      <w:ind w:left="420" w:leftChars="200"/>
    </w:pPr>
    <w:rPr>
      <w:kern w:val="0"/>
      <w:sz w:val="16"/>
      <w:szCs w:val="16"/>
    </w:rPr>
  </w:style>
  <w:style w:type="paragraph" w:styleId="17">
    <w:name w:val="HTML Preformatted"/>
    <w:basedOn w:val="1"/>
    <w:link w:val="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6"/>
    <w:next w:val="6"/>
    <w:semiHidden/>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Hyperlink"/>
    <w:qFormat/>
    <w:uiPriority w:val="99"/>
    <w:rPr>
      <w:color w:val="0000FF"/>
      <w:u w:val="single"/>
    </w:rPr>
  </w:style>
  <w:style w:type="character" w:styleId="27">
    <w:name w:val="annotation reference"/>
    <w:semiHidden/>
    <w:qFormat/>
    <w:uiPriority w:val="0"/>
    <w:rPr>
      <w:sz w:val="21"/>
      <w:szCs w:val="21"/>
    </w:rPr>
  </w:style>
  <w:style w:type="paragraph" w:customStyle="1" w:styleId="28">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9">
    <w:name w:val="彩色底纹 - 着色 11"/>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彩色列表 - 着色 11"/>
    <w:basedOn w:val="1"/>
    <w:qFormat/>
    <w:uiPriority w:val="34"/>
    <w:pPr>
      <w:ind w:firstLine="420" w:firstLineChars="200"/>
    </w:pPr>
  </w:style>
  <w:style w:type="paragraph" w:customStyle="1" w:styleId="31">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第四层 （一） Char Char"/>
    <w:qFormat/>
    <w:uiPriority w:val="0"/>
    <w:pPr>
      <w:spacing w:before="120" w:after="160" w:line="360" w:lineRule="auto"/>
    </w:pPr>
    <w:rPr>
      <w:rFonts w:ascii="Times New Roman" w:hAnsi="Times New Roman" w:eastAsia="宋体" w:cs="Times New Roman"/>
      <w:b/>
      <w:bCs/>
      <w:kern w:val="2"/>
      <w:sz w:val="24"/>
      <w:szCs w:val="24"/>
      <w:lang w:val="en-US" w:eastAsia="zh-CN" w:bidi="ar-SA"/>
    </w:rPr>
  </w:style>
  <w:style w:type="paragraph" w:customStyle="1" w:styleId="34">
    <w:name w:val="005正文"/>
    <w:basedOn w:val="1"/>
    <w:link w:val="48"/>
    <w:qFormat/>
    <w:uiPriority w:val="0"/>
    <w:pPr>
      <w:spacing w:beforeLines="50" w:line="360" w:lineRule="auto"/>
      <w:ind w:firstLine="200" w:firstLineChars="200"/>
    </w:pPr>
    <w:rPr>
      <w:sz w:val="24"/>
      <w:szCs w:val="22"/>
    </w:rPr>
  </w:style>
  <w:style w:type="character" w:customStyle="1" w:styleId="35">
    <w:name w:val="正文文本缩进 3 字符"/>
    <w:link w:val="16"/>
    <w:qFormat/>
    <w:uiPriority w:val="0"/>
    <w:rPr>
      <w:rFonts w:ascii="Times New Roman" w:hAnsi="Times New Roman" w:eastAsia="宋体" w:cs="Times New Roman"/>
      <w:sz w:val="16"/>
      <w:szCs w:val="16"/>
    </w:rPr>
  </w:style>
  <w:style w:type="character" w:customStyle="1" w:styleId="36">
    <w:name w:val="日期 字符"/>
    <w:link w:val="10"/>
    <w:qFormat/>
    <w:uiPriority w:val="0"/>
    <w:rPr>
      <w:rFonts w:ascii="Times New Roman" w:hAnsi="Times New Roman" w:eastAsia="宋体" w:cs="Times New Roman"/>
      <w:szCs w:val="24"/>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font01"/>
    <w:qFormat/>
    <w:uiPriority w:val="0"/>
    <w:rPr>
      <w:rFonts w:hint="eastAsia" w:ascii="宋体" w:hAnsi="宋体" w:eastAsia="宋体" w:cs="宋体"/>
      <w:color w:val="000000"/>
      <w:sz w:val="22"/>
      <w:szCs w:val="22"/>
      <w:u w:val="none"/>
    </w:rPr>
  </w:style>
  <w:style w:type="character" w:customStyle="1" w:styleId="39">
    <w:name w:val="页脚 字符"/>
    <w:link w:val="13"/>
    <w:qFormat/>
    <w:uiPriority w:val="99"/>
    <w:rPr>
      <w:rFonts w:ascii="Times New Roman" w:hAnsi="Times New Roman" w:eastAsia="宋体" w:cs="Times New Roman"/>
      <w:sz w:val="18"/>
      <w:szCs w:val="18"/>
    </w:rPr>
  </w:style>
  <w:style w:type="character" w:customStyle="1" w:styleId="40">
    <w:name w:val="页眉 字符"/>
    <w:link w:val="14"/>
    <w:qFormat/>
    <w:uiPriority w:val="99"/>
    <w:rPr>
      <w:rFonts w:ascii="Times New Roman" w:hAnsi="Times New Roman" w:eastAsia="宋体" w:cs="Times New Roman"/>
      <w:sz w:val="18"/>
      <w:szCs w:val="18"/>
    </w:rPr>
  </w:style>
  <w:style w:type="character" w:customStyle="1" w:styleId="41">
    <w:name w:val="文档结构图 字符"/>
    <w:link w:val="5"/>
    <w:semiHidden/>
    <w:qFormat/>
    <w:uiPriority w:val="99"/>
    <w:rPr>
      <w:rFonts w:ascii="宋体" w:hAnsi="Times New Roman"/>
      <w:kern w:val="2"/>
      <w:sz w:val="18"/>
      <w:szCs w:val="18"/>
    </w:rPr>
  </w:style>
  <w:style w:type="character" w:customStyle="1" w:styleId="42">
    <w:name w:val="HTML 预设格式 字符"/>
    <w:link w:val="17"/>
    <w:qFormat/>
    <w:uiPriority w:val="0"/>
    <w:rPr>
      <w:rFonts w:ascii="宋体" w:hAnsi="宋体" w:eastAsia="宋体" w:cs="宋体"/>
      <w:kern w:val="0"/>
      <w:sz w:val="24"/>
      <w:szCs w:val="24"/>
    </w:rPr>
  </w:style>
  <w:style w:type="character" w:customStyle="1" w:styleId="43">
    <w:name w:val="批注框文本 字符"/>
    <w:link w:val="12"/>
    <w:semiHidden/>
    <w:qFormat/>
    <w:uiPriority w:val="0"/>
    <w:rPr>
      <w:rFonts w:ascii="Times New Roman" w:hAnsi="Times New Roman" w:eastAsia="宋体" w:cs="Times New Roman"/>
      <w:sz w:val="18"/>
      <w:szCs w:val="18"/>
    </w:rPr>
  </w:style>
  <w:style w:type="character" w:customStyle="1" w:styleId="44">
    <w:name w:val="apple-style-span"/>
    <w:basedOn w:val="22"/>
    <w:qFormat/>
    <w:uiPriority w:val="0"/>
  </w:style>
  <w:style w:type="character" w:customStyle="1" w:styleId="45">
    <w:name w:val="正文文本缩进 2 字符"/>
    <w:link w:val="11"/>
    <w:qFormat/>
    <w:uiPriority w:val="0"/>
    <w:rPr>
      <w:rFonts w:ascii="仿宋_GB2312" w:hAnsi="宋体" w:eastAsia="仿宋_GB2312" w:cs="Times New Roman"/>
      <w:sz w:val="30"/>
      <w:szCs w:val="30"/>
    </w:rPr>
  </w:style>
  <w:style w:type="character" w:customStyle="1" w:styleId="46">
    <w:name w:val="正文文本缩进 字符"/>
    <w:link w:val="8"/>
    <w:qFormat/>
    <w:uiPriority w:val="0"/>
    <w:rPr>
      <w:rFonts w:ascii="Times New Roman" w:hAnsi="Times New Roman" w:eastAsia="宋体" w:cs="Times New Roman"/>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005正文 Char"/>
    <w:link w:val="34"/>
    <w:qFormat/>
    <w:uiPriority w:val="0"/>
    <w:rPr>
      <w:rFonts w:ascii="Times New Roman" w:hAnsi="Times New Roman"/>
      <w:kern w:val="2"/>
      <w:sz w:val="24"/>
      <w:szCs w:val="22"/>
    </w:rPr>
  </w:style>
  <w:style w:type="character" w:customStyle="1" w:styleId="49">
    <w:name w:val="font21"/>
    <w:qFormat/>
    <w:uiPriority w:val="0"/>
    <w:rPr>
      <w:rFonts w:hint="default" w:ascii="Times New Roman" w:hAnsi="Times New Roman" w:cs="Times New Roman"/>
      <w:color w:val="000000"/>
      <w:sz w:val="22"/>
      <w:szCs w:val="22"/>
      <w:u w:val="none"/>
    </w:rPr>
  </w:style>
  <w:style w:type="paragraph" w:customStyle="1" w:styleId="50">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1">
    <w:name w:val="Revision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2">
    <w:name w:val="Revision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3">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4">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5">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6">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7">
    <w:name w:val="修订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_Style 6"/>
    <w:basedOn w:val="1"/>
    <w:qFormat/>
    <w:uiPriority w:val="34"/>
    <w:pPr>
      <w:ind w:firstLine="420" w:firstLineChars="200"/>
    </w:pPr>
    <w:rPr>
      <w:rFonts w:ascii="Calibri" w:hAnsi="Calibri"/>
      <w:szCs w:val="22"/>
    </w:rPr>
  </w:style>
  <w:style w:type="paragraph" w:customStyle="1" w:styleId="59">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6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7FFB-AF57-446D-8B2B-DDC54C4C8AB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2338</Words>
  <Characters>2409</Characters>
  <Lines>172</Lines>
  <Paragraphs>226</Paragraphs>
  <TotalTime>10</TotalTime>
  <ScaleCrop>false</ScaleCrop>
  <LinksUpToDate>false</LinksUpToDate>
  <CharactersWithSpaces>4521</CharactersWithSpaces>
  <Application>WPS Office_11.8.2.12307_F1E327BC-269C-435d-A152-05C5408002CA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2026-03-30T06:39:00Z</dcterms:created>
  <dc:creator>user</dc:creator>
  <cp:lastModifiedBy>Tianci</cp:lastModifiedBy>
  <cp:lastPrinted>2012-11-19T01:56:00Z</cp:lastPrinted>
  <dcterms:modified xsi:type="dcterms:W3CDTF">2026-03-30T06:55:46Z</dcterms:modified>
  <dc:title>上海证券交易所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1AB40A06516740CB93F0D56B81161819</vt:lpwstr>
  </property>
</Properties>
</file>