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0179" w14:textId="77777777" w:rsidR="005A0998" w:rsidRPr="004F2574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4F2574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4F2574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无锡市德科立光电子技术股份有限公司</w:t>
      </w:r>
    </w:p>
    <w:p w14:paraId="596CD564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66EA7366" w:rsidR="008A073A" w:rsidRPr="004F2574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 w:rsidRPr="004F2574">
        <w:rPr>
          <w:rFonts w:ascii="Times New Roman" w:eastAsia="宋体" w:hAnsi="Times New Roman" w:cs="Times New Roman"/>
          <w:sz w:val="24"/>
          <w:szCs w:val="24"/>
        </w:rPr>
        <w:t>20</w:t>
      </w:r>
      <w:r w:rsidR="005B6355">
        <w:rPr>
          <w:rFonts w:ascii="Times New Roman" w:eastAsia="宋体" w:hAnsi="Times New Roman" w:cs="Times New Roman" w:hint="eastAsia"/>
          <w:sz w:val="24"/>
          <w:szCs w:val="24"/>
        </w:rPr>
        <w:t>26-001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041"/>
      </w:tblGrid>
      <w:tr w:rsidR="008A073A" w:rsidRPr="004F2574" w14:paraId="6DEAB0F0" w14:textId="77777777" w:rsidTr="008C16AA">
        <w:trPr>
          <w:trHeight w:val="1906"/>
        </w:trPr>
        <w:tc>
          <w:tcPr>
            <w:tcW w:w="1255" w:type="dxa"/>
            <w:vAlign w:val="center"/>
          </w:tcPr>
          <w:p w14:paraId="12D8C514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041" w:type="dxa"/>
            <w:vAlign w:val="center"/>
          </w:tcPr>
          <w:p w14:paraId="210D4551" w14:textId="7A3D977B" w:rsidR="008A073A" w:rsidRPr="004F2574" w:rsidRDefault="00413A5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735B1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05D90B81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B6355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E628E60" w:rsidR="008A073A" w:rsidRPr="004F2574" w:rsidRDefault="009A151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8A073A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6FDD63FB" w:rsidR="008A073A" w:rsidRPr="004F2574" w:rsidRDefault="005B6355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EA5F2D" w:rsidRPr="00EA5F2D">
              <w:rPr>
                <w:rFonts w:ascii="宋体" w:eastAsia="宋体" w:hAnsi="宋体" w:cs="Times New Roman" w:hint="eastAsia"/>
                <w:sz w:val="24"/>
                <w:szCs w:val="24"/>
              </w:rPr>
              <w:t>请文字说明其他活动内容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C16AA" w:rsidRPr="00F411F9" w14:paraId="53C91C87" w14:textId="77777777" w:rsidTr="008C16AA">
        <w:tc>
          <w:tcPr>
            <w:tcW w:w="1255" w:type="dxa"/>
            <w:vAlign w:val="center"/>
          </w:tcPr>
          <w:p w14:paraId="5F92C90B" w14:textId="11BD15A4" w:rsidR="008C16AA" w:rsidRPr="004F2574" w:rsidRDefault="008C16AA" w:rsidP="008C16A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041" w:type="dxa"/>
            <w:vAlign w:val="center"/>
          </w:tcPr>
          <w:p w14:paraId="47D50FBA" w14:textId="618B05D5" w:rsidR="009B4D2C" w:rsidRPr="004F2574" w:rsidRDefault="00F411F9" w:rsidP="008C16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易方达基金管理有限公司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嘉实基金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博时基金管理有限公司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招商基金管理有限公司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汇添富基金管理股份有限公司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鹏华基金管理有限公司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景顺长城基金管理有限公司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交银施罗德基金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华安基金管理有限公司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兴业基金管理有限公司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平安基金管理有限公司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睿远基金管理有限公司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泉果基金管理有限公司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申万菱信基金管理有限公司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上银基金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太平基金管理有限公司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国寿安保基金管理有限公司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中信保诚基金管理有限公司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诺安基金管理有限公司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东吴基金管理有限公司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汇丰晋信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长江证券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资产管理有限公司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兴证证券资产管理有限公司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光大证券股份有限公司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国联证券股份有限公司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国海富兰克林基金管理有限公司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泰信基金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蜂巢基金管理有限公司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惠升基金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红土创新基金管理有限公司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诺德基金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先锋基金管理有限公司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尚正基金管理有限公司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兴华基金管理有限公司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富安达基金</w:t>
            </w:r>
            <w:r w:rsid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东兴证券研究所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新华基金管理股份有限公司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长盛基金管理有限公司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长信基金管理有限责任公司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长城财富保险资产管理股份有限公司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上海国泰君安证券资产管理有限公司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太平资产管理有限公司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创金合信基金管理有限公司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华泰资产管理有限公司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上海保银投资管理有限公司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长城财富保险资产管理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国投瑞银基金管理有限公司</w:t>
            </w:r>
            <w:r w:rsidR="001212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2123E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北京神农投资管理股份有限公司</w:t>
            </w:r>
            <w:r w:rsidR="001212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2123E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上海常春藤投资控股有限公司</w:t>
            </w:r>
            <w:r w:rsidR="001212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2123E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青骊投资管理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上海银叶投资有限公司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广东正圆私募基金管理有限公司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上海复胜资产管理合伙企业（有限合伙）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上海磐耀资产管理有限公司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上海玖鹏资产管理中心（有限合伙）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誉辉资本管理（北京）有限责任公司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北京市星石投资管理有限公司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上海仙人掌私募基金管理合伙企业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300E57" w:rsidRP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有限合伙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上海利位私募基金管理有限公司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生命人寿保险股份有限公司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中国人民健康保险股份有限公司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国华兴益保险资产管理有限公司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宏鼎财富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上海竹润投资有限公司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上海紫阁投资管理有限公司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上海乘富投资管理有限公司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上海途灵资产管理有限公司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深圳前海华杉投资管理有限公司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深圳鑫然投资管理有限公司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广东瑞天投资管理有限公司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上海五中私募基金管理有限公司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海南果实私募基金管理有限公司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上海犁得尔私募基金管理有限公司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赋格投资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上海贺腾资产管理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深圳市恒泽私募证券基金管理有限公司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北京志开投资管理有限公司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北京中军投资管理有限公司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深圳市前海旭鑫资产管理有限公司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9B4D2C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禧悦投资</w:t>
            </w:r>
            <w:r w:rsid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D5095" w:rsidRP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泾溪投资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上海君得安私募基金管理有限公司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华夏未来资本管理有限公司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北京福睿德投资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FD509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国泰海通证券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开源证券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9B4D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华龙证券股份有限公司</w:t>
            </w:r>
            <w:r w:rsidR="00300E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00E57" w:rsidRPr="00F411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北京暖逸欣私募基金管理有限公司</w:t>
            </w:r>
          </w:p>
        </w:tc>
      </w:tr>
      <w:tr w:rsidR="008A073A" w:rsidRPr="004F2574" w14:paraId="2D96B319" w14:textId="77777777" w:rsidTr="008C16AA">
        <w:tc>
          <w:tcPr>
            <w:tcW w:w="1255" w:type="dxa"/>
            <w:vAlign w:val="center"/>
          </w:tcPr>
          <w:p w14:paraId="65583C3C" w14:textId="72308BCB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041" w:type="dxa"/>
            <w:vAlign w:val="center"/>
          </w:tcPr>
          <w:p w14:paraId="050BB7CC" w14:textId="36FD4900" w:rsidR="008A073A" w:rsidRPr="004F2574" w:rsidRDefault="005B6355" w:rsidP="005544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="006A607E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下午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8A073A" w:rsidRPr="004F2574" w14:paraId="728DCA07" w14:textId="77777777" w:rsidTr="008C16AA">
        <w:tc>
          <w:tcPr>
            <w:tcW w:w="1255" w:type="dxa"/>
            <w:vAlign w:val="center"/>
          </w:tcPr>
          <w:p w14:paraId="0961A372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041" w:type="dxa"/>
            <w:vAlign w:val="center"/>
          </w:tcPr>
          <w:p w14:paraId="01C80C55" w14:textId="30CED499" w:rsidR="008A073A" w:rsidRPr="004F2574" w:rsidRDefault="00012CC0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</w:tc>
      </w:tr>
      <w:tr w:rsidR="008A073A" w:rsidRPr="004F2574" w14:paraId="6527A9FC" w14:textId="77777777" w:rsidTr="008C16AA">
        <w:tc>
          <w:tcPr>
            <w:tcW w:w="1255" w:type="dxa"/>
            <w:vAlign w:val="center"/>
          </w:tcPr>
          <w:p w14:paraId="448C74BE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041" w:type="dxa"/>
            <w:vAlign w:val="center"/>
          </w:tcPr>
          <w:p w14:paraId="2ACDB13A" w14:textId="5856FADD" w:rsidR="00735B1A" w:rsidRDefault="00735B1A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董事长、总经理：渠建平</w:t>
            </w:r>
          </w:p>
          <w:p w14:paraId="2ACF1364" w14:textId="329C21E9" w:rsidR="001200FC" w:rsidRPr="004F2574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4F2574" w14:paraId="73EF0FC4" w14:textId="77777777" w:rsidTr="008C16AA">
        <w:tc>
          <w:tcPr>
            <w:tcW w:w="1255" w:type="dxa"/>
            <w:vAlign w:val="center"/>
          </w:tcPr>
          <w:p w14:paraId="3DB10D67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041" w:type="dxa"/>
            <w:vAlign w:val="center"/>
          </w:tcPr>
          <w:p w14:paraId="09C55C52" w14:textId="1514D7EA" w:rsidR="003A26F9" w:rsidRDefault="00012CC0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31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日举行线上投资者交流会，就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年度业绩表现、经营情况及未来发展规划与投资者进行沟通。具体如下：</w:t>
            </w:r>
          </w:p>
          <w:p w14:paraId="7754E8E0" w14:textId="11647065" w:rsidR="00BE7EA9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如何展望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2026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年及更长</w:t>
            </w:r>
            <w:r w:rsidR="008A0BC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周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期传输板块的海外订单情况，以及其对今年盈利能力的影响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66827D63" w14:textId="70727A23" w:rsidR="00E16AE3" w:rsidRDefault="00BE7EA9" w:rsidP="0037015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E16AE3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自</w:t>
            </w:r>
            <w:r w:rsidR="00E16AE3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="00E16AE3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年下半年起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北美传输侧需求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显著放量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，算力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发展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驱动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光传输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需求持续走高，行业备货意愿增强，趋势较为明确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与传统电信领域相比，</w:t>
            </w:r>
            <w:r w:rsidR="00E16AE3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北美</w:t>
            </w:r>
            <w:r w:rsidR="00E16AE3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="00E16AE3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算力中心互联需求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规模呈指数级增长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推动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泵浦激光器、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SOA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核心器件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需求井喷，产品交付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紧张，</w:t>
            </w:r>
            <w:r w:rsidR="00E16AE3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价格多次上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2706309" w14:textId="166CA75A" w:rsidR="00E16AE3" w:rsidRDefault="00012CC0" w:rsidP="0037015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在光放大器领域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同时布局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掺杂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半导体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两大技术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路线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，其中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半导体方案领先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行业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五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至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六年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相干模块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方面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相干模块已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小批量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出货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800G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相干器件及模块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处于预研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阶段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非相干模块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方面，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公里以上产品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亦已实现出货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上述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产品储备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有望在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年及未来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至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五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内对公司业绩形成显著贡献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2FD3E46" w14:textId="609E08D4" w:rsidR="00BE7EA9" w:rsidRDefault="00012CC0" w:rsidP="0037015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作为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兼具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模块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光放大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8A0BC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能力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综合型厂商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="003548B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充分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受益于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本轮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行业需求增长，具体受益节奏取决于产品匹配度、备货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策略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及产能</w:t>
            </w:r>
            <w:r w:rsidR="00E16AE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释放进度</w:t>
            </w:r>
            <w:r w:rsidR="00380281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C1BD763" w14:textId="77777777" w:rsidR="00370153" w:rsidRPr="004F2574" w:rsidRDefault="00370153" w:rsidP="0037015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26B6BFDD" w:rsidR="00D705DF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D705DF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2025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年营收结构中第一大客户占比较高，在传输市场机会大、产品布局多的情况下，客户拓展情况如何？近期季度客户拓展对公司的驱动要素及量级是怎样的</w:t>
            </w:r>
            <w:r w:rsidR="00554498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56418EBF" w14:textId="146D3613" w:rsidR="004C2B12" w:rsidRDefault="00D705DF" w:rsidP="002B79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答：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00701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成立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二十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余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年来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00701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长期</w:t>
            </w:r>
            <w:r w:rsidR="00753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服务于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电信设备制造商</w:t>
            </w:r>
            <w:r w:rsidR="00753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</w:t>
            </w:r>
            <w:r w:rsidR="004C2B12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电信运营商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，互联网公司</w:t>
            </w:r>
            <w:r w:rsidR="00753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占比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较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小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近三年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，公司在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数通及算力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领域</w:t>
            </w:r>
            <w:r w:rsidR="00753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持续</w:t>
            </w:r>
            <w:r w:rsidR="0000701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加大产品和市场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布局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，但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产品导入与客户突破之间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存在时间差，成为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大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客户主力供应商通常需要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三至五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年。</w:t>
            </w:r>
          </w:p>
          <w:p w14:paraId="6A0BD827" w14:textId="7F90F6AC" w:rsidR="008C0351" w:rsidRDefault="00012CC0" w:rsidP="002B79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公司以差异化产品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底层技术迭代为突破口，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率先推出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非相干高速率长距离模块，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针对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头部互联网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云厂商的供应缺口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精准切入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大客户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收入结构变化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尚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不明显，但第四季度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已呈现积极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信号，数通领域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收入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占比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明显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提升，主要得益于全系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DCI 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BOX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设备（不含板卡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器件）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收入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占比上升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。同时，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用于数据中心互联的非相干光模块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亦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向</w:t>
            </w:r>
            <w:r w:rsidR="00753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北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美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市场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出货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预计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2027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数通领域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收入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占比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="00F70AF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实现显著</w:t>
            </w:r>
            <w:r w:rsidR="004C2B1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升</w:t>
            </w:r>
            <w:r w:rsidR="00942884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5E22887" w14:textId="77777777" w:rsidR="00012CC0" w:rsidRDefault="00012CC0" w:rsidP="002B79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1C8E0C5A" w14:textId="1509F72D" w:rsidR="00012CC0" w:rsidRPr="004F2574" w:rsidRDefault="00012CC0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未来两年（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2026-2027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年）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市场的产品需求是否有集中度？比如集中在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400G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800G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等代际产品，或相干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非相干产品为主</w:t>
            </w: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2381FC9D" w14:textId="0C5B0ED4" w:rsidR="009B54DF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作为泛概念，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涵盖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 BOX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设备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板卡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无源器件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（如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EDFA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SOA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WSS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等），以及相干与非相干模块。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国内客户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偏好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直接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采购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设备，海外客户初期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多采用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大设备，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其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板卡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式或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模块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式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EDFA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C804C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均可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配套供应。</w:t>
            </w:r>
          </w:p>
          <w:p w14:paraId="107CA859" w14:textId="02948F47" w:rsidR="00012CC0" w:rsidRDefault="00C804C8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在产品层面，公司已形成系统化布局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：相干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模块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小批量供货，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800G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相干模块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在研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；非相干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长距模块已批量供货四年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有余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未来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市场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将呈现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设备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整机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、配套器件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交换机直插模块</w:t>
            </w:r>
            <w:r w:rsidR="005A6B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并存的多元格局。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凭借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光放大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、光模块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及子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系统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领域的全产品线布局，具备匹配多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技术路线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的能力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，市场空间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广阔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9B54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后续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稳步推进产品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备货和产能节奏</w:t>
            </w:r>
            <w:r w:rsidR="00012CC0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09CF53C" w14:textId="77777777" w:rsidR="00012CC0" w:rsidRPr="00012CC0" w:rsidRDefault="00012CC0" w:rsidP="002B79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025E7D80" w14:textId="77D90D31" w:rsidR="00012CC0" w:rsidRPr="004F2574" w:rsidRDefault="00012CC0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业务的利润率情况及未来指引如何</w:t>
            </w: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7E015730" w14:textId="25B7DC8B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业务前期</w:t>
            </w:r>
            <w:r w:rsidR="00934E1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因投入大（预研至批量产出约需三至五年）及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产能建设</w:t>
            </w:r>
            <w:r w:rsidR="00C957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成本</w:t>
            </w:r>
            <w:r w:rsidR="00934E1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摊销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，毛利</w:t>
            </w:r>
            <w:r w:rsidR="00934E1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水平相对</w:t>
            </w:r>
            <w:r w:rsidR="00C957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偏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低</w:t>
            </w:r>
            <w:r w:rsidR="00C957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CA58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随着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年下半年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设备</w:t>
            </w:r>
            <w:r w:rsidR="000B1D9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放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量</w:t>
            </w:r>
            <w:r w:rsidR="00C957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毛利</w:t>
            </w:r>
            <w:r w:rsidR="00CA58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水平已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逐步</w:t>
            </w:r>
            <w:r w:rsidR="00CA583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改善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C957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bookmarkStart w:id="0" w:name="OLE_LINK6"/>
            <w:r w:rsidR="006D0E9D" w:rsidRPr="006D0E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公司将持续优化产品结构，加快海外市场拓展。海外市场平均毛利水平较高，且公司产品具备差异化与稀缺性优势，有望带动整体盈利能力进一步提升。</w:t>
            </w:r>
            <w:bookmarkEnd w:id="0"/>
          </w:p>
          <w:p w14:paraId="5A367E25" w14:textId="77777777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14BE41BF" w14:textId="0F04B72A" w:rsidR="00012CC0" w:rsidRPr="004F2574" w:rsidRDefault="006D0E9D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012CC0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无锡和泰国产能的分工及公司产能规划是怎样的</w:t>
            </w:r>
            <w:r w:rsidR="00012CC0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61ECE705" w14:textId="596215BB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在产能布局方面，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泰国基地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主要服务于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海外业务，无锡产能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则聚焦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国内及非美市场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需求。截至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年底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综合产能约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，随着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泰国工厂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启动试生产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正式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投产，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预计新增产能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产能提升至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22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2027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无锡二期投产后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，预计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再增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产能将达到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32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元。公司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结构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具备弹性，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覆盖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、放大器、光模块等综合业务</w:t>
            </w:r>
            <w:r w:rsidR="00E5727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62647F8" w14:textId="77777777" w:rsidR="00012CC0" w:rsidRP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0A338D87" w14:textId="504FD32F" w:rsidR="00012CC0" w:rsidRPr="004F2574" w:rsidRDefault="006D0E9D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012CC0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OCS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产品的进展、技术路线特点及未来规划如何？薄膜铌酸锂产品（包括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1.6T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薄膜铌酸锂、相干铌酸锂、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400G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通道产品）的进展和布局情况是怎样的</w:t>
            </w:r>
            <w:r w:rsidR="00012CC0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4E4D544C" w14:textId="446B7294" w:rsidR="000443D5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关于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OCS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仍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处于样品阶段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。公司采取的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技术路线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区别于</w:t>
            </w:r>
            <w:r w:rsidR="006D0E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常规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方案，采用硅基波导方案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当前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32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×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32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为主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正在推进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64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×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64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研发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并预研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128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×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128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，后续技术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难度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挑战较大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生产制造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层面，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硅波导相关单台</w:t>
            </w:r>
            <w:r w:rsidR="005F1E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生产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设备成</w:t>
            </w:r>
            <w:r w:rsidR="005F1E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投入</w:t>
            </w:r>
            <w:r w:rsidR="005F1E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超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千万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元，耦合设备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亦为专用设备，整体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投入较大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且产品处于早期阶段，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因此公司近两年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至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三年的财务预算和业绩规划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</w:t>
            </w:r>
            <w:r w:rsidR="004964E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均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未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OCS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纳入预期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6C92C3C" w14:textId="673BD30B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关于薄膜铌酸锂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TFLN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该技术已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论证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五六年，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当前受益于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算力需求增长，产业化时机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日趋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成熟，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TFLN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生产制造良率日趋稳定，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产业链相关公司及供应商已开始进行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布局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。公司在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800G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1.6T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光模块上同步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推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薄膜铌酸锂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方案（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TFLN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）产品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未来薄膜铌酸锂方案将与传统模块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硅光方案并行</w:t>
            </w:r>
            <w:r w:rsidR="002108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发展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80C8122" w14:textId="77777777" w:rsidR="00012CC0" w:rsidRP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12C2FE66" w14:textId="3E609684" w:rsidR="00012CC0" w:rsidRPr="004F2574" w:rsidRDefault="006D0E9D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012CC0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公司目前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的在手订单情况如何？海外产能（泰国基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地）是否有二期规划</w:t>
            </w:r>
            <w:r w:rsidR="00012CC0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272F8E20" w14:textId="541B6CEF" w:rsidR="00547F4A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547F4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在手订单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较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去年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同期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有所增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长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其中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订单与</w:t>
            </w:r>
            <w:r w:rsidR="00547F4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上年同期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基本持平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，但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后续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预期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向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好。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随着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无锡基地</w:t>
            </w:r>
            <w:r w:rsidR="000F1E5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</w:t>
            </w:r>
            <w:r w:rsidR="00547F4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期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去年投产，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202E6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营收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</w:t>
            </w:r>
            <w:r w:rsidR="00547F4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入良性</w:t>
            </w:r>
            <w:r w:rsidR="00547F4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轨道，</w:t>
            </w:r>
            <w:r w:rsidR="00547F4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预计接下来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三个季度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订单</w:t>
            </w:r>
            <w:r w:rsidR="00547F4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将实现同比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增长。</w:t>
            </w:r>
          </w:p>
          <w:p w14:paraId="5DA64B12" w14:textId="7588281D" w:rsidR="00012CC0" w:rsidRDefault="00547F4A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泰国二期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相关规划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同步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推进，后续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公司将</w:t>
            </w:r>
            <w:r w:rsidR="005F1E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逐步把各类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优势产品在泰国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落地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，并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配套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投入设备、人员及研发本地化支持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，将进一步强化全球化交付能力</w:t>
            </w:r>
            <w:r w:rsidR="005F1E2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和客户拓展能力</w:t>
            </w:r>
            <w:r w:rsidR="00012CC0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23862A8" w14:textId="77777777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1A6967F" w14:textId="58A44097" w:rsidR="00012CC0" w:rsidRPr="004F2574" w:rsidRDefault="006D0E9D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 w:rsidR="00012CC0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公司海外产能投产后，产品与客户的磨合周期是怎样的？今年海外放量的主要产品及潜在放量产品、客户有哪些</w:t>
            </w:r>
            <w:r w:rsidR="00012CC0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5D103DE3" w14:textId="2F2A39FA" w:rsidR="00406404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公司海外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放量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将主要集中在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下半年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77358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逐季上量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数通模块领域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尤其是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1.6T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短距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模块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，预计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下半年表现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突出。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公司为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1.6T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模块同步布局了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EML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、硅光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薄膜铌酸锂三种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方案，</w:t>
            </w:r>
            <w:bookmarkStart w:id="1" w:name="OLE_LINK5"/>
            <w:r w:rsidR="0077358A" w:rsidRPr="0077358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薄膜铌酸锂方案在</w:t>
            </w:r>
            <w:r w:rsidR="0077358A" w:rsidRPr="0077358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OFC</w:t>
            </w:r>
            <w:r w:rsidR="0077358A" w:rsidRPr="0077358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展会上获得业内广泛关注，其性能与成本已具备与硅光方案相当的竞争力，有望在今年为公司贡献可观的增量收入。</w:t>
            </w:r>
          </w:p>
          <w:bookmarkEnd w:id="1"/>
          <w:p w14:paraId="7EE8734E" w14:textId="7386121E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今年仍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保持快速增长，</w:t>
            </w:r>
            <w:r w:rsidR="0077358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电信接入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领域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步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入新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一轮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周期，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50G PON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将成为年度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重点推广</w:t>
            </w:r>
            <w:r w:rsidR="00C87F3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系列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总体而言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作为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公司产能释放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的首年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，营收及产品贡献将呈现多点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突破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、全面上量的</w:t>
            </w:r>
            <w:r w:rsidR="004064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发展态势</w:t>
            </w: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6D81B55" w14:textId="77777777" w:rsidR="00012CC0" w:rsidRP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4BD3D723" w14:textId="7B96C534" w:rsidR="00012CC0" w:rsidRPr="004F2574" w:rsidRDefault="006D0E9D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9</w:t>
            </w:r>
            <w:r w:rsidR="00012CC0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光电解耦后，相干光模块领域竞争格局变化，公司在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DCI</w:t>
            </w:r>
            <w:r w:rsidR="00012CC0" w:rsidRPr="00012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细分领域模块端的竞争力、竞争策略及优势是什么</w:t>
            </w:r>
            <w:r w:rsidR="00012CC0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35CF95C1" w14:textId="1B2B70AF" w:rsidR="00392394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公司在相干领域的</w:t>
            </w:r>
            <w:r w:rsidR="005B369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核心竞争力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体现在相干</w:t>
            </w:r>
            <w:r w:rsidR="00C40A2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模块和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器件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自</w:t>
            </w:r>
            <w:r w:rsidR="005B369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</w:t>
            </w:r>
            <w:r w:rsidR="005B369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能力，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尤其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ITLA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PIC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等关键器件方面已取得显著进展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相较于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多数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相干模块厂商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长期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依赖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外购器件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的局面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公司经过多年技术积累，已具备自研能力，相关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器件将</w:t>
            </w:r>
            <w:r w:rsidR="00D515C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逐步</w:t>
            </w:r>
            <w:r w:rsidR="0052004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用于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400G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800G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相干模块。</w:t>
            </w:r>
          </w:p>
          <w:p w14:paraId="44E3D855" w14:textId="51880C25" w:rsidR="00012CC0" w:rsidRPr="00012CC0" w:rsidRDefault="00520048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针对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国内外大厂自研相干模块的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趋势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公司具备明确的差异化优势。</w:t>
            </w:r>
            <w:r w:rsidR="00D515C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部分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海外大厂在光学器件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领域积累</w:t>
            </w:r>
            <w:r w:rsidR="00D12BB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相对薄弱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，对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D12BB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自研相干器件</w:t>
            </w:r>
            <w:r w:rsidR="00D12BB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存在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迫切</w:t>
            </w:r>
            <w:r w:rsidR="00D12BB9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；国内大厂</w:t>
            </w:r>
            <w:r w:rsidR="00D12BB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自研模块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过程中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，相干器件</w:t>
            </w:r>
            <w:r w:rsidR="00D12BB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竞争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相对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缓和，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进一步凸显了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D515C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先发优势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。此外，相干模块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放大器件（包括掺杂放大和半导体放大）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亦为</w:t>
            </w:r>
            <w:r w:rsidR="00012CC0"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3923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提供了</w:t>
            </w:r>
            <w:r w:rsidR="00D12BB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潜在的产品切入机会</w:t>
            </w:r>
            <w:r w:rsidR="00012CC0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8A073A" w:rsidRPr="003157DF" w14:paraId="4D2CA808" w14:textId="77777777" w:rsidTr="008C16AA">
        <w:tc>
          <w:tcPr>
            <w:tcW w:w="1255" w:type="dxa"/>
            <w:vAlign w:val="center"/>
          </w:tcPr>
          <w:p w14:paraId="353CB8B5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1" w:type="dxa"/>
            <w:vAlign w:val="center"/>
          </w:tcPr>
          <w:p w14:paraId="7586BDCF" w14:textId="77777777" w:rsidR="008A073A" w:rsidRPr="003157DF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178B3FE8" w14:textId="293C3BD1" w:rsidR="008A073A" w:rsidRPr="00FE482A" w:rsidRDefault="008A073A" w:rsidP="00370153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05CF" w14:textId="77777777" w:rsidR="00A8673A" w:rsidRDefault="00A8673A" w:rsidP="00192A2B">
      <w:pPr>
        <w:rPr>
          <w:rFonts w:hint="eastAsia"/>
        </w:rPr>
      </w:pPr>
      <w:r>
        <w:separator/>
      </w:r>
    </w:p>
  </w:endnote>
  <w:endnote w:type="continuationSeparator" w:id="0">
    <w:p w14:paraId="0473C70E" w14:textId="77777777" w:rsidR="00A8673A" w:rsidRDefault="00A8673A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392E" w14:textId="77777777" w:rsidR="00A8673A" w:rsidRDefault="00A8673A" w:rsidP="00192A2B">
      <w:pPr>
        <w:rPr>
          <w:rFonts w:hint="eastAsia"/>
        </w:rPr>
      </w:pPr>
      <w:r>
        <w:separator/>
      </w:r>
    </w:p>
  </w:footnote>
  <w:footnote w:type="continuationSeparator" w:id="0">
    <w:p w14:paraId="6F616E71" w14:textId="77777777" w:rsidR="00A8673A" w:rsidRDefault="00A8673A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298099209">
    <w:abstractNumId w:val="7"/>
  </w:num>
  <w:num w:numId="2" w16cid:durableId="1688408811">
    <w:abstractNumId w:val="3"/>
  </w:num>
  <w:num w:numId="3" w16cid:durableId="1732537099">
    <w:abstractNumId w:val="6"/>
  </w:num>
  <w:num w:numId="4" w16cid:durableId="1717663332">
    <w:abstractNumId w:val="2"/>
  </w:num>
  <w:num w:numId="5" w16cid:durableId="26611500">
    <w:abstractNumId w:val="1"/>
  </w:num>
  <w:num w:numId="6" w16cid:durableId="7830370">
    <w:abstractNumId w:val="0"/>
  </w:num>
  <w:num w:numId="7" w16cid:durableId="721714245">
    <w:abstractNumId w:val="4"/>
  </w:num>
  <w:num w:numId="8" w16cid:durableId="116655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8B"/>
    <w:rsid w:val="00001787"/>
    <w:rsid w:val="00005826"/>
    <w:rsid w:val="00007016"/>
    <w:rsid w:val="00011067"/>
    <w:rsid w:val="00012A9E"/>
    <w:rsid w:val="00012CC0"/>
    <w:rsid w:val="00013037"/>
    <w:rsid w:val="000138FA"/>
    <w:rsid w:val="00020FAB"/>
    <w:rsid w:val="00022135"/>
    <w:rsid w:val="0002373D"/>
    <w:rsid w:val="000271FD"/>
    <w:rsid w:val="000306B7"/>
    <w:rsid w:val="00030A01"/>
    <w:rsid w:val="00031C8F"/>
    <w:rsid w:val="000352CA"/>
    <w:rsid w:val="0003543F"/>
    <w:rsid w:val="000443D5"/>
    <w:rsid w:val="00045441"/>
    <w:rsid w:val="000464E9"/>
    <w:rsid w:val="0005002E"/>
    <w:rsid w:val="00050857"/>
    <w:rsid w:val="0005139B"/>
    <w:rsid w:val="00051F11"/>
    <w:rsid w:val="00056041"/>
    <w:rsid w:val="0005759C"/>
    <w:rsid w:val="00057E47"/>
    <w:rsid w:val="00065C65"/>
    <w:rsid w:val="00066844"/>
    <w:rsid w:val="00066E5D"/>
    <w:rsid w:val="000723BC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874CB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A784E"/>
    <w:rsid w:val="000B1D9C"/>
    <w:rsid w:val="000B1FE0"/>
    <w:rsid w:val="000B2C8D"/>
    <w:rsid w:val="000B2FFD"/>
    <w:rsid w:val="000B3AB6"/>
    <w:rsid w:val="000B51AF"/>
    <w:rsid w:val="000B5281"/>
    <w:rsid w:val="000C08F8"/>
    <w:rsid w:val="000C0A70"/>
    <w:rsid w:val="000C2B55"/>
    <w:rsid w:val="000C2E57"/>
    <w:rsid w:val="000C2F14"/>
    <w:rsid w:val="000C6660"/>
    <w:rsid w:val="000D0F99"/>
    <w:rsid w:val="000D1C6F"/>
    <w:rsid w:val="000D2839"/>
    <w:rsid w:val="000D6EB1"/>
    <w:rsid w:val="000E553D"/>
    <w:rsid w:val="000F0727"/>
    <w:rsid w:val="000F11B7"/>
    <w:rsid w:val="000F1E02"/>
    <w:rsid w:val="000F1E58"/>
    <w:rsid w:val="000F3AC5"/>
    <w:rsid w:val="000F3D49"/>
    <w:rsid w:val="000F6789"/>
    <w:rsid w:val="000F6C89"/>
    <w:rsid w:val="0010031B"/>
    <w:rsid w:val="001008F7"/>
    <w:rsid w:val="00101256"/>
    <w:rsid w:val="00101FCE"/>
    <w:rsid w:val="0011023B"/>
    <w:rsid w:val="00111190"/>
    <w:rsid w:val="00112300"/>
    <w:rsid w:val="00112B81"/>
    <w:rsid w:val="00113C6B"/>
    <w:rsid w:val="001142C0"/>
    <w:rsid w:val="0011479D"/>
    <w:rsid w:val="0011514C"/>
    <w:rsid w:val="001177EE"/>
    <w:rsid w:val="001200FC"/>
    <w:rsid w:val="0012123E"/>
    <w:rsid w:val="001226D1"/>
    <w:rsid w:val="00124561"/>
    <w:rsid w:val="001257A2"/>
    <w:rsid w:val="00125864"/>
    <w:rsid w:val="00126D62"/>
    <w:rsid w:val="00132376"/>
    <w:rsid w:val="00136997"/>
    <w:rsid w:val="00136ECE"/>
    <w:rsid w:val="00137262"/>
    <w:rsid w:val="00137D87"/>
    <w:rsid w:val="00137E8A"/>
    <w:rsid w:val="00141BC8"/>
    <w:rsid w:val="0014231F"/>
    <w:rsid w:val="00142C98"/>
    <w:rsid w:val="00144C5D"/>
    <w:rsid w:val="00144C98"/>
    <w:rsid w:val="00145184"/>
    <w:rsid w:val="00151940"/>
    <w:rsid w:val="0015251D"/>
    <w:rsid w:val="00153B74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13B"/>
    <w:rsid w:val="001834AC"/>
    <w:rsid w:val="001855E9"/>
    <w:rsid w:val="00185E3D"/>
    <w:rsid w:val="00186A76"/>
    <w:rsid w:val="0019073C"/>
    <w:rsid w:val="00192A2B"/>
    <w:rsid w:val="00193295"/>
    <w:rsid w:val="001958FF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B583C"/>
    <w:rsid w:val="001B69A6"/>
    <w:rsid w:val="001B7119"/>
    <w:rsid w:val="001C0516"/>
    <w:rsid w:val="001C244C"/>
    <w:rsid w:val="001C3EEE"/>
    <w:rsid w:val="001C581C"/>
    <w:rsid w:val="001C68E1"/>
    <w:rsid w:val="001C6C88"/>
    <w:rsid w:val="001C7326"/>
    <w:rsid w:val="001D095F"/>
    <w:rsid w:val="001D0CEC"/>
    <w:rsid w:val="001D103C"/>
    <w:rsid w:val="001D1AA3"/>
    <w:rsid w:val="001D1FDD"/>
    <w:rsid w:val="001D233D"/>
    <w:rsid w:val="001D385B"/>
    <w:rsid w:val="001D7999"/>
    <w:rsid w:val="001E0102"/>
    <w:rsid w:val="001E2AA3"/>
    <w:rsid w:val="001E3253"/>
    <w:rsid w:val="001E3D0C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2E64"/>
    <w:rsid w:val="002034D9"/>
    <w:rsid w:val="002053F7"/>
    <w:rsid w:val="00205497"/>
    <w:rsid w:val="002059A4"/>
    <w:rsid w:val="0020615B"/>
    <w:rsid w:val="00210667"/>
    <w:rsid w:val="002108C0"/>
    <w:rsid w:val="0021159E"/>
    <w:rsid w:val="00212685"/>
    <w:rsid w:val="00212A7A"/>
    <w:rsid w:val="00212C9F"/>
    <w:rsid w:val="0021335A"/>
    <w:rsid w:val="00220921"/>
    <w:rsid w:val="00222FAB"/>
    <w:rsid w:val="00223889"/>
    <w:rsid w:val="002249A4"/>
    <w:rsid w:val="002252FC"/>
    <w:rsid w:val="002275C5"/>
    <w:rsid w:val="00227871"/>
    <w:rsid w:val="00231327"/>
    <w:rsid w:val="00233ADF"/>
    <w:rsid w:val="002340B3"/>
    <w:rsid w:val="00235C0E"/>
    <w:rsid w:val="00236330"/>
    <w:rsid w:val="0023679F"/>
    <w:rsid w:val="002371B5"/>
    <w:rsid w:val="0023729C"/>
    <w:rsid w:val="002376F6"/>
    <w:rsid w:val="0024085F"/>
    <w:rsid w:val="00240DA2"/>
    <w:rsid w:val="002412AB"/>
    <w:rsid w:val="00241545"/>
    <w:rsid w:val="002423FB"/>
    <w:rsid w:val="00242436"/>
    <w:rsid w:val="00245ACA"/>
    <w:rsid w:val="002501E3"/>
    <w:rsid w:val="00250B99"/>
    <w:rsid w:val="00252140"/>
    <w:rsid w:val="00256967"/>
    <w:rsid w:val="00264B94"/>
    <w:rsid w:val="0026592D"/>
    <w:rsid w:val="00265E29"/>
    <w:rsid w:val="002670B2"/>
    <w:rsid w:val="002701E6"/>
    <w:rsid w:val="002716EF"/>
    <w:rsid w:val="0027280A"/>
    <w:rsid w:val="00273CEE"/>
    <w:rsid w:val="002744B8"/>
    <w:rsid w:val="00274954"/>
    <w:rsid w:val="00275673"/>
    <w:rsid w:val="002811EF"/>
    <w:rsid w:val="00282F85"/>
    <w:rsid w:val="002846FB"/>
    <w:rsid w:val="002863AF"/>
    <w:rsid w:val="00290884"/>
    <w:rsid w:val="002912FA"/>
    <w:rsid w:val="00294BCB"/>
    <w:rsid w:val="002A1CCE"/>
    <w:rsid w:val="002A2805"/>
    <w:rsid w:val="002A3814"/>
    <w:rsid w:val="002A3E25"/>
    <w:rsid w:val="002A46E1"/>
    <w:rsid w:val="002A5E48"/>
    <w:rsid w:val="002A60A2"/>
    <w:rsid w:val="002A7F23"/>
    <w:rsid w:val="002B1FF0"/>
    <w:rsid w:val="002B298E"/>
    <w:rsid w:val="002B385E"/>
    <w:rsid w:val="002B6764"/>
    <w:rsid w:val="002B6A95"/>
    <w:rsid w:val="002B79AA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1639"/>
    <w:rsid w:val="002D2D73"/>
    <w:rsid w:val="002D4B22"/>
    <w:rsid w:val="002D5078"/>
    <w:rsid w:val="002D724F"/>
    <w:rsid w:val="002E104C"/>
    <w:rsid w:val="002E33F4"/>
    <w:rsid w:val="002E3E82"/>
    <w:rsid w:val="002E5C42"/>
    <w:rsid w:val="002E631D"/>
    <w:rsid w:val="002E63B5"/>
    <w:rsid w:val="002E681B"/>
    <w:rsid w:val="002F1CA3"/>
    <w:rsid w:val="002F20D4"/>
    <w:rsid w:val="002F45BD"/>
    <w:rsid w:val="002F53AC"/>
    <w:rsid w:val="002F62A4"/>
    <w:rsid w:val="00300E57"/>
    <w:rsid w:val="00301685"/>
    <w:rsid w:val="0030171C"/>
    <w:rsid w:val="00301DD9"/>
    <w:rsid w:val="00304945"/>
    <w:rsid w:val="003059AB"/>
    <w:rsid w:val="003065AB"/>
    <w:rsid w:val="00306768"/>
    <w:rsid w:val="00306C9F"/>
    <w:rsid w:val="0030775B"/>
    <w:rsid w:val="00307D9E"/>
    <w:rsid w:val="0031107F"/>
    <w:rsid w:val="003157DF"/>
    <w:rsid w:val="00315CFA"/>
    <w:rsid w:val="00315DFF"/>
    <w:rsid w:val="00317F18"/>
    <w:rsid w:val="00320186"/>
    <w:rsid w:val="0032019F"/>
    <w:rsid w:val="003220B2"/>
    <w:rsid w:val="00322B54"/>
    <w:rsid w:val="00323DC1"/>
    <w:rsid w:val="00324347"/>
    <w:rsid w:val="00325DB9"/>
    <w:rsid w:val="00325F72"/>
    <w:rsid w:val="0033011A"/>
    <w:rsid w:val="003301F0"/>
    <w:rsid w:val="003302E7"/>
    <w:rsid w:val="00330DE7"/>
    <w:rsid w:val="00330E71"/>
    <w:rsid w:val="00333FD8"/>
    <w:rsid w:val="003344F8"/>
    <w:rsid w:val="00334A73"/>
    <w:rsid w:val="00335768"/>
    <w:rsid w:val="00336F89"/>
    <w:rsid w:val="0034186D"/>
    <w:rsid w:val="003430EE"/>
    <w:rsid w:val="0034506D"/>
    <w:rsid w:val="003453A2"/>
    <w:rsid w:val="00345E24"/>
    <w:rsid w:val="003502FD"/>
    <w:rsid w:val="00351BC7"/>
    <w:rsid w:val="00351F05"/>
    <w:rsid w:val="003548BB"/>
    <w:rsid w:val="0035505B"/>
    <w:rsid w:val="003578C0"/>
    <w:rsid w:val="003611E7"/>
    <w:rsid w:val="00362CF7"/>
    <w:rsid w:val="003631A4"/>
    <w:rsid w:val="00363681"/>
    <w:rsid w:val="00363EAA"/>
    <w:rsid w:val="00366D15"/>
    <w:rsid w:val="00367C10"/>
    <w:rsid w:val="00370153"/>
    <w:rsid w:val="00372653"/>
    <w:rsid w:val="00374D4F"/>
    <w:rsid w:val="00376708"/>
    <w:rsid w:val="0037741C"/>
    <w:rsid w:val="0037785F"/>
    <w:rsid w:val="00380281"/>
    <w:rsid w:val="003814D4"/>
    <w:rsid w:val="00383B2B"/>
    <w:rsid w:val="0038474A"/>
    <w:rsid w:val="00386E90"/>
    <w:rsid w:val="00390FCA"/>
    <w:rsid w:val="003912BD"/>
    <w:rsid w:val="00392394"/>
    <w:rsid w:val="00394166"/>
    <w:rsid w:val="00394579"/>
    <w:rsid w:val="00394F32"/>
    <w:rsid w:val="003956F2"/>
    <w:rsid w:val="003972C1"/>
    <w:rsid w:val="003979DF"/>
    <w:rsid w:val="003A0901"/>
    <w:rsid w:val="003A26F9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2B0A"/>
    <w:rsid w:val="003C2F39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DF3"/>
    <w:rsid w:val="003D5FBE"/>
    <w:rsid w:val="003D6AD3"/>
    <w:rsid w:val="003E2212"/>
    <w:rsid w:val="003E2F88"/>
    <w:rsid w:val="003E4088"/>
    <w:rsid w:val="003E7BFB"/>
    <w:rsid w:val="003E7D9D"/>
    <w:rsid w:val="003F16A6"/>
    <w:rsid w:val="003F1C85"/>
    <w:rsid w:val="003F218C"/>
    <w:rsid w:val="003F5349"/>
    <w:rsid w:val="004009B0"/>
    <w:rsid w:val="00400D24"/>
    <w:rsid w:val="004018CC"/>
    <w:rsid w:val="00402017"/>
    <w:rsid w:val="004054CA"/>
    <w:rsid w:val="00406404"/>
    <w:rsid w:val="00406C90"/>
    <w:rsid w:val="00407862"/>
    <w:rsid w:val="00407FF8"/>
    <w:rsid w:val="00411DB1"/>
    <w:rsid w:val="0041310D"/>
    <w:rsid w:val="0041312C"/>
    <w:rsid w:val="00413A5A"/>
    <w:rsid w:val="00415703"/>
    <w:rsid w:val="00416521"/>
    <w:rsid w:val="004179E0"/>
    <w:rsid w:val="004224AB"/>
    <w:rsid w:val="0042439F"/>
    <w:rsid w:val="00425E44"/>
    <w:rsid w:val="004264AC"/>
    <w:rsid w:val="00426719"/>
    <w:rsid w:val="004279FB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155D"/>
    <w:rsid w:val="004425FE"/>
    <w:rsid w:val="0044385D"/>
    <w:rsid w:val="0044439B"/>
    <w:rsid w:val="0044483F"/>
    <w:rsid w:val="00446503"/>
    <w:rsid w:val="00447318"/>
    <w:rsid w:val="00447E91"/>
    <w:rsid w:val="00450763"/>
    <w:rsid w:val="0045145C"/>
    <w:rsid w:val="00451903"/>
    <w:rsid w:val="004522D1"/>
    <w:rsid w:val="00452742"/>
    <w:rsid w:val="00452CBA"/>
    <w:rsid w:val="00452DA7"/>
    <w:rsid w:val="0045326C"/>
    <w:rsid w:val="00454F29"/>
    <w:rsid w:val="004561F4"/>
    <w:rsid w:val="00457E41"/>
    <w:rsid w:val="0046036B"/>
    <w:rsid w:val="00462968"/>
    <w:rsid w:val="00462A51"/>
    <w:rsid w:val="00464018"/>
    <w:rsid w:val="00466839"/>
    <w:rsid w:val="0047017C"/>
    <w:rsid w:val="004736B3"/>
    <w:rsid w:val="004759AA"/>
    <w:rsid w:val="00475B73"/>
    <w:rsid w:val="00476D96"/>
    <w:rsid w:val="00476DF4"/>
    <w:rsid w:val="004771BC"/>
    <w:rsid w:val="004801BA"/>
    <w:rsid w:val="00481176"/>
    <w:rsid w:val="00481271"/>
    <w:rsid w:val="00483DE0"/>
    <w:rsid w:val="004843AD"/>
    <w:rsid w:val="00486955"/>
    <w:rsid w:val="00486ED3"/>
    <w:rsid w:val="00487974"/>
    <w:rsid w:val="00490FCA"/>
    <w:rsid w:val="0049185F"/>
    <w:rsid w:val="00491C72"/>
    <w:rsid w:val="00491D42"/>
    <w:rsid w:val="00492398"/>
    <w:rsid w:val="00496352"/>
    <w:rsid w:val="004964EC"/>
    <w:rsid w:val="00497D75"/>
    <w:rsid w:val="004A2421"/>
    <w:rsid w:val="004A41EE"/>
    <w:rsid w:val="004A47BD"/>
    <w:rsid w:val="004A4869"/>
    <w:rsid w:val="004A5749"/>
    <w:rsid w:val="004A7144"/>
    <w:rsid w:val="004B05B8"/>
    <w:rsid w:val="004B0D01"/>
    <w:rsid w:val="004B18FE"/>
    <w:rsid w:val="004B5444"/>
    <w:rsid w:val="004B7143"/>
    <w:rsid w:val="004B7F4C"/>
    <w:rsid w:val="004B7F7A"/>
    <w:rsid w:val="004C03A1"/>
    <w:rsid w:val="004C06A6"/>
    <w:rsid w:val="004C2B12"/>
    <w:rsid w:val="004C45BF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E663B"/>
    <w:rsid w:val="004F0A54"/>
    <w:rsid w:val="004F2574"/>
    <w:rsid w:val="004F2EE4"/>
    <w:rsid w:val="004F380E"/>
    <w:rsid w:val="004F3B1B"/>
    <w:rsid w:val="005012EA"/>
    <w:rsid w:val="00503F5F"/>
    <w:rsid w:val="0051439F"/>
    <w:rsid w:val="00515854"/>
    <w:rsid w:val="00517E17"/>
    <w:rsid w:val="00520048"/>
    <w:rsid w:val="005202A5"/>
    <w:rsid w:val="00520535"/>
    <w:rsid w:val="00522D15"/>
    <w:rsid w:val="00523CD8"/>
    <w:rsid w:val="00531A78"/>
    <w:rsid w:val="00531B7C"/>
    <w:rsid w:val="00531DD0"/>
    <w:rsid w:val="00535D76"/>
    <w:rsid w:val="00536AEE"/>
    <w:rsid w:val="0053756E"/>
    <w:rsid w:val="005409BC"/>
    <w:rsid w:val="00541D6E"/>
    <w:rsid w:val="005432AB"/>
    <w:rsid w:val="00547F4A"/>
    <w:rsid w:val="00550263"/>
    <w:rsid w:val="0055270F"/>
    <w:rsid w:val="00554498"/>
    <w:rsid w:val="005555A8"/>
    <w:rsid w:val="00556BA6"/>
    <w:rsid w:val="005602D0"/>
    <w:rsid w:val="00560824"/>
    <w:rsid w:val="00560B3F"/>
    <w:rsid w:val="00560F52"/>
    <w:rsid w:val="00565922"/>
    <w:rsid w:val="005664EC"/>
    <w:rsid w:val="00567372"/>
    <w:rsid w:val="00572855"/>
    <w:rsid w:val="005728CE"/>
    <w:rsid w:val="00574F03"/>
    <w:rsid w:val="005751F9"/>
    <w:rsid w:val="00575358"/>
    <w:rsid w:val="00575419"/>
    <w:rsid w:val="005754AB"/>
    <w:rsid w:val="005767DC"/>
    <w:rsid w:val="005805E4"/>
    <w:rsid w:val="00580949"/>
    <w:rsid w:val="00585AF2"/>
    <w:rsid w:val="00585CAA"/>
    <w:rsid w:val="00585E5D"/>
    <w:rsid w:val="005863BE"/>
    <w:rsid w:val="00586F6F"/>
    <w:rsid w:val="00587166"/>
    <w:rsid w:val="00593679"/>
    <w:rsid w:val="005964DD"/>
    <w:rsid w:val="0059751A"/>
    <w:rsid w:val="005A071C"/>
    <w:rsid w:val="005A0998"/>
    <w:rsid w:val="005A1094"/>
    <w:rsid w:val="005A1CBF"/>
    <w:rsid w:val="005A3473"/>
    <w:rsid w:val="005A38E1"/>
    <w:rsid w:val="005A56FA"/>
    <w:rsid w:val="005A6B66"/>
    <w:rsid w:val="005A7247"/>
    <w:rsid w:val="005A7612"/>
    <w:rsid w:val="005B0845"/>
    <w:rsid w:val="005B1E67"/>
    <w:rsid w:val="005B292D"/>
    <w:rsid w:val="005B3693"/>
    <w:rsid w:val="005B613D"/>
    <w:rsid w:val="005B6355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0B09"/>
    <w:rsid w:val="005E17CD"/>
    <w:rsid w:val="005E3C26"/>
    <w:rsid w:val="005E40ED"/>
    <w:rsid w:val="005F0283"/>
    <w:rsid w:val="005F1CFD"/>
    <w:rsid w:val="005F1E28"/>
    <w:rsid w:val="005F233A"/>
    <w:rsid w:val="005F2DB6"/>
    <w:rsid w:val="005F421C"/>
    <w:rsid w:val="005F4A2D"/>
    <w:rsid w:val="005F4F34"/>
    <w:rsid w:val="005F5F5E"/>
    <w:rsid w:val="00600D4D"/>
    <w:rsid w:val="00601A93"/>
    <w:rsid w:val="0060437F"/>
    <w:rsid w:val="00606A25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32F4"/>
    <w:rsid w:val="00635EF8"/>
    <w:rsid w:val="00635FB5"/>
    <w:rsid w:val="006377A6"/>
    <w:rsid w:val="00641389"/>
    <w:rsid w:val="00641A01"/>
    <w:rsid w:val="00642DCE"/>
    <w:rsid w:val="00646C99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67DE9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4D8"/>
    <w:rsid w:val="00682A06"/>
    <w:rsid w:val="00683D29"/>
    <w:rsid w:val="00684AD6"/>
    <w:rsid w:val="00685F6E"/>
    <w:rsid w:val="00687E77"/>
    <w:rsid w:val="00694120"/>
    <w:rsid w:val="00695B98"/>
    <w:rsid w:val="00697ABD"/>
    <w:rsid w:val="006A1BC5"/>
    <w:rsid w:val="006A2012"/>
    <w:rsid w:val="006A2720"/>
    <w:rsid w:val="006A2850"/>
    <w:rsid w:val="006A46F3"/>
    <w:rsid w:val="006A56FE"/>
    <w:rsid w:val="006A607E"/>
    <w:rsid w:val="006A7E31"/>
    <w:rsid w:val="006A7EE7"/>
    <w:rsid w:val="006B12E3"/>
    <w:rsid w:val="006B1862"/>
    <w:rsid w:val="006B56D9"/>
    <w:rsid w:val="006B572E"/>
    <w:rsid w:val="006B5AAB"/>
    <w:rsid w:val="006B5CD4"/>
    <w:rsid w:val="006B6043"/>
    <w:rsid w:val="006B77A2"/>
    <w:rsid w:val="006B7ADD"/>
    <w:rsid w:val="006B7CA8"/>
    <w:rsid w:val="006C260F"/>
    <w:rsid w:val="006C3B47"/>
    <w:rsid w:val="006C4181"/>
    <w:rsid w:val="006C61D0"/>
    <w:rsid w:val="006D0E9D"/>
    <w:rsid w:val="006D1020"/>
    <w:rsid w:val="006D66BE"/>
    <w:rsid w:val="006D7A3B"/>
    <w:rsid w:val="006E2B41"/>
    <w:rsid w:val="006E2D03"/>
    <w:rsid w:val="006E3904"/>
    <w:rsid w:val="006E4BDC"/>
    <w:rsid w:val="006E6760"/>
    <w:rsid w:val="006E6CF1"/>
    <w:rsid w:val="006F34C0"/>
    <w:rsid w:val="00700C8A"/>
    <w:rsid w:val="0070181C"/>
    <w:rsid w:val="007020DA"/>
    <w:rsid w:val="00704D15"/>
    <w:rsid w:val="00705337"/>
    <w:rsid w:val="00705EA5"/>
    <w:rsid w:val="0070608E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3401"/>
    <w:rsid w:val="00727866"/>
    <w:rsid w:val="00730B9B"/>
    <w:rsid w:val="0073102D"/>
    <w:rsid w:val="00733428"/>
    <w:rsid w:val="00734691"/>
    <w:rsid w:val="00734FEE"/>
    <w:rsid w:val="007352B0"/>
    <w:rsid w:val="00735B1A"/>
    <w:rsid w:val="00736C10"/>
    <w:rsid w:val="00736DCF"/>
    <w:rsid w:val="007375B5"/>
    <w:rsid w:val="007400B2"/>
    <w:rsid w:val="0074033A"/>
    <w:rsid w:val="00740A41"/>
    <w:rsid w:val="0074264C"/>
    <w:rsid w:val="00743CF3"/>
    <w:rsid w:val="00745853"/>
    <w:rsid w:val="0074646C"/>
    <w:rsid w:val="00746B73"/>
    <w:rsid w:val="00751273"/>
    <w:rsid w:val="007522A5"/>
    <w:rsid w:val="007538C0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67262"/>
    <w:rsid w:val="007713F4"/>
    <w:rsid w:val="00771EDC"/>
    <w:rsid w:val="00772CAC"/>
    <w:rsid w:val="007734BE"/>
    <w:rsid w:val="0077358A"/>
    <w:rsid w:val="00773AE4"/>
    <w:rsid w:val="0077519A"/>
    <w:rsid w:val="00775D8C"/>
    <w:rsid w:val="007804B9"/>
    <w:rsid w:val="007845CD"/>
    <w:rsid w:val="00784610"/>
    <w:rsid w:val="00784A00"/>
    <w:rsid w:val="00784D00"/>
    <w:rsid w:val="00784D69"/>
    <w:rsid w:val="00786AB6"/>
    <w:rsid w:val="00787F23"/>
    <w:rsid w:val="007925FD"/>
    <w:rsid w:val="007928D2"/>
    <w:rsid w:val="0079417C"/>
    <w:rsid w:val="00795102"/>
    <w:rsid w:val="007955B3"/>
    <w:rsid w:val="00796289"/>
    <w:rsid w:val="0079663B"/>
    <w:rsid w:val="0079793D"/>
    <w:rsid w:val="007A1CA4"/>
    <w:rsid w:val="007A3754"/>
    <w:rsid w:val="007A49B0"/>
    <w:rsid w:val="007A502F"/>
    <w:rsid w:val="007A5307"/>
    <w:rsid w:val="007A5F6A"/>
    <w:rsid w:val="007A6EAB"/>
    <w:rsid w:val="007A76D4"/>
    <w:rsid w:val="007A7E6D"/>
    <w:rsid w:val="007B1C8F"/>
    <w:rsid w:val="007B2F0F"/>
    <w:rsid w:val="007B51D5"/>
    <w:rsid w:val="007B5290"/>
    <w:rsid w:val="007B77F2"/>
    <w:rsid w:val="007C1899"/>
    <w:rsid w:val="007C68DE"/>
    <w:rsid w:val="007C7AF3"/>
    <w:rsid w:val="007D20B0"/>
    <w:rsid w:val="007D2939"/>
    <w:rsid w:val="007D2B47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6C53"/>
    <w:rsid w:val="007F7097"/>
    <w:rsid w:val="007F76DE"/>
    <w:rsid w:val="00800479"/>
    <w:rsid w:val="00801AC6"/>
    <w:rsid w:val="0080474D"/>
    <w:rsid w:val="00805A3F"/>
    <w:rsid w:val="00814F7F"/>
    <w:rsid w:val="00816A7A"/>
    <w:rsid w:val="008206F8"/>
    <w:rsid w:val="008232B2"/>
    <w:rsid w:val="00823A72"/>
    <w:rsid w:val="008254EC"/>
    <w:rsid w:val="00826CDC"/>
    <w:rsid w:val="0082796E"/>
    <w:rsid w:val="00827D44"/>
    <w:rsid w:val="00830F4A"/>
    <w:rsid w:val="0083202C"/>
    <w:rsid w:val="0084003A"/>
    <w:rsid w:val="008436E3"/>
    <w:rsid w:val="00844266"/>
    <w:rsid w:val="008445D5"/>
    <w:rsid w:val="00846E81"/>
    <w:rsid w:val="00847C6D"/>
    <w:rsid w:val="00854DBE"/>
    <w:rsid w:val="00855D27"/>
    <w:rsid w:val="00855F45"/>
    <w:rsid w:val="008561BF"/>
    <w:rsid w:val="008569DC"/>
    <w:rsid w:val="00856C41"/>
    <w:rsid w:val="00857510"/>
    <w:rsid w:val="00860154"/>
    <w:rsid w:val="00861095"/>
    <w:rsid w:val="00862195"/>
    <w:rsid w:val="0086400C"/>
    <w:rsid w:val="00866AB8"/>
    <w:rsid w:val="00870EDF"/>
    <w:rsid w:val="00871A5E"/>
    <w:rsid w:val="00880BFF"/>
    <w:rsid w:val="00882A8C"/>
    <w:rsid w:val="00884816"/>
    <w:rsid w:val="00884C12"/>
    <w:rsid w:val="008854A1"/>
    <w:rsid w:val="0088587E"/>
    <w:rsid w:val="008859A1"/>
    <w:rsid w:val="008866C4"/>
    <w:rsid w:val="00891959"/>
    <w:rsid w:val="008925C3"/>
    <w:rsid w:val="008938D4"/>
    <w:rsid w:val="00894334"/>
    <w:rsid w:val="00894D39"/>
    <w:rsid w:val="00897184"/>
    <w:rsid w:val="0089783F"/>
    <w:rsid w:val="008A073A"/>
    <w:rsid w:val="008A08AB"/>
    <w:rsid w:val="008A0BCC"/>
    <w:rsid w:val="008A0DF8"/>
    <w:rsid w:val="008A38B6"/>
    <w:rsid w:val="008A519A"/>
    <w:rsid w:val="008A5F13"/>
    <w:rsid w:val="008A692A"/>
    <w:rsid w:val="008A7D01"/>
    <w:rsid w:val="008B0B21"/>
    <w:rsid w:val="008B1089"/>
    <w:rsid w:val="008B1CD9"/>
    <w:rsid w:val="008B48F5"/>
    <w:rsid w:val="008B4AE0"/>
    <w:rsid w:val="008B4F43"/>
    <w:rsid w:val="008B65E7"/>
    <w:rsid w:val="008B7EEF"/>
    <w:rsid w:val="008C0351"/>
    <w:rsid w:val="008C0445"/>
    <w:rsid w:val="008C16AA"/>
    <w:rsid w:val="008C24EE"/>
    <w:rsid w:val="008C35F5"/>
    <w:rsid w:val="008C3F55"/>
    <w:rsid w:val="008C6A7E"/>
    <w:rsid w:val="008C74FC"/>
    <w:rsid w:val="008D0AF5"/>
    <w:rsid w:val="008D19AF"/>
    <w:rsid w:val="008D2E88"/>
    <w:rsid w:val="008D31F9"/>
    <w:rsid w:val="008D51D2"/>
    <w:rsid w:val="008D768F"/>
    <w:rsid w:val="008D775E"/>
    <w:rsid w:val="008D7FB2"/>
    <w:rsid w:val="008E1A73"/>
    <w:rsid w:val="008E274A"/>
    <w:rsid w:val="008E3075"/>
    <w:rsid w:val="008E4802"/>
    <w:rsid w:val="008E52A1"/>
    <w:rsid w:val="008F09EE"/>
    <w:rsid w:val="008F1952"/>
    <w:rsid w:val="008F26FE"/>
    <w:rsid w:val="008F30DC"/>
    <w:rsid w:val="008F4D99"/>
    <w:rsid w:val="008F7FBC"/>
    <w:rsid w:val="0090014C"/>
    <w:rsid w:val="00901043"/>
    <w:rsid w:val="00901823"/>
    <w:rsid w:val="00901CAB"/>
    <w:rsid w:val="00902108"/>
    <w:rsid w:val="00902D02"/>
    <w:rsid w:val="00906957"/>
    <w:rsid w:val="00907849"/>
    <w:rsid w:val="00907D90"/>
    <w:rsid w:val="00911DEF"/>
    <w:rsid w:val="00911E60"/>
    <w:rsid w:val="00917E50"/>
    <w:rsid w:val="00920234"/>
    <w:rsid w:val="009230D2"/>
    <w:rsid w:val="0092316A"/>
    <w:rsid w:val="009233D4"/>
    <w:rsid w:val="00923A09"/>
    <w:rsid w:val="00924D17"/>
    <w:rsid w:val="00932692"/>
    <w:rsid w:val="00934E14"/>
    <w:rsid w:val="00937410"/>
    <w:rsid w:val="0093764F"/>
    <w:rsid w:val="00942284"/>
    <w:rsid w:val="00942884"/>
    <w:rsid w:val="00942AAD"/>
    <w:rsid w:val="009433CB"/>
    <w:rsid w:val="00943F0A"/>
    <w:rsid w:val="00945A62"/>
    <w:rsid w:val="0095000E"/>
    <w:rsid w:val="009510C9"/>
    <w:rsid w:val="00952BF6"/>
    <w:rsid w:val="00954A98"/>
    <w:rsid w:val="00954C0F"/>
    <w:rsid w:val="0095594C"/>
    <w:rsid w:val="00956237"/>
    <w:rsid w:val="00956AF2"/>
    <w:rsid w:val="00956EDB"/>
    <w:rsid w:val="00961E60"/>
    <w:rsid w:val="00962088"/>
    <w:rsid w:val="00964578"/>
    <w:rsid w:val="00964BD0"/>
    <w:rsid w:val="00967888"/>
    <w:rsid w:val="009712BF"/>
    <w:rsid w:val="00976FDA"/>
    <w:rsid w:val="009771DE"/>
    <w:rsid w:val="00980D90"/>
    <w:rsid w:val="009814FB"/>
    <w:rsid w:val="009821BE"/>
    <w:rsid w:val="0098235E"/>
    <w:rsid w:val="00982EE2"/>
    <w:rsid w:val="00984B7D"/>
    <w:rsid w:val="00984D84"/>
    <w:rsid w:val="00984EBF"/>
    <w:rsid w:val="00985400"/>
    <w:rsid w:val="00985690"/>
    <w:rsid w:val="009863FB"/>
    <w:rsid w:val="0098770C"/>
    <w:rsid w:val="00987BEB"/>
    <w:rsid w:val="00990825"/>
    <w:rsid w:val="00990A83"/>
    <w:rsid w:val="009911BA"/>
    <w:rsid w:val="00992B0E"/>
    <w:rsid w:val="00993A99"/>
    <w:rsid w:val="00993E16"/>
    <w:rsid w:val="009961A1"/>
    <w:rsid w:val="00996384"/>
    <w:rsid w:val="0099748F"/>
    <w:rsid w:val="009A04A3"/>
    <w:rsid w:val="009A04FC"/>
    <w:rsid w:val="009A0779"/>
    <w:rsid w:val="009A151A"/>
    <w:rsid w:val="009A1E53"/>
    <w:rsid w:val="009A5110"/>
    <w:rsid w:val="009A58F6"/>
    <w:rsid w:val="009A600A"/>
    <w:rsid w:val="009B013C"/>
    <w:rsid w:val="009B07E4"/>
    <w:rsid w:val="009B1696"/>
    <w:rsid w:val="009B19D2"/>
    <w:rsid w:val="009B3B6C"/>
    <w:rsid w:val="009B4D2C"/>
    <w:rsid w:val="009B5164"/>
    <w:rsid w:val="009B54DF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6353"/>
    <w:rsid w:val="009D7A85"/>
    <w:rsid w:val="009E613A"/>
    <w:rsid w:val="009E6E57"/>
    <w:rsid w:val="009E78CF"/>
    <w:rsid w:val="009F0F5C"/>
    <w:rsid w:val="009F17DB"/>
    <w:rsid w:val="009F226B"/>
    <w:rsid w:val="009F353C"/>
    <w:rsid w:val="009F478A"/>
    <w:rsid w:val="009F5131"/>
    <w:rsid w:val="009F7ADA"/>
    <w:rsid w:val="009F7F09"/>
    <w:rsid w:val="00A006AE"/>
    <w:rsid w:val="00A007A8"/>
    <w:rsid w:val="00A013DA"/>
    <w:rsid w:val="00A017AA"/>
    <w:rsid w:val="00A02A46"/>
    <w:rsid w:val="00A040DB"/>
    <w:rsid w:val="00A05C87"/>
    <w:rsid w:val="00A065D2"/>
    <w:rsid w:val="00A113DF"/>
    <w:rsid w:val="00A11A5B"/>
    <w:rsid w:val="00A12347"/>
    <w:rsid w:val="00A13C74"/>
    <w:rsid w:val="00A14048"/>
    <w:rsid w:val="00A14408"/>
    <w:rsid w:val="00A15429"/>
    <w:rsid w:val="00A201E6"/>
    <w:rsid w:val="00A206F0"/>
    <w:rsid w:val="00A23DF7"/>
    <w:rsid w:val="00A2478F"/>
    <w:rsid w:val="00A2520B"/>
    <w:rsid w:val="00A27D2F"/>
    <w:rsid w:val="00A27E34"/>
    <w:rsid w:val="00A300B4"/>
    <w:rsid w:val="00A3092D"/>
    <w:rsid w:val="00A30A34"/>
    <w:rsid w:val="00A31426"/>
    <w:rsid w:val="00A33748"/>
    <w:rsid w:val="00A367FE"/>
    <w:rsid w:val="00A370EE"/>
    <w:rsid w:val="00A37B3F"/>
    <w:rsid w:val="00A40DBF"/>
    <w:rsid w:val="00A41710"/>
    <w:rsid w:val="00A466C7"/>
    <w:rsid w:val="00A51400"/>
    <w:rsid w:val="00A52026"/>
    <w:rsid w:val="00A526CC"/>
    <w:rsid w:val="00A52B1E"/>
    <w:rsid w:val="00A53184"/>
    <w:rsid w:val="00A53B5C"/>
    <w:rsid w:val="00A540A0"/>
    <w:rsid w:val="00A54F8A"/>
    <w:rsid w:val="00A56056"/>
    <w:rsid w:val="00A60181"/>
    <w:rsid w:val="00A6165E"/>
    <w:rsid w:val="00A61F61"/>
    <w:rsid w:val="00A62E72"/>
    <w:rsid w:val="00A63574"/>
    <w:rsid w:val="00A63E03"/>
    <w:rsid w:val="00A64866"/>
    <w:rsid w:val="00A66F08"/>
    <w:rsid w:val="00A67D72"/>
    <w:rsid w:val="00A67EAD"/>
    <w:rsid w:val="00A70408"/>
    <w:rsid w:val="00A7043B"/>
    <w:rsid w:val="00A71887"/>
    <w:rsid w:val="00A71CDE"/>
    <w:rsid w:val="00A72D18"/>
    <w:rsid w:val="00A74507"/>
    <w:rsid w:val="00A7678F"/>
    <w:rsid w:val="00A77CC3"/>
    <w:rsid w:val="00A801B3"/>
    <w:rsid w:val="00A80511"/>
    <w:rsid w:val="00A80779"/>
    <w:rsid w:val="00A80F2D"/>
    <w:rsid w:val="00A81FDA"/>
    <w:rsid w:val="00A82DF3"/>
    <w:rsid w:val="00A832F2"/>
    <w:rsid w:val="00A83EC0"/>
    <w:rsid w:val="00A84215"/>
    <w:rsid w:val="00A85CA2"/>
    <w:rsid w:val="00A8673A"/>
    <w:rsid w:val="00A87ABA"/>
    <w:rsid w:val="00A87C2E"/>
    <w:rsid w:val="00A87E89"/>
    <w:rsid w:val="00A903CE"/>
    <w:rsid w:val="00A92DBA"/>
    <w:rsid w:val="00A93946"/>
    <w:rsid w:val="00A94C0C"/>
    <w:rsid w:val="00A9547D"/>
    <w:rsid w:val="00A9714F"/>
    <w:rsid w:val="00AA1F52"/>
    <w:rsid w:val="00AA2BC3"/>
    <w:rsid w:val="00AA3052"/>
    <w:rsid w:val="00AA77E1"/>
    <w:rsid w:val="00AB02C8"/>
    <w:rsid w:val="00AB2924"/>
    <w:rsid w:val="00AB32D6"/>
    <w:rsid w:val="00AB3B23"/>
    <w:rsid w:val="00AB52CE"/>
    <w:rsid w:val="00AB6470"/>
    <w:rsid w:val="00AB6EB5"/>
    <w:rsid w:val="00AB760E"/>
    <w:rsid w:val="00AB7981"/>
    <w:rsid w:val="00AC0A67"/>
    <w:rsid w:val="00AC1A91"/>
    <w:rsid w:val="00AD37FA"/>
    <w:rsid w:val="00AD43AA"/>
    <w:rsid w:val="00AD5BE0"/>
    <w:rsid w:val="00AD5E80"/>
    <w:rsid w:val="00AD62E3"/>
    <w:rsid w:val="00AD6D85"/>
    <w:rsid w:val="00AD7B21"/>
    <w:rsid w:val="00AE0046"/>
    <w:rsid w:val="00AE01E4"/>
    <w:rsid w:val="00AE0470"/>
    <w:rsid w:val="00AE2B0F"/>
    <w:rsid w:val="00AE2B17"/>
    <w:rsid w:val="00AE3C3B"/>
    <w:rsid w:val="00AE4B0A"/>
    <w:rsid w:val="00AE568F"/>
    <w:rsid w:val="00AE602B"/>
    <w:rsid w:val="00AE6BFB"/>
    <w:rsid w:val="00AF064A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2C19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276E9"/>
    <w:rsid w:val="00B30B3B"/>
    <w:rsid w:val="00B317D7"/>
    <w:rsid w:val="00B31A6E"/>
    <w:rsid w:val="00B3253A"/>
    <w:rsid w:val="00B32BF1"/>
    <w:rsid w:val="00B340B0"/>
    <w:rsid w:val="00B34179"/>
    <w:rsid w:val="00B41312"/>
    <w:rsid w:val="00B41E74"/>
    <w:rsid w:val="00B4287A"/>
    <w:rsid w:val="00B43092"/>
    <w:rsid w:val="00B4718A"/>
    <w:rsid w:val="00B51AB2"/>
    <w:rsid w:val="00B51BE8"/>
    <w:rsid w:val="00B52709"/>
    <w:rsid w:val="00B535DE"/>
    <w:rsid w:val="00B579D7"/>
    <w:rsid w:val="00B57ECD"/>
    <w:rsid w:val="00B623CD"/>
    <w:rsid w:val="00B63C8E"/>
    <w:rsid w:val="00B64E12"/>
    <w:rsid w:val="00B651F0"/>
    <w:rsid w:val="00B65C80"/>
    <w:rsid w:val="00B70720"/>
    <w:rsid w:val="00B707FF"/>
    <w:rsid w:val="00B723B1"/>
    <w:rsid w:val="00B74679"/>
    <w:rsid w:val="00B74911"/>
    <w:rsid w:val="00B82FE0"/>
    <w:rsid w:val="00B85130"/>
    <w:rsid w:val="00B8518D"/>
    <w:rsid w:val="00B86BCE"/>
    <w:rsid w:val="00B87EB0"/>
    <w:rsid w:val="00B9142C"/>
    <w:rsid w:val="00B91BD7"/>
    <w:rsid w:val="00B936EE"/>
    <w:rsid w:val="00B961AE"/>
    <w:rsid w:val="00B966C0"/>
    <w:rsid w:val="00B966CA"/>
    <w:rsid w:val="00BA11A3"/>
    <w:rsid w:val="00BA3AAC"/>
    <w:rsid w:val="00BA3CB1"/>
    <w:rsid w:val="00BA4753"/>
    <w:rsid w:val="00BA6080"/>
    <w:rsid w:val="00BB0087"/>
    <w:rsid w:val="00BB019E"/>
    <w:rsid w:val="00BB22AD"/>
    <w:rsid w:val="00BB37DB"/>
    <w:rsid w:val="00BB7261"/>
    <w:rsid w:val="00BC3028"/>
    <w:rsid w:val="00BC4B8E"/>
    <w:rsid w:val="00BC63C5"/>
    <w:rsid w:val="00BC661A"/>
    <w:rsid w:val="00BD1FEE"/>
    <w:rsid w:val="00BD56F0"/>
    <w:rsid w:val="00BD6B8C"/>
    <w:rsid w:val="00BE0E03"/>
    <w:rsid w:val="00BE145E"/>
    <w:rsid w:val="00BE5B44"/>
    <w:rsid w:val="00BE7EA9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2FA2"/>
    <w:rsid w:val="00C14773"/>
    <w:rsid w:val="00C14936"/>
    <w:rsid w:val="00C15F8B"/>
    <w:rsid w:val="00C2018E"/>
    <w:rsid w:val="00C2173C"/>
    <w:rsid w:val="00C22BB8"/>
    <w:rsid w:val="00C23F62"/>
    <w:rsid w:val="00C24CB3"/>
    <w:rsid w:val="00C2600B"/>
    <w:rsid w:val="00C3065E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0A23"/>
    <w:rsid w:val="00C424C8"/>
    <w:rsid w:val="00C42E43"/>
    <w:rsid w:val="00C45B97"/>
    <w:rsid w:val="00C4676C"/>
    <w:rsid w:val="00C519BC"/>
    <w:rsid w:val="00C574A9"/>
    <w:rsid w:val="00C61D20"/>
    <w:rsid w:val="00C636B4"/>
    <w:rsid w:val="00C64857"/>
    <w:rsid w:val="00C66875"/>
    <w:rsid w:val="00C6794F"/>
    <w:rsid w:val="00C67C18"/>
    <w:rsid w:val="00C70392"/>
    <w:rsid w:val="00C730D3"/>
    <w:rsid w:val="00C73C11"/>
    <w:rsid w:val="00C73E61"/>
    <w:rsid w:val="00C74C3F"/>
    <w:rsid w:val="00C7510E"/>
    <w:rsid w:val="00C76F21"/>
    <w:rsid w:val="00C804C8"/>
    <w:rsid w:val="00C844EB"/>
    <w:rsid w:val="00C85378"/>
    <w:rsid w:val="00C85728"/>
    <w:rsid w:val="00C85773"/>
    <w:rsid w:val="00C85ECE"/>
    <w:rsid w:val="00C87F37"/>
    <w:rsid w:val="00C90AD0"/>
    <w:rsid w:val="00C90BD8"/>
    <w:rsid w:val="00C90E4D"/>
    <w:rsid w:val="00C92874"/>
    <w:rsid w:val="00C949DA"/>
    <w:rsid w:val="00C95753"/>
    <w:rsid w:val="00C96EEE"/>
    <w:rsid w:val="00CA15A5"/>
    <w:rsid w:val="00CA2048"/>
    <w:rsid w:val="00CA4F21"/>
    <w:rsid w:val="00CA52D9"/>
    <w:rsid w:val="00CA583D"/>
    <w:rsid w:val="00CA6D7F"/>
    <w:rsid w:val="00CA710D"/>
    <w:rsid w:val="00CB05EB"/>
    <w:rsid w:val="00CB2773"/>
    <w:rsid w:val="00CB29CB"/>
    <w:rsid w:val="00CB3978"/>
    <w:rsid w:val="00CB4D38"/>
    <w:rsid w:val="00CB513B"/>
    <w:rsid w:val="00CB53EA"/>
    <w:rsid w:val="00CB69AA"/>
    <w:rsid w:val="00CC022D"/>
    <w:rsid w:val="00CC3FFB"/>
    <w:rsid w:val="00CC4394"/>
    <w:rsid w:val="00CC61C1"/>
    <w:rsid w:val="00CD1708"/>
    <w:rsid w:val="00CD2AAB"/>
    <w:rsid w:val="00CD61A2"/>
    <w:rsid w:val="00CE2693"/>
    <w:rsid w:val="00CE2F84"/>
    <w:rsid w:val="00CE3499"/>
    <w:rsid w:val="00CE43C4"/>
    <w:rsid w:val="00CF1467"/>
    <w:rsid w:val="00CF2661"/>
    <w:rsid w:val="00CF7A1E"/>
    <w:rsid w:val="00D00244"/>
    <w:rsid w:val="00D01931"/>
    <w:rsid w:val="00D01B51"/>
    <w:rsid w:val="00D030E3"/>
    <w:rsid w:val="00D04382"/>
    <w:rsid w:val="00D04C25"/>
    <w:rsid w:val="00D04D7E"/>
    <w:rsid w:val="00D07D3B"/>
    <w:rsid w:val="00D10910"/>
    <w:rsid w:val="00D1154B"/>
    <w:rsid w:val="00D12BB9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3B2"/>
    <w:rsid w:val="00D36C9D"/>
    <w:rsid w:val="00D40742"/>
    <w:rsid w:val="00D41C3D"/>
    <w:rsid w:val="00D4393C"/>
    <w:rsid w:val="00D44A5B"/>
    <w:rsid w:val="00D456F6"/>
    <w:rsid w:val="00D4692A"/>
    <w:rsid w:val="00D4716F"/>
    <w:rsid w:val="00D4726C"/>
    <w:rsid w:val="00D508C1"/>
    <w:rsid w:val="00D50920"/>
    <w:rsid w:val="00D5093C"/>
    <w:rsid w:val="00D511B9"/>
    <w:rsid w:val="00D5120B"/>
    <w:rsid w:val="00D515C2"/>
    <w:rsid w:val="00D52922"/>
    <w:rsid w:val="00D5459B"/>
    <w:rsid w:val="00D54C56"/>
    <w:rsid w:val="00D55721"/>
    <w:rsid w:val="00D56FD6"/>
    <w:rsid w:val="00D57AE3"/>
    <w:rsid w:val="00D57CC2"/>
    <w:rsid w:val="00D60019"/>
    <w:rsid w:val="00D60607"/>
    <w:rsid w:val="00D614ED"/>
    <w:rsid w:val="00D61C44"/>
    <w:rsid w:val="00D703BD"/>
    <w:rsid w:val="00D705DF"/>
    <w:rsid w:val="00D705E0"/>
    <w:rsid w:val="00D71A82"/>
    <w:rsid w:val="00D732F3"/>
    <w:rsid w:val="00D740F2"/>
    <w:rsid w:val="00D749DC"/>
    <w:rsid w:val="00D74F75"/>
    <w:rsid w:val="00D754FB"/>
    <w:rsid w:val="00D77995"/>
    <w:rsid w:val="00D83DCD"/>
    <w:rsid w:val="00D8530F"/>
    <w:rsid w:val="00D85E58"/>
    <w:rsid w:val="00D93044"/>
    <w:rsid w:val="00D93AA5"/>
    <w:rsid w:val="00D9560F"/>
    <w:rsid w:val="00D973D9"/>
    <w:rsid w:val="00D97D7F"/>
    <w:rsid w:val="00DA25F9"/>
    <w:rsid w:val="00DA28EF"/>
    <w:rsid w:val="00DA4413"/>
    <w:rsid w:val="00DA5658"/>
    <w:rsid w:val="00DA60A3"/>
    <w:rsid w:val="00DA6A5A"/>
    <w:rsid w:val="00DA7C0F"/>
    <w:rsid w:val="00DB00E1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790"/>
    <w:rsid w:val="00DE2F5A"/>
    <w:rsid w:val="00DE30AA"/>
    <w:rsid w:val="00DE39A1"/>
    <w:rsid w:val="00DE3BD4"/>
    <w:rsid w:val="00DE573A"/>
    <w:rsid w:val="00DE6199"/>
    <w:rsid w:val="00DE729A"/>
    <w:rsid w:val="00DF03D2"/>
    <w:rsid w:val="00DF0C0B"/>
    <w:rsid w:val="00DF17EA"/>
    <w:rsid w:val="00DF23FC"/>
    <w:rsid w:val="00DF28D9"/>
    <w:rsid w:val="00DF306B"/>
    <w:rsid w:val="00DF342B"/>
    <w:rsid w:val="00DF4013"/>
    <w:rsid w:val="00DF61A7"/>
    <w:rsid w:val="00DF6963"/>
    <w:rsid w:val="00DF6E04"/>
    <w:rsid w:val="00E00900"/>
    <w:rsid w:val="00E030BF"/>
    <w:rsid w:val="00E03B08"/>
    <w:rsid w:val="00E03EE2"/>
    <w:rsid w:val="00E04E5A"/>
    <w:rsid w:val="00E069F9"/>
    <w:rsid w:val="00E07355"/>
    <w:rsid w:val="00E113B5"/>
    <w:rsid w:val="00E11C5E"/>
    <w:rsid w:val="00E122C1"/>
    <w:rsid w:val="00E139F6"/>
    <w:rsid w:val="00E1556A"/>
    <w:rsid w:val="00E166FF"/>
    <w:rsid w:val="00E16AE3"/>
    <w:rsid w:val="00E17BE1"/>
    <w:rsid w:val="00E22E4D"/>
    <w:rsid w:val="00E24F55"/>
    <w:rsid w:val="00E33DF9"/>
    <w:rsid w:val="00E35A6D"/>
    <w:rsid w:val="00E35D0B"/>
    <w:rsid w:val="00E36C12"/>
    <w:rsid w:val="00E37524"/>
    <w:rsid w:val="00E443CD"/>
    <w:rsid w:val="00E4469D"/>
    <w:rsid w:val="00E4558A"/>
    <w:rsid w:val="00E46745"/>
    <w:rsid w:val="00E4684D"/>
    <w:rsid w:val="00E46AA0"/>
    <w:rsid w:val="00E5165B"/>
    <w:rsid w:val="00E53689"/>
    <w:rsid w:val="00E5488C"/>
    <w:rsid w:val="00E55F5F"/>
    <w:rsid w:val="00E57270"/>
    <w:rsid w:val="00E608D6"/>
    <w:rsid w:val="00E60FDB"/>
    <w:rsid w:val="00E61385"/>
    <w:rsid w:val="00E62EBD"/>
    <w:rsid w:val="00E64723"/>
    <w:rsid w:val="00E65428"/>
    <w:rsid w:val="00E67ED8"/>
    <w:rsid w:val="00E701D4"/>
    <w:rsid w:val="00E7029F"/>
    <w:rsid w:val="00E724C3"/>
    <w:rsid w:val="00E72BAF"/>
    <w:rsid w:val="00E72F90"/>
    <w:rsid w:val="00E74892"/>
    <w:rsid w:val="00E77A04"/>
    <w:rsid w:val="00E81600"/>
    <w:rsid w:val="00E81D92"/>
    <w:rsid w:val="00E8220C"/>
    <w:rsid w:val="00E82C89"/>
    <w:rsid w:val="00E83F7E"/>
    <w:rsid w:val="00EA1A81"/>
    <w:rsid w:val="00EA4AC5"/>
    <w:rsid w:val="00EA5F2D"/>
    <w:rsid w:val="00EA6704"/>
    <w:rsid w:val="00EB4311"/>
    <w:rsid w:val="00EB568E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037A"/>
    <w:rsid w:val="00EE12FE"/>
    <w:rsid w:val="00EE1BB1"/>
    <w:rsid w:val="00EE1BFB"/>
    <w:rsid w:val="00EE4996"/>
    <w:rsid w:val="00EE7769"/>
    <w:rsid w:val="00EF2519"/>
    <w:rsid w:val="00EF56F5"/>
    <w:rsid w:val="00EF7841"/>
    <w:rsid w:val="00EF7A0C"/>
    <w:rsid w:val="00F03004"/>
    <w:rsid w:val="00F04F79"/>
    <w:rsid w:val="00F055BE"/>
    <w:rsid w:val="00F05801"/>
    <w:rsid w:val="00F059EB"/>
    <w:rsid w:val="00F1009E"/>
    <w:rsid w:val="00F11188"/>
    <w:rsid w:val="00F1179F"/>
    <w:rsid w:val="00F12897"/>
    <w:rsid w:val="00F16417"/>
    <w:rsid w:val="00F172E6"/>
    <w:rsid w:val="00F179C3"/>
    <w:rsid w:val="00F206DC"/>
    <w:rsid w:val="00F22E0D"/>
    <w:rsid w:val="00F25CCA"/>
    <w:rsid w:val="00F2652B"/>
    <w:rsid w:val="00F325D6"/>
    <w:rsid w:val="00F344CC"/>
    <w:rsid w:val="00F40F84"/>
    <w:rsid w:val="00F411F9"/>
    <w:rsid w:val="00F433FB"/>
    <w:rsid w:val="00F45EDD"/>
    <w:rsid w:val="00F4711C"/>
    <w:rsid w:val="00F500B8"/>
    <w:rsid w:val="00F51E2D"/>
    <w:rsid w:val="00F53835"/>
    <w:rsid w:val="00F53A21"/>
    <w:rsid w:val="00F5468F"/>
    <w:rsid w:val="00F547E7"/>
    <w:rsid w:val="00F57E11"/>
    <w:rsid w:val="00F611B4"/>
    <w:rsid w:val="00F64722"/>
    <w:rsid w:val="00F66DBC"/>
    <w:rsid w:val="00F66F92"/>
    <w:rsid w:val="00F676D7"/>
    <w:rsid w:val="00F70605"/>
    <w:rsid w:val="00F70709"/>
    <w:rsid w:val="00F70847"/>
    <w:rsid w:val="00F70AF1"/>
    <w:rsid w:val="00F70B29"/>
    <w:rsid w:val="00F736F2"/>
    <w:rsid w:val="00F737C9"/>
    <w:rsid w:val="00F75ECB"/>
    <w:rsid w:val="00F76241"/>
    <w:rsid w:val="00F76F93"/>
    <w:rsid w:val="00F774CA"/>
    <w:rsid w:val="00F7792C"/>
    <w:rsid w:val="00F779A8"/>
    <w:rsid w:val="00F77E92"/>
    <w:rsid w:val="00F824C8"/>
    <w:rsid w:val="00F84D36"/>
    <w:rsid w:val="00F85B60"/>
    <w:rsid w:val="00F91936"/>
    <w:rsid w:val="00F91B7A"/>
    <w:rsid w:val="00F9250D"/>
    <w:rsid w:val="00F925C6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3F60"/>
    <w:rsid w:val="00FA4FAE"/>
    <w:rsid w:val="00FA59EC"/>
    <w:rsid w:val="00FA79FC"/>
    <w:rsid w:val="00FB0735"/>
    <w:rsid w:val="00FB0851"/>
    <w:rsid w:val="00FB13B2"/>
    <w:rsid w:val="00FB150F"/>
    <w:rsid w:val="00FB5D78"/>
    <w:rsid w:val="00FB5DA5"/>
    <w:rsid w:val="00FC0869"/>
    <w:rsid w:val="00FC091C"/>
    <w:rsid w:val="00FC28CB"/>
    <w:rsid w:val="00FC358A"/>
    <w:rsid w:val="00FC5FF0"/>
    <w:rsid w:val="00FC6447"/>
    <w:rsid w:val="00FC6E02"/>
    <w:rsid w:val="00FD07A9"/>
    <w:rsid w:val="00FD3030"/>
    <w:rsid w:val="00FD5095"/>
    <w:rsid w:val="00FD5BBA"/>
    <w:rsid w:val="00FD5BF3"/>
    <w:rsid w:val="00FD5CFC"/>
    <w:rsid w:val="00FD5DFA"/>
    <w:rsid w:val="00FE482A"/>
    <w:rsid w:val="00FE63B8"/>
    <w:rsid w:val="00FF0C94"/>
    <w:rsid w:val="00FF1624"/>
    <w:rsid w:val="00FF17EE"/>
    <w:rsid w:val="00FF37B5"/>
    <w:rsid w:val="00FF46C7"/>
    <w:rsid w:val="00FF6086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6646-5BF5-4DFD-AA80-9586559D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15</cp:revision>
  <dcterms:created xsi:type="dcterms:W3CDTF">2026-04-01T03:55:00Z</dcterms:created>
  <dcterms:modified xsi:type="dcterms:W3CDTF">2026-04-02T05:00:00Z</dcterms:modified>
</cp:coreProperties>
</file>