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C09" w14:textId="77777777" w:rsidR="006A01E0" w:rsidRDefault="00CE0DEF">
      <w:pPr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证券代码：688345                              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sz w:val="24"/>
          <w:szCs w:val="24"/>
        </w:rPr>
        <w:t xml:space="preserve"> 证券简称：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博</w:t>
      </w:r>
      <w:r>
        <w:rPr>
          <w:rFonts w:ascii="宋体" w:eastAsia="宋体" w:hAnsi="宋体"/>
          <w:b/>
          <w:sz w:val="24"/>
          <w:szCs w:val="24"/>
        </w:rPr>
        <w:t>力威</w:t>
      </w:r>
      <w:proofErr w:type="gramEnd"/>
      <w:r>
        <w:rPr>
          <w:rFonts w:ascii="宋体" w:eastAsia="宋体" w:hAnsi="宋体"/>
          <w:b/>
          <w:sz w:val="24"/>
          <w:szCs w:val="24"/>
        </w:rPr>
        <w:t xml:space="preserve"> </w:t>
      </w:r>
    </w:p>
    <w:p w14:paraId="7EE6CF3B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广东</w:t>
      </w:r>
      <w:r>
        <w:rPr>
          <w:rFonts w:ascii="宋体" w:eastAsia="宋体" w:hAnsi="宋体"/>
          <w:b/>
          <w:sz w:val="32"/>
          <w:szCs w:val="32"/>
        </w:rPr>
        <w:t>博力</w:t>
      </w:r>
      <w:r>
        <w:rPr>
          <w:rFonts w:ascii="宋体" w:eastAsia="宋体" w:hAnsi="宋体" w:hint="eastAsia"/>
          <w:b/>
          <w:sz w:val="32"/>
          <w:szCs w:val="32"/>
        </w:rPr>
        <w:t>威</w:t>
      </w:r>
      <w:r>
        <w:rPr>
          <w:rFonts w:ascii="宋体" w:eastAsia="宋体" w:hAnsi="宋体"/>
          <w:b/>
          <w:sz w:val="32"/>
          <w:szCs w:val="32"/>
        </w:rPr>
        <w:t>科技</w:t>
      </w:r>
      <w:r>
        <w:rPr>
          <w:rFonts w:ascii="宋体" w:eastAsia="宋体" w:hAnsi="宋体" w:hint="eastAsia"/>
          <w:b/>
          <w:sz w:val="32"/>
          <w:szCs w:val="32"/>
        </w:rPr>
        <w:t>股份有限公司</w:t>
      </w:r>
    </w:p>
    <w:p w14:paraId="291559DD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9B70C8F" w14:textId="77777777" w:rsidR="006A01E0" w:rsidRDefault="006A01E0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3"/>
      </w:tblGrid>
      <w:tr w:rsidR="006A01E0" w14:paraId="326B2900" w14:textId="77777777">
        <w:tc>
          <w:tcPr>
            <w:tcW w:w="1696" w:type="dxa"/>
            <w:vAlign w:val="center"/>
          </w:tcPr>
          <w:p w14:paraId="040539E0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</w:tcPr>
          <w:p w14:paraId="1D72CDCA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□分析师会议</w:t>
            </w:r>
          </w:p>
          <w:p w14:paraId="442BB42E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□业绩说明会</w:t>
            </w:r>
          </w:p>
          <w:p w14:paraId="031D48B3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□路演活动</w:t>
            </w:r>
          </w:p>
          <w:p w14:paraId="211434BC" w14:textId="01FC2640" w:rsidR="006A01E0" w:rsidRDefault="00B6628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现场参观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电话会议</w:t>
            </w:r>
          </w:p>
          <w:p w14:paraId="31F3EBBE" w14:textId="77777777" w:rsidR="006A01E0" w:rsidRDefault="00CE0DEF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请文字</w:t>
            </w:r>
            <w:proofErr w:type="gramEnd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说明其他活动内容）</w:t>
            </w:r>
          </w:p>
        </w:tc>
      </w:tr>
      <w:tr w:rsidR="006A01E0" w14:paraId="39D8CB00" w14:textId="77777777">
        <w:tc>
          <w:tcPr>
            <w:tcW w:w="1696" w:type="dxa"/>
            <w:vAlign w:val="center"/>
          </w:tcPr>
          <w:p w14:paraId="0662B178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</w:tcPr>
          <w:p w14:paraId="5175A88C" w14:textId="137807DC" w:rsidR="006A01E0" w:rsidRDefault="00CE0DEF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申万宏</w:t>
            </w:r>
            <w:proofErr w:type="gramEnd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源</w:t>
            </w:r>
            <w:r w:rsidR="00B6628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证券</w:t>
            </w:r>
            <w:r w:rsidR="00DF25B9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、国泰海通证券、华鑫证券、</w:t>
            </w:r>
            <w:proofErr w:type="gramStart"/>
            <w:r w:rsidR="00DF25B9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浙商证券</w:t>
            </w:r>
            <w:proofErr w:type="gramEnd"/>
            <w:r w:rsidR="00DF25B9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、华泰柏瑞基金</w:t>
            </w:r>
            <w:r w:rsidR="00FA694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DF25B9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招商基金、</w:t>
            </w:r>
            <w:r w:rsidR="00DF25B9" w:rsidRPr="00DF25B9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汇</w:t>
            </w:r>
            <w:proofErr w:type="gramStart"/>
            <w:r w:rsidR="00DF25B9" w:rsidRPr="00DF25B9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丰晋</w:t>
            </w:r>
            <w:r w:rsidR="00FA694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信</w:t>
            </w:r>
            <w:proofErr w:type="gramEnd"/>
            <w:r w:rsidR="00DF25B9" w:rsidRPr="00DF25B9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基金</w:t>
            </w:r>
            <w:r w:rsidR="00DF25B9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、华夏基金</w:t>
            </w:r>
          </w:p>
        </w:tc>
      </w:tr>
      <w:tr w:rsidR="006A01E0" w14:paraId="3466B6B8" w14:textId="77777777">
        <w:tc>
          <w:tcPr>
            <w:tcW w:w="1696" w:type="dxa"/>
          </w:tcPr>
          <w:p w14:paraId="0CB49919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</w:tcPr>
          <w:p w14:paraId="2913B7CC" w14:textId="0918DBC5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DF25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9112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9112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-2026年4月3日</w:t>
            </w:r>
          </w:p>
        </w:tc>
      </w:tr>
      <w:tr w:rsidR="006A01E0" w14:paraId="1618795D" w14:textId="77777777">
        <w:tc>
          <w:tcPr>
            <w:tcW w:w="1696" w:type="dxa"/>
          </w:tcPr>
          <w:p w14:paraId="4BB0259E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</w:tcPr>
          <w:p w14:paraId="267AD6FF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会议室</w:t>
            </w:r>
          </w:p>
        </w:tc>
      </w:tr>
      <w:tr w:rsidR="006A01E0" w14:paraId="6BA7F09F" w14:textId="77777777">
        <w:tc>
          <w:tcPr>
            <w:tcW w:w="1696" w:type="dxa"/>
          </w:tcPr>
          <w:p w14:paraId="5616F04A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</w:tcPr>
          <w:p w14:paraId="10474045" w14:textId="02A98774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事会秘书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兼财务负责人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王娟</w:t>
            </w:r>
          </w:p>
        </w:tc>
      </w:tr>
      <w:tr w:rsidR="006A01E0" w14:paraId="313129BB" w14:textId="77777777">
        <w:trPr>
          <w:trHeight w:val="699"/>
        </w:trPr>
        <w:tc>
          <w:tcPr>
            <w:tcW w:w="1696" w:type="dxa"/>
            <w:vAlign w:val="center"/>
          </w:tcPr>
          <w:p w14:paraId="5BCA655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</w:tcPr>
          <w:p w14:paraId="5ECBDBFF" w14:textId="781A2714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1、</w:t>
            </w:r>
            <w:r>
              <w:rPr>
                <w:rFonts w:ascii="宋体" w:eastAsia="宋体" w:hAnsi="宋体"/>
                <w:b/>
                <w:szCs w:val="21"/>
              </w:rPr>
              <w:t>公司</w:t>
            </w: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02</w:t>
            </w: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年业务情况介绍</w:t>
            </w:r>
          </w:p>
          <w:p w14:paraId="678ED96C" w14:textId="7E89E0DF" w:rsidR="006A01E0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</w:t>
            </w:r>
            <w:r>
              <w:rPr>
                <w:rFonts w:ascii="宋体" w:eastAsia="宋体" w:hAnsi="宋体" w:hint="eastAsia"/>
                <w:szCs w:val="21"/>
              </w:rPr>
              <w:t>5年，公司实现营业收入</w:t>
            </w:r>
            <w:r w:rsidR="00DF25B9">
              <w:rPr>
                <w:rFonts w:ascii="宋体" w:eastAsia="宋体" w:hAnsi="宋体" w:hint="eastAsia"/>
                <w:szCs w:val="21"/>
              </w:rPr>
              <w:t>27.35</w:t>
            </w:r>
            <w:r>
              <w:rPr>
                <w:rFonts w:ascii="宋体" w:eastAsia="宋体" w:hAnsi="宋体" w:hint="eastAsia"/>
                <w:szCs w:val="21"/>
              </w:rPr>
              <w:t>亿元，同比增长</w:t>
            </w:r>
            <w:r w:rsidR="00DF25B9">
              <w:rPr>
                <w:rFonts w:ascii="宋体" w:eastAsia="宋体" w:hAnsi="宋体" w:hint="eastAsia"/>
                <w:szCs w:val="21"/>
              </w:rPr>
              <w:t>48.33</w:t>
            </w:r>
            <w:r>
              <w:rPr>
                <w:rFonts w:ascii="宋体" w:eastAsia="宋体" w:hAnsi="宋体" w:hint="eastAsia"/>
                <w:szCs w:val="21"/>
              </w:rPr>
              <w:t>%，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归母净利润</w:t>
            </w:r>
            <w:proofErr w:type="gramEnd"/>
            <w:r w:rsidR="00DF25B9">
              <w:rPr>
                <w:rFonts w:ascii="宋体" w:eastAsia="宋体" w:hAnsi="宋体" w:hint="eastAsia"/>
                <w:szCs w:val="21"/>
              </w:rPr>
              <w:t>5,587.93</w:t>
            </w:r>
            <w:r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DF25B9">
              <w:rPr>
                <w:rFonts w:ascii="宋体" w:eastAsia="宋体" w:hAnsi="宋体" w:hint="eastAsia"/>
                <w:szCs w:val="21"/>
              </w:rPr>
              <w:t>157.84</w:t>
            </w:r>
            <w:r>
              <w:rPr>
                <w:rFonts w:ascii="宋体" w:eastAsia="宋体" w:hAnsi="宋体" w:hint="eastAsia"/>
                <w:szCs w:val="21"/>
              </w:rPr>
              <w:t>%，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扣非归母净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利润</w:t>
            </w:r>
            <w:r w:rsidR="00DF25B9" w:rsidRPr="00DF25B9">
              <w:rPr>
                <w:rFonts w:ascii="宋体" w:eastAsia="宋体" w:hAnsi="宋体" w:hint="eastAsia"/>
                <w:szCs w:val="21"/>
              </w:rPr>
              <w:t>4,009.71</w:t>
            </w:r>
            <w:r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DF25B9">
              <w:rPr>
                <w:rFonts w:ascii="宋体" w:eastAsia="宋体" w:hAnsi="宋体"/>
                <w:szCs w:val="21"/>
              </w:rPr>
              <w:t>147.50</w:t>
            </w:r>
            <w:r>
              <w:rPr>
                <w:rFonts w:ascii="宋体" w:eastAsia="宋体" w:hAnsi="宋体" w:hint="eastAsia"/>
                <w:szCs w:val="21"/>
              </w:rPr>
              <w:t>%。轻型</w:t>
            </w:r>
            <w:r>
              <w:rPr>
                <w:rFonts w:ascii="宋体" w:eastAsia="宋体" w:hAnsi="宋体"/>
                <w:szCs w:val="21"/>
              </w:rPr>
              <w:t>动力电池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目前</w:t>
            </w:r>
            <w:r>
              <w:rPr>
                <w:rFonts w:ascii="宋体" w:eastAsia="宋体" w:hAnsi="宋体"/>
                <w:szCs w:val="21"/>
              </w:rPr>
              <w:t>的核心业务，主要产品包括</w:t>
            </w:r>
            <w:r>
              <w:rPr>
                <w:rFonts w:ascii="宋体" w:eastAsia="宋体" w:hAnsi="宋体" w:hint="eastAsia"/>
                <w:szCs w:val="21"/>
              </w:rPr>
              <w:t>电助力自行车电池</w:t>
            </w:r>
            <w:r w:rsidR="00DF25B9">
              <w:rPr>
                <w:rFonts w:ascii="宋体" w:eastAsia="宋体" w:hAnsi="宋体" w:hint="eastAsia"/>
                <w:szCs w:val="21"/>
              </w:rPr>
              <w:t>、电动自行车电池和电动（轻便）摩托车电池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DF25B9">
              <w:rPr>
                <w:rFonts w:ascii="宋体" w:eastAsia="宋体" w:hAnsi="宋体" w:hint="eastAsia"/>
                <w:szCs w:val="21"/>
              </w:rPr>
              <w:t>该业务板块在2025年</w:t>
            </w:r>
            <w:r>
              <w:rPr>
                <w:rFonts w:ascii="宋体" w:eastAsia="宋体" w:hAnsi="宋体"/>
                <w:szCs w:val="21"/>
              </w:rPr>
              <w:t>实现</w:t>
            </w:r>
            <w:r w:rsidR="00F41C3A" w:rsidRPr="00F41C3A">
              <w:rPr>
                <w:rFonts w:ascii="宋体" w:eastAsia="宋体" w:hAnsi="宋体"/>
                <w:szCs w:val="21"/>
              </w:rPr>
              <w:t>13.07</w:t>
            </w:r>
            <w:r>
              <w:rPr>
                <w:rFonts w:ascii="宋体" w:eastAsia="宋体" w:hAnsi="宋体"/>
                <w:szCs w:val="21"/>
              </w:rPr>
              <w:t>亿元</w:t>
            </w:r>
            <w:r>
              <w:rPr>
                <w:rFonts w:ascii="宋体" w:eastAsia="宋体" w:hAnsi="宋体" w:hint="eastAsia"/>
                <w:szCs w:val="21"/>
              </w:rPr>
              <w:t>的销售收入，同比增长</w:t>
            </w:r>
            <w:r w:rsidR="00F41C3A" w:rsidRPr="00F41C3A">
              <w:rPr>
                <w:rFonts w:ascii="宋体" w:eastAsia="宋体" w:hAnsi="宋体"/>
                <w:szCs w:val="21"/>
              </w:rPr>
              <w:t>62.85</w:t>
            </w:r>
            <w:r>
              <w:rPr>
                <w:rFonts w:ascii="宋体" w:eastAsia="宋体" w:hAnsi="宋体" w:hint="eastAsia"/>
                <w:szCs w:val="21"/>
              </w:rPr>
              <w:t>%。</w:t>
            </w:r>
            <w:r>
              <w:rPr>
                <w:rFonts w:ascii="宋体" w:eastAsia="宋体" w:hAnsi="宋体"/>
                <w:szCs w:val="21"/>
              </w:rPr>
              <w:t>消费</w:t>
            </w:r>
            <w:r>
              <w:rPr>
                <w:rFonts w:ascii="宋体" w:eastAsia="宋体" w:hAnsi="宋体" w:hint="eastAsia"/>
                <w:szCs w:val="21"/>
              </w:rPr>
              <w:t>电子</w:t>
            </w:r>
            <w:r>
              <w:rPr>
                <w:rFonts w:ascii="宋体" w:eastAsia="宋体" w:hAnsi="宋体"/>
                <w:szCs w:val="21"/>
              </w:rPr>
              <w:t>类</w:t>
            </w:r>
            <w:r w:rsidR="00595A22">
              <w:rPr>
                <w:rFonts w:ascii="宋体" w:eastAsia="宋体" w:hAnsi="宋体" w:hint="eastAsia"/>
                <w:szCs w:val="21"/>
              </w:rPr>
              <w:t>电池</w:t>
            </w:r>
            <w:r>
              <w:rPr>
                <w:rFonts w:ascii="宋体" w:eastAsia="宋体" w:hAnsi="宋体" w:hint="eastAsia"/>
                <w:szCs w:val="21"/>
              </w:rPr>
              <w:t>实现</w:t>
            </w:r>
            <w:r w:rsidR="00F41C3A" w:rsidRPr="00F41C3A">
              <w:rPr>
                <w:rFonts w:ascii="宋体" w:eastAsia="宋体" w:hAnsi="宋体"/>
                <w:szCs w:val="21"/>
              </w:rPr>
              <w:t>7.25</w:t>
            </w:r>
            <w:r>
              <w:rPr>
                <w:rFonts w:ascii="宋体" w:eastAsia="宋体" w:hAnsi="宋体"/>
                <w:szCs w:val="21"/>
              </w:rPr>
              <w:t>亿元的营业收入，同比</w:t>
            </w:r>
            <w:r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F41C3A">
              <w:rPr>
                <w:rFonts w:ascii="宋体" w:eastAsia="宋体" w:hAnsi="宋体"/>
                <w:szCs w:val="21"/>
              </w:rPr>
              <w:t>13.00</w:t>
            </w:r>
            <w:r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储</w:t>
            </w:r>
            <w:r>
              <w:rPr>
                <w:rFonts w:ascii="宋体" w:eastAsia="宋体" w:hAnsi="宋体"/>
                <w:szCs w:val="21"/>
              </w:rPr>
              <w:t>能电池实现营业收入</w:t>
            </w:r>
            <w:r w:rsidR="00F41C3A" w:rsidRPr="00F41C3A">
              <w:rPr>
                <w:rFonts w:ascii="宋体" w:eastAsia="宋体" w:hAnsi="宋体"/>
                <w:szCs w:val="21"/>
              </w:rPr>
              <w:t>3.17</w:t>
            </w:r>
            <w:r>
              <w:rPr>
                <w:rFonts w:ascii="宋体" w:eastAsia="宋体" w:hAnsi="宋体" w:hint="eastAsia"/>
                <w:szCs w:val="21"/>
              </w:rPr>
              <w:t>亿元，同比增长</w:t>
            </w:r>
            <w:r w:rsidR="00F41C3A" w:rsidRPr="00F41C3A">
              <w:rPr>
                <w:rFonts w:ascii="宋体" w:eastAsia="宋体" w:hAnsi="宋体"/>
                <w:szCs w:val="21"/>
              </w:rPr>
              <w:t>130.15</w:t>
            </w:r>
            <w:r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。</w:t>
            </w:r>
            <w:proofErr w:type="gramStart"/>
            <w:r>
              <w:rPr>
                <w:rFonts w:ascii="宋体" w:eastAsia="宋体" w:hAnsi="宋体"/>
                <w:szCs w:val="21"/>
              </w:rPr>
              <w:t>锂离子电芯实现</w:t>
            </w:r>
            <w:proofErr w:type="gramEnd"/>
            <w:r w:rsidR="00F41C3A" w:rsidRPr="00F41C3A">
              <w:rPr>
                <w:rFonts w:ascii="宋体" w:eastAsia="宋体" w:hAnsi="宋体"/>
                <w:szCs w:val="21"/>
              </w:rPr>
              <w:t>1.44</w:t>
            </w:r>
            <w:r>
              <w:rPr>
                <w:rFonts w:ascii="宋体" w:eastAsia="宋体" w:hAnsi="宋体"/>
                <w:szCs w:val="21"/>
              </w:rPr>
              <w:t>亿元的销售收入，同比</w:t>
            </w:r>
            <w:r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F41C3A">
              <w:rPr>
                <w:rFonts w:ascii="宋体" w:eastAsia="宋体" w:hAnsi="宋体"/>
                <w:szCs w:val="21"/>
              </w:rPr>
              <w:t>20.48</w:t>
            </w:r>
            <w:r>
              <w:rPr>
                <w:rFonts w:ascii="宋体" w:eastAsia="宋体" w:hAnsi="宋体" w:hint="eastAsia"/>
                <w:szCs w:val="21"/>
              </w:rPr>
              <w:t>%。</w:t>
            </w:r>
          </w:p>
          <w:p w14:paraId="5D469A5A" w14:textId="77777777" w:rsidR="006A01E0" w:rsidRDefault="006A01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6989CC36" w14:textId="77777777" w:rsidR="006A01E0" w:rsidRDefault="00CE0DEF">
            <w:pPr>
              <w:numPr>
                <w:ilvl w:val="0"/>
                <w:numId w:val="1"/>
              </w:num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问答环节</w:t>
            </w:r>
          </w:p>
          <w:p w14:paraId="56DF6500" w14:textId="7B6A9D4B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问：2025年营业收入和净利润同比增长的原因？</w:t>
            </w:r>
          </w:p>
          <w:p w14:paraId="5537AEF5" w14:textId="011B6955" w:rsidR="00595A22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公司2025年营业收入增长主要是因为：</w:t>
            </w:r>
            <w:r w:rsidR="00595A22" w:rsidRPr="00595A22">
              <w:rPr>
                <w:rFonts w:ascii="宋体" w:eastAsia="宋体" w:hAnsi="宋体"/>
                <w:szCs w:val="21"/>
              </w:rPr>
              <w:t>公司电动（轻便）摩托车、两轮车换</w:t>
            </w:r>
            <w:proofErr w:type="gramStart"/>
            <w:r w:rsidR="00595A22" w:rsidRPr="00595A22">
              <w:rPr>
                <w:rFonts w:ascii="宋体" w:eastAsia="宋体" w:hAnsi="宋体"/>
                <w:szCs w:val="21"/>
              </w:rPr>
              <w:t>电业务</w:t>
            </w:r>
            <w:proofErr w:type="gramEnd"/>
            <w:r w:rsidR="00595A22" w:rsidRPr="00595A22">
              <w:rPr>
                <w:rFonts w:ascii="宋体" w:eastAsia="宋体" w:hAnsi="宋体"/>
                <w:szCs w:val="21"/>
              </w:rPr>
              <w:t>放量，以及欧洲电助力自行车需求回暖</w:t>
            </w:r>
            <w:r w:rsidR="00595A22">
              <w:rPr>
                <w:rFonts w:ascii="宋体" w:eastAsia="宋体" w:hAnsi="宋体" w:hint="eastAsia"/>
                <w:szCs w:val="21"/>
              </w:rPr>
              <w:t>，</w:t>
            </w:r>
            <w:proofErr w:type="gramStart"/>
            <w:r w:rsidR="00595A22">
              <w:rPr>
                <w:rFonts w:ascii="宋体" w:eastAsia="宋体" w:hAnsi="宋体" w:hint="eastAsia"/>
                <w:szCs w:val="21"/>
              </w:rPr>
              <w:t>带动占</w:t>
            </w:r>
            <w:r w:rsidR="00D97B94">
              <w:rPr>
                <w:rFonts w:ascii="宋体" w:eastAsia="宋体" w:hAnsi="宋体" w:hint="eastAsia"/>
                <w:szCs w:val="21"/>
              </w:rPr>
              <w:t>营</w:t>
            </w:r>
            <w:proofErr w:type="gramEnd"/>
            <w:r w:rsidR="00D97B94">
              <w:rPr>
                <w:rFonts w:ascii="宋体" w:eastAsia="宋体" w:hAnsi="宋体" w:hint="eastAsia"/>
                <w:szCs w:val="21"/>
              </w:rPr>
              <w:t>收</w:t>
            </w:r>
            <w:r w:rsidR="00595A22">
              <w:rPr>
                <w:rFonts w:ascii="宋体" w:eastAsia="宋体" w:hAnsi="宋体" w:hint="eastAsia"/>
                <w:szCs w:val="21"/>
              </w:rPr>
              <w:t>比</w:t>
            </w:r>
            <w:r w:rsidR="00D97B94">
              <w:rPr>
                <w:rFonts w:ascii="宋体" w:eastAsia="宋体" w:hAnsi="宋体" w:hint="eastAsia"/>
                <w:szCs w:val="21"/>
              </w:rPr>
              <w:t>重</w:t>
            </w:r>
            <w:r w:rsidR="00595A22">
              <w:rPr>
                <w:rFonts w:ascii="宋体" w:eastAsia="宋体" w:hAnsi="宋体" w:hint="eastAsia"/>
                <w:szCs w:val="21"/>
              </w:rPr>
              <w:t>较</w:t>
            </w:r>
            <w:r w:rsidR="00595A22">
              <w:rPr>
                <w:rFonts w:ascii="宋体" w:eastAsia="宋体" w:hAnsi="宋体" w:hint="eastAsia"/>
                <w:szCs w:val="21"/>
              </w:rPr>
              <w:lastRenderedPageBreak/>
              <w:t>高的轻型动力电池业务销售收入大幅上升。</w:t>
            </w:r>
            <w:r w:rsidR="002C2BA7">
              <w:rPr>
                <w:rFonts w:ascii="宋体" w:eastAsia="宋体" w:hAnsi="宋体" w:hint="eastAsia"/>
                <w:szCs w:val="21"/>
              </w:rPr>
              <w:t>此外，下游便携式储能客户出货量增加。</w:t>
            </w:r>
          </w:p>
          <w:p w14:paraId="75C8ACD2" w14:textId="68180C99" w:rsidR="002C2BA7" w:rsidRDefault="002C2BA7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净利润扭亏为盈主要是因为：原有电助力自行车、储能等业务修复，34145大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圆柱电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芯产能利用率不断拉升的基础上，大力拓展了两轮车共享、换电业务，与小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哈换电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等头部客户达成合作，规模效应带动经营质量持续改善。</w:t>
            </w:r>
          </w:p>
          <w:p w14:paraId="49C1A2A3" w14:textId="77777777" w:rsidR="006A01E0" w:rsidRPr="00791B2B" w:rsidRDefault="006A01E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5F74F8B7" w14:textId="1613F958" w:rsidR="006A01E0" w:rsidRPr="00791B2B" w:rsidRDefault="00CE0DEF">
            <w:pPr>
              <w:ind w:firstLineChars="200" w:firstLine="422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791B2B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2E425B">
              <w:rPr>
                <w:rFonts w:ascii="宋体" w:eastAsia="宋体" w:hAnsi="宋体" w:hint="eastAsia"/>
                <w:b/>
                <w:bCs/>
              </w:rPr>
              <w:t>2026年公司主要业务板块</w:t>
            </w:r>
            <w:r w:rsidR="00EA57A8">
              <w:rPr>
                <w:rFonts w:ascii="宋体" w:eastAsia="宋体" w:hAnsi="宋体" w:hint="eastAsia"/>
                <w:b/>
                <w:bCs/>
              </w:rPr>
              <w:t>展望</w:t>
            </w:r>
            <w:r w:rsidRPr="00791B2B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273D4EB5" w14:textId="60C846C5" w:rsidR="00791B2B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791B2B">
              <w:rPr>
                <w:rFonts w:ascii="宋体" w:eastAsia="宋体" w:hAnsi="宋体" w:hint="eastAsia"/>
                <w:szCs w:val="21"/>
              </w:rPr>
              <w:t>轻型动力电池业务板块</w:t>
            </w:r>
            <w:r w:rsidR="00475083">
              <w:rPr>
                <w:rFonts w:ascii="宋体" w:eastAsia="宋体" w:hAnsi="宋体" w:hint="eastAsia"/>
                <w:szCs w:val="21"/>
              </w:rPr>
              <w:t>：</w:t>
            </w:r>
            <w:r w:rsidR="00791B2B">
              <w:rPr>
                <w:rFonts w:ascii="宋体" w:eastAsia="宋体" w:hAnsi="宋体" w:hint="eastAsia"/>
                <w:szCs w:val="21"/>
              </w:rPr>
              <w:t>公司目前和国内</w:t>
            </w:r>
            <w:r w:rsidR="000A387F">
              <w:rPr>
                <w:rFonts w:ascii="宋体" w:eastAsia="宋体" w:hAnsi="宋体" w:hint="eastAsia"/>
                <w:szCs w:val="21"/>
              </w:rPr>
              <w:t>小哈、</w:t>
            </w:r>
            <w:r w:rsidR="00791B2B">
              <w:rPr>
                <w:rFonts w:ascii="宋体" w:eastAsia="宋体" w:hAnsi="宋体" w:hint="eastAsia"/>
                <w:szCs w:val="21"/>
              </w:rPr>
              <w:t>九号、小牛、雅迪等头部客户合作，在东南亚和非洲等高速增长的</w:t>
            </w:r>
            <w:r w:rsidR="00475083">
              <w:rPr>
                <w:rFonts w:ascii="宋体" w:eastAsia="宋体" w:hAnsi="宋体" w:hint="eastAsia"/>
                <w:szCs w:val="21"/>
              </w:rPr>
              <w:t>地区也与Vinfast、SPIRO等头部客户达成合作，叠加欧洲电助力自行车市场复苏，</w:t>
            </w:r>
            <w:r w:rsidR="00A00FDF">
              <w:rPr>
                <w:rFonts w:ascii="宋体" w:eastAsia="宋体" w:hAnsi="宋体" w:hint="eastAsia"/>
                <w:szCs w:val="21"/>
              </w:rPr>
              <w:t>2026年公司将</w:t>
            </w:r>
            <w:r w:rsidR="00A00FDF" w:rsidRPr="00A00FDF">
              <w:rPr>
                <w:rFonts w:ascii="宋体" w:eastAsia="宋体" w:hAnsi="宋体"/>
                <w:szCs w:val="21"/>
              </w:rPr>
              <w:t>在稳固现有市场优势的基础上，进一步加大对</w:t>
            </w:r>
            <w:r w:rsidR="00742678">
              <w:rPr>
                <w:rFonts w:ascii="宋体" w:eastAsia="宋体" w:hAnsi="宋体" w:hint="eastAsia"/>
                <w:szCs w:val="21"/>
              </w:rPr>
              <w:t>轻型动力电池</w:t>
            </w:r>
            <w:r w:rsidR="00A00FDF" w:rsidRPr="00A00FDF">
              <w:rPr>
                <w:rFonts w:ascii="宋体" w:eastAsia="宋体" w:hAnsi="宋体"/>
                <w:szCs w:val="21"/>
              </w:rPr>
              <w:t>的资源投入，深入耕耘轻型两轮电动化各细分场景，如越野电摩、电动（轻便）摩托车、电动自行车以及换电、共享出行领域，巩固细分领域的竞争优势</w:t>
            </w:r>
            <w:r w:rsidR="00A00FDF">
              <w:rPr>
                <w:rFonts w:ascii="宋体" w:eastAsia="宋体" w:hAnsi="宋体" w:hint="eastAsia"/>
                <w:szCs w:val="21"/>
              </w:rPr>
              <w:t>，进一步实现业务增长</w:t>
            </w:r>
            <w:r w:rsidR="00475083">
              <w:rPr>
                <w:rFonts w:ascii="宋体" w:eastAsia="宋体" w:hAnsi="宋体" w:hint="eastAsia"/>
                <w:szCs w:val="21"/>
              </w:rPr>
              <w:t>。</w:t>
            </w:r>
          </w:p>
          <w:p w14:paraId="77832CA8" w14:textId="20F8360C" w:rsidR="00475083" w:rsidRDefault="00475083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消费电子类电池业务板块：</w:t>
            </w:r>
            <w:r w:rsidR="00A10B50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141CD0">
              <w:rPr>
                <w:rFonts w:ascii="宋体" w:eastAsia="宋体" w:hAnsi="宋体" w:hint="eastAsia"/>
                <w:szCs w:val="21"/>
              </w:rPr>
              <w:t>2026年公司将继续通过柔性化生产制造能力，满足</w:t>
            </w:r>
            <w:r w:rsidR="00A10B50">
              <w:rPr>
                <w:rFonts w:ascii="宋体" w:eastAsia="宋体" w:hAnsi="宋体" w:hint="eastAsia"/>
                <w:szCs w:val="21"/>
              </w:rPr>
              <w:t>消费电子</w:t>
            </w:r>
            <w:r w:rsidR="00141CD0" w:rsidRPr="00141CD0">
              <w:rPr>
                <w:rFonts w:ascii="宋体" w:eastAsia="宋体" w:hAnsi="宋体"/>
                <w:szCs w:val="21"/>
              </w:rPr>
              <w:t>企业小批量、多品种、快速交付</w:t>
            </w:r>
            <w:r w:rsidR="00141CD0">
              <w:rPr>
                <w:rFonts w:ascii="宋体" w:eastAsia="宋体" w:hAnsi="宋体" w:hint="eastAsia"/>
                <w:szCs w:val="21"/>
              </w:rPr>
              <w:t>等产品生产需求</w:t>
            </w:r>
            <w:r w:rsidR="00F1275D">
              <w:rPr>
                <w:rFonts w:ascii="宋体" w:eastAsia="宋体" w:hAnsi="宋体" w:hint="eastAsia"/>
                <w:szCs w:val="21"/>
              </w:rPr>
              <w:t>，在该领域实现业务增长。</w:t>
            </w:r>
          </w:p>
          <w:p w14:paraId="73F2FE76" w14:textId="32C53EF0" w:rsidR="00F1275D" w:rsidRPr="00475083" w:rsidRDefault="00F1275D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锂离子电芯业务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板块：公司将提高电芯自供率，推动轻型动力电池业务板块进一步增长。</w:t>
            </w:r>
          </w:p>
          <w:p w14:paraId="1D640CC4" w14:textId="77777777" w:rsidR="006A01E0" w:rsidRDefault="006A01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76F6758F" w14:textId="479BE288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F1275D">
              <w:rPr>
                <w:rFonts w:ascii="宋体" w:eastAsia="宋体" w:hAnsi="宋体" w:hint="eastAsia"/>
                <w:b/>
                <w:szCs w:val="21"/>
              </w:rPr>
              <w:t>东南亚电动摩托车市场概况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225E4562" w14:textId="12EBFFB6" w:rsidR="00F1275D" w:rsidRDefault="00CE0DEF" w:rsidP="00F1275D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CF7847">
              <w:rPr>
                <w:rFonts w:ascii="宋体" w:eastAsia="宋体" w:hAnsi="宋体" w:hint="eastAsia"/>
                <w:szCs w:val="21"/>
              </w:rPr>
              <w:t>目前东南亚电动化趋势最明显的是越南市场。</w:t>
            </w:r>
            <w:r w:rsidR="00F1275D">
              <w:rPr>
                <w:rFonts w:ascii="宋体" w:eastAsia="宋体" w:hAnsi="宋体" w:hint="eastAsia"/>
                <w:szCs w:val="21"/>
              </w:rPr>
              <w:t>越南</w:t>
            </w:r>
            <w:r w:rsidR="00A20311">
              <w:rPr>
                <w:rFonts w:ascii="宋体" w:eastAsia="宋体" w:hAnsi="宋体" w:hint="eastAsia"/>
                <w:szCs w:val="21"/>
              </w:rPr>
              <w:t>居民长期以摩托车为主力交通工具，Vinfast、雅迪等品牌</w:t>
            </w:r>
            <w:r w:rsidR="00DD6E65">
              <w:rPr>
                <w:rFonts w:ascii="宋体" w:eastAsia="宋体" w:hAnsi="宋体" w:hint="eastAsia"/>
                <w:szCs w:val="21"/>
              </w:rPr>
              <w:t>本身在当地已有一定体量。政策方面，</w:t>
            </w:r>
            <w:r w:rsidR="003F5004">
              <w:rPr>
                <w:rFonts w:ascii="宋体" w:eastAsia="宋体" w:hAnsi="宋体" w:hint="eastAsia"/>
                <w:szCs w:val="21"/>
              </w:rPr>
              <w:t>河内和胡志明等城市出台禁摩政策，进一步压缩了传统燃油车的生存空间，使得电动摩托车销量高速增长，其中Vinfast在2025年售出</w:t>
            </w:r>
            <w:r w:rsidR="00A20311">
              <w:rPr>
                <w:rFonts w:ascii="宋体" w:eastAsia="宋体" w:hAnsi="宋体" w:hint="eastAsia"/>
                <w:szCs w:val="21"/>
              </w:rPr>
              <w:t>40.65万辆</w:t>
            </w:r>
            <w:r w:rsidR="003F5004">
              <w:rPr>
                <w:rFonts w:ascii="宋体" w:eastAsia="宋体" w:hAnsi="宋体" w:hint="eastAsia"/>
                <w:szCs w:val="21"/>
              </w:rPr>
              <w:t>电动摩托车</w:t>
            </w:r>
            <w:r w:rsidR="00A20311">
              <w:rPr>
                <w:rFonts w:ascii="宋体" w:eastAsia="宋体" w:hAnsi="宋体" w:hint="eastAsia"/>
                <w:szCs w:val="21"/>
              </w:rPr>
              <w:t>，同比增长472.72%。</w:t>
            </w:r>
          </w:p>
          <w:p w14:paraId="0401E37F" w14:textId="77777777" w:rsidR="006A01E0" w:rsidRDefault="006A01E0" w:rsidP="00AD243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2353BFCF" w14:textId="54C3286A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544BEA">
              <w:rPr>
                <w:rFonts w:ascii="宋体" w:eastAsia="宋体" w:hAnsi="宋体" w:hint="eastAsia"/>
                <w:b/>
                <w:szCs w:val="21"/>
              </w:rPr>
              <w:t>碳酸锂波动对公司业绩影响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620F8E9D" w14:textId="482697B8" w:rsidR="006A01E0" w:rsidRDefault="00CE0DE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答：</w:t>
            </w:r>
            <w:r w:rsidR="00544BEA" w:rsidRPr="00544BEA">
              <w:t>公司与下游客户实行季度调价机制，能够将部分成本波动传导出去。</w:t>
            </w:r>
            <w:r w:rsidR="00544BEA" w:rsidRPr="00544BEA">
              <w:lastRenderedPageBreak/>
              <w:t>此外，公司产品主要以电池系统形式出货，碳酸锂需经过正极材料、电芯、再到电池系统等多个环节，其在电池系统总成本中占比较低。</w:t>
            </w:r>
          </w:p>
          <w:p w14:paraId="5F37E90A" w14:textId="77777777" w:rsidR="006A01E0" w:rsidRDefault="006A01E0">
            <w:pPr>
              <w:spacing w:line="360" w:lineRule="auto"/>
              <w:ind w:firstLineChars="200" w:firstLine="420"/>
            </w:pPr>
          </w:p>
          <w:p w14:paraId="6BBB5524" w14:textId="57F40D24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544BEA">
              <w:rPr>
                <w:rFonts w:ascii="宋体" w:eastAsia="宋体" w:hAnsi="宋体" w:hint="eastAsia"/>
                <w:b/>
                <w:szCs w:val="21"/>
              </w:rPr>
              <w:t>汇率波动对公司的影响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F202363" w14:textId="77777777" w:rsidR="006A01E0" w:rsidRDefault="00CE0DEF" w:rsidP="003B0A23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544BEA" w:rsidRPr="00544BEA">
              <w:rPr>
                <w:rFonts w:ascii="宋体" w:eastAsia="宋体" w:hAnsi="宋体"/>
                <w:bCs/>
                <w:szCs w:val="21"/>
              </w:rPr>
              <w:t>公司尽可能将外币收入与外币支出相匹配以降低汇率风险，持续监控外币交易和外币资产及负债的规模，以最大程度降低面临的外汇风险。此外，公司将对实际业务规模及汇率走势进行</w:t>
            </w:r>
            <w:proofErr w:type="gramStart"/>
            <w:r w:rsidR="00544BEA" w:rsidRPr="00544BEA">
              <w:rPr>
                <w:rFonts w:ascii="宋体" w:eastAsia="宋体" w:hAnsi="宋体"/>
                <w:bCs/>
                <w:szCs w:val="21"/>
              </w:rPr>
              <w:t>研</w:t>
            </w:r>
            <w:proofErr w:type="gramEnd"/>
            <w:r w:rsidR="00544BEA" w:rsidRPr="00544BEA">
              <w:rPr>
                <w:rFonts w:ascii="宋体" w:eastAsia="宋体" w:hAnsi="宋体"/>
                <w:bCs/>
                <w:szCs w:val="21"/>
              </w:rPr>
              <w:t>判，择</w:t>
            </w:r>
            <w:proofErr w:type="gramStart"/>
            <w:r w:rsidR="00544BEA" w:rsidRPr="00544BEA">
              <w:rPr>
                <w:rFonts w:ascii="宋体" w:eastAsia="宋体" w:hAnsi="宋体"/>
                <w:bCs/>
                <w:szCs w:val="21"/>
              </w:rPr>
              <w:t>机开展套</w:t>
            </w:r>
            <w:proofErr w:type="gramEnd"/>
            <w:r w:rsidR="00544BEA" w:rsidRPr="00544BEA">
              <w:rPr>
                <w:rFonts w:ascii="宋体" w:eastAsia="宋体" w:hAnsi="宋体"/>
                <w:bCs/>
                <w:szCs w:val="21"/>
              </w:rPr>
              <w:t>期保值业务，积极对冲相关风险敞口，尽可能平滑汇率波动对业绩的冲击，降低汇率变动对公司利润的潜在影响。</w:t>
            </w:r>
          </w:p>
          <w:p w14:paraId="7589328D" w14:textId="77777777" w:rsidR="00506E9E" w:rsidRDefault="00506E9E" w:rsidP="003B0A23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</w:p>
          <w:p w14:paraId="65F79E58" w14:textId="0D140D39" w:rsidR="00506E9E" w:rsidRDefault="00506E9E" w:rsidP="00506E9E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问：公司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本次定增概况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，以及当前进展如何？</w:t>
            </w:r>
          </w:p>
          <w:p w14:paraId="11938F73" w14:textId="4B763681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答：公司本次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定增拟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募集6.11亿元，并自筹1.00亿元，项目总投资7.11亿元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，具体投向以下三个项目：</w:t>
            </w:r>
          </w:p>
          <w:p w14:paraId="095F36C8" w14:textId="50609C26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全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极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耳大圆柱多场景轻型动力电池制造项目投资总额5.19亿元，公司将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针对全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极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耳大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圆柱电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芯、轻型动力消费类电池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系统集成产线及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固态电池研发试验线进行建设。建成后将提升自有电芯供给，丰富产品体系，增强从电芯到电池系统的一体化能力，推动业绩增长与技术升级。</w:t>
            </w:r>
          </w:p>
          <w:p w14:paraId="351083A8" w14:textId="08C40CFF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AI驱动的新能源电池可靠性分析与研发能力提升项目投资总额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0.52亿</w:t>
            </w:r>
            <w:r>
              <w:rPr>
                <w:rFonts w:ascii="宋体" w:eastAsia="宋体" w:hAnsi="宋体" w:hint="eastAsia"/>
                <w:bCs/>
                <w:szCs w:val="21"/>
              </w:rPr>
              <w:t>元，</w:t>
            </w:r>
            <w:r w:rsidRPr="00506E9E">
              <w:rPr>
                <w:rFonts w:ascii="宋体" w:eastAsia="宋体" w:hAnsi="宋体"/>
                <w:bCs/>
                <w:szCs w:val="21"/>
              </w:rPr>
              <w:t>公司将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通过配置先进硬件与仿真软件、引进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优秀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人才、加强研发信息化建设并开展前沿性技术研发，提升轻型车、储能等领域电池系统集成产品的研发能力，增强核心竞争力。</w:t>
            </w:r>
          </w:p>
          <w:p w14:paraId="3BF3763F" w14:textId="3EF160AF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补充流动资金项目投资总额1.4</w:t>
            </w:r>
            <w:r w:rsidR="002253EC">
              <w:rPr>
                <w:rFonts w:ascii="宋体" w:eastAsia="宋体" w:hAnsi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Cs/>
                <w:szCs w:val="21"/>
              </w:rPr>
              <w:t>亿元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，将优化公司资本结构，提高抗风险能力，保障公司的战略实施和业务增长。</w:t>
            </w:r>
          </w:p>
          <w:p w14:paraId="3CF2C0A0" w14:textId="026F3809" w:rsidR="003B2F2F" w:rsidRPr="00FC1B79" w:rsidRDefault="00FC1B79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FC1B79">
              <w:rPr>
                <w:rFonts w:ascii="宋体" w:eastAsia="宋体" w:hAnsi="宋体" w:hint="eastAsia"/>
                <w:bCs/>
                <w:szCs w:val="21"/>
              </w:rPr>
              <w:t>本次</w:t>
            </w:r>
            <w:proofErr w:type="gramStart"/>
            <w:r w:rsidRPr="00FC1B79">
              <w:rPr>
                <w:rFonts w:ascii="宋体" w:eastAsia="宋体" w:hAnsi="宋体" w:hint="eastAsia"/>
                <w:bCs/>
                <w:szCs w:val="21"/>
              </w:rPr>
              <w:t>定增项目</w:t>
            </w:r>
            <w:proofErr w:type="gramEnd"/>
            <w:r w:rsidRPr="00FC1B79">
              <w:rPr>
                <w:rFonts w:ascii="宋体" w:eastAsia="宋体" w:hAnsi="宋体" w:hint="eastAsia"/>
                <w:bCs/>
                <w:szCs w:val="21"/>
              </w:rPr>
              <w:t>已进入交易所问询阶段</w:t>
            </w:r>
            <w:r w:rsidR="00CB718E">
              <w:rPr>
                <w:rFonts w:ascii="宋体" w:eastAsia="宋体" w:hAnsi="宋体" w:hint="eastAsia"/>
                <w:bCs/>
                <w:szCs w:val="21"/>
              </w:rPr>
              <w:t>，目前正回复中</w:t>
            </w:r>
            <w:r w:rsidRPr="00FC1B79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</w:tc>
      </w:tr>
      <w:tr w:rsidR="006A01E0" w14:paraId="63C05748" w14:textId="77777777">
        <w:tc>
          <w:tcPr>
            <w:tcW w:w="1696" w:type="dxa"/>
            <w:vAlign w:val="center"/>
          </w:tcPr>
          <w:p w14:paraId="64A7390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093" w:type="dxa"/>
            <w:vAlign w:val="center"/>
          </w:tcPr>
          <w:p w14:paraId="5D052D2D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:rsidR="006A01E0" w14:paraId="5BC2FAA5" w14:textId="77777777">
        <w:tc>
          <w:tcPr>
            <w:tcW w:w="1696" w:type="dxa"/>
            <w:vAlign w:val="center"/>
          </w:tcPr>
          <w:p w14:paraId="53F02934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有）</w:t>
            </w:r>
          </w:p>
        </w:tc>
        <w:tc>
          <w:tcPr>
            <w:tcW w:w="7093" w:type="dxa"/>
          </w:tcPr>
          <w:p w14:paraId="59947FD2" w14:textId="77777777" w:rsidR="006A01E0" w:rsidRDefault="006A01E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6A01E0" w14:paraId="07A4531A" w14:textId="77777777">
        <w:tc>
          <w:tcPr>
            <w:tcW w:w="1696" w:type="dxa"/>
            <w:vAlign w:val="center"/>
          </w:tcPr>
          <w:p w14:paraId="1CD60B03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vAlign w:val="center"/>
          </w:tcPr>
          <w:p w14:paraId="52964F93" w14:textId="6C7F9CE5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01D90973" w14:textId="77777777" w:rsidR="006A01E0" w:rsidRDefault="006A01E0"/>
    <w:sectPr w:rsidR="006A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293B" w14:textId="77777777" w:rsidR="000B5197" w:rsidRDefault="000B5197" w:rsidP="00CF01AF">
      <w:r>
        <w:separator/>
      </w:r>
    </w:p>
  </w:endnote>
  <w:endnote w:type="continuationSeparator" w:id="0">
    <w:p w14:paraId="1484F9C3" w14:textId="77777777" w:rsidR="000B5197" w:rsidRDefault="000B5197" w:rsidP="00C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A152" w14:textId="77777777" w:rsidR="000B5197" w:rsidRDefault="000B5197" w:rsidP="00CF01AF">
      <w:r>
        <w:separator/>
      </w:r>
    </w:p>
  </w:footnote>
  <w:footnote w:type="continuationSeparator" w:id="0">
    <w:p w14:paraId="4853D1F5" w14:textId="77777777" w:rsidR="000B5197" w:rsidRDefault="000B5197" w:rsidP="00CF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C5F2"/>
    <w:multiLevelType w:val="singleLevel"/>
    <w:tmpl w:val="09BAC5F2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47D7CFD1"/>
    <w:multiLevelType w:val="singleLevel"/>
    <w:tmpl w:val="47D7CFD1"/>
    <w:lvl w:ilvl="0">
      <w:start w:val="2"/>
      <w:numFmt w:val="decimal"/>
      <w:suff w:val="nothing"/>
      <w:lvlText w:val="%1、"/>
      <w:lvlJc w:val="left"/>
    </w:lvl>
  </w:abstractNum>
  <w:num w:numId="1" w16cid:durableId="1644194158">
    <w:abstractNumId w:val="1"/>
  </w:num>
  <w:num w:numId="2" w16cid:durableId="14767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C464B1"/>
    <w:rsid w:val="00025903"/>
    <w:rsid w:val="0003213A"/>
    <w:rsid w:val="00032202"/>
    <w:rsid w:val="000329EE"/>
    <w:rsid w:val="000334EB"/>
    <w:rsid w:val="000420E1"/>
    <w:rsid w:val="0005088A"/>
    <w:rsid w:val="00054F57"/>
    <w:rsid w:val="0005506A"/>
    <w:rsid w:val="00055803"/>
    <w:rsid w:val="000907ED"/>
    <w:rsid w:val="000959E1"/>
    <w:rsid w:val="000A387F"/>
    <w:rsid w:val="000A7169"/>
    <w:rsid w:val="000B5197"/>
    <w:rsid w:val="000B7728"/>
    <w:rsid w:val="000D55AC"/>
    <w:rsid w:val="000E0D4B"/>
    <w:rsid w:val="000F1B91"/>
    <w:rsid w:val="000F4F06"/>
    <w:rsid w:val="0010371C"/>
    <w:rsid w:val="001212DA"/>
    <w:rsid w:val="00124176"/>
    <w:rsid w:val="0013280D"/>
    <w:rsid w:val="0013329C"/>
    <w:rsid w:val="001366D1"/>
    <w:rsid w:val="00137AF3"/>
    <w:rsid w:val="00141CD0"/>
    <w:rsid w:val="001671EE"/>
    <w:rsid w:val="001A0C24"/>
    <w:rsid w:val="001B3BE5"/>
    <w:rsid w:val="001B689F"/>
    <w:rsid w:val="001D7F75"/>
    <w:rsid w:val="001E2E31"/>
    <w:rsid w:val="001F13C1"/>
    <w:rsid w:val="001F1482"/>
    <w:rsid w:val="001F7718"/>
    <w:rsid w:val="002007D1"/>
    <w:rsid w:val="00204CCF"/>
    <w:rsid w:val="0021448F"/>
    <w:rsid w:val="002211E2"/>
    <w:rsid w:val="002253EC"/>
    <w:rsid w:val="002269A7"/>
    <w:rsid w:val="00231AE9"/>
    <w:rsid w:val="00253BE7"/>
    <w:rsid w:val="00285E4E"/>
    <w:rsid w:val="0029162E"/>
    <w:rsid w:val="002A0268"/>
    <w:rsid w:val="002C2271"/>
    <w:rsid w:val="002C2BA7"/>
    <w:rsid w:val="002D58BD"/>
    <w:rsid w:val="002D7D90"/>
    <w:rsid w:val="002D7F10"/>
    <w:rsid w:val="002E24AA"/>
    <w:rsid w:val="002E425B"/>
    <w:rsid w:val="003006F0"/>
    <w:rsid w:val="00304F10"/>
    <w:rsid w:val="0031242D"/>
    <w:rsid w:val="0031537E"/>
    <w:rsid w:val="003222CD"/>
    <w:rsid w:val="00322657"/>
    <w:rsid w:val="00331B58"/>
    <w:rsid w:val="003355BF"/>
    <w:rsid w:val="00353E95"/>
    <w:rsid w:val="00367E08"/>
    <w:rsid w:val="00367E85"/>
    <w:rsid w:val="00371BBE"/>
    <w:rsid w:val="003742C0"/>
    <w:rsid w:val="00375A7A"/>
    <w:rsid w:val="0037611E"/>
    <w:rsid w:val="00395C47"/>
    <w:rsid w:val="003A4B83"/>
    <w:rsid w:val="003B0A23"/>
    <w:rsid w:val="003B2F2F"/>
    <w:rsid w:val="003B3E39"/>
    <w:rsid w:val="003C44F2"/>
    <w:rsid w:val="003E74D9"/>
    <w:rsid w:val="003F5004"/>
    <w:rsid w:val="00402C97"/>
    <w:rsid w:val="0040333B"/>
    <w:rsid w:val="00412DCD"/>
    <w:rsid w:val="00427313"/>
    <w:rsid w:val="00427A9C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5083"/>
    <w:rsid w:val="00476F8B"/>
    <w:rsid w:val="00477D36"/>
    <w:rsid w:val="00490093"/>
    <w:rsid w:val="004A7798"/>
    <w:rsid w:val="004C25D2"/>
    <w:rsid w:val="004C36F0"/>
    <w:rsid w:val="004F3642"/>
    <w:rsid w:val="00501670"/>
    <w:rsid w:val="00506E9E"/>
    <w:rsid w:val="0051667E"/>
    <w:rsid w:val="0052233B"/>
    <w:rsid w:val="00522356"/>
    <w:rsid w:val="00530058"/>
    <w:rsid w:val="005360C4"/>
    <w:rsid w:val="005368D6"/>
    <w:rsid w:val="00544BEA"/>
    <w:rsid w:val="00552254"/>
    <w:rsid w:val="00553F73"/>
    <w:rsid w:val="00565E6A"/>
    <w:rsid w:val="005669F7"/>
    <w:rsid w:val="00572C88"/>
    <w:rsid w:val="005773DA"/>
    <w:rsid w:val="00577DD8"/>
    <w:rsid w:val="0058319C"/>
    <w:rsid w:val="00584339"/>
    <w:rsid w:val="00587599"/>
    <w:rsid w:val="00591884"/>
    <w:rsid w:val="00592090"/>
    <w:rsid w:val="00595A22"/>
    <w:rsid w:val="005A1168"/>
    <w:rsid w:val="005A331E"/>
    <w:rsid w:val="005B4A2F"/>
    <w:rsid w:val="005B51D5"/>
    <w:rsid w:val="005D5076"/>
    <w:rsid w:val="005D7171"/>
    <w:rsid w:val="005E354B"/>
    <w:rsid w:val="005E55C5"/>
    <w:rsid w:val="005F5E99"/>
    <w:rsid w:val="0060070D"/>
    <w:rsid w:val="00606768"/>
    <w:rsid w:val="00625628"/>
    <w:rsid w:val="006256F9"/>
    <w:rsid w:val="00632B5F"/>
    <w:rsid w:val="0063621B"/>
    <w:rsid w:val="00636A85"/>
    <w:rsid w:val="0065231F"/>
    <w:rsid w:val="00652FBB"/>
    <w:rsid w:val="006565BE"/>
    <w:rsid w:val="00670CFD"/>
    <w:rsid w:val="00672F2A"/>
    <w:rsid w:val="006813FC"/>
    <w:rsid w:val="00693816"/>
    <w:rsid w:val="00697B91"/>
    <w:rsid w:val="006A01E0"/>
    <w:rsid w:val="006A0212"/>
    <w:rsid w:val="006B1094"/>
    <w:rsid w:val="006B597B"/>
    <w:rsid w:val="006C1999"/>
    <w:rsid w:val="006C282C"/>
    <w:rsid w:val="006C5790"/>
    <w:rsid w:val="006C673D"/>
    <w:rsid w:val="006E1D9E"/>
    <w:rsid w:val="006E39E2"/>
    <w:rsid w:val="006F0F88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4098E"/>
    <w:rsid w:val="00742678"/>
    <w:rsid w:val="00745A09"/>
    <w:rsid w:val="00766491"/>
    <w:rsid w:val="00771EAD"/>
    <w:rsid w:val="00790C98"/>
    <w:rsid w:val="00791B2B"/>
    <w:rsid w:val="007A3B0B"/>
    <w:rsid w:val="007B6545"/>
    <w:rsid w:val="007D04F9"/>
    <w:rsid w:val="007D5D96"/>
    <w:rsid w:val="007D6343"/>
    <w:rsid w:val="007E4E00"/>
    <w:rsid w:val="007E560F"/>
    <w:rsid w:val="007E5E5B"/>
    <w:rsid w:val="007F01FC"/>
    <w:rsid w:val="007F2C5A"/>
    <w:rsid w:val="00816C8D"/>
    <w:rsid w:val="00824783"/>
    <w:rsid w:val="00826F07"/>
    <w:rsid w:val="00827491"/>
    <w:rsid w:val="00831BFD"/>
    <w:rsid w:val="00834A8E"/>
    <w:rsid w:val="00857409"/>
    <w:rsid w:val="00861242"/>
    <w:rsid w:val="008741A0"/>
    <w:rsid w:val="00874E58"/>
    <w:rsid w:val="00882938"/>
    <w:rsid w:val="00885735"/>
    <w:rsid w:val="0089126F"/>
    <w:rsid w:val="008975E9"/>
    <w:rsid w:val="008A1039"/>
    <w:rsid w:val="008A5832"/>
    <w:rsid w:val="008A5BF0"/>
    <w:rsid w:val="008B0763"/>
    <w:rsid w:val="008B3416"/>
    <w:rsid w:val="008B34D3"/>
    <w:rsid w:val="008B6F1A"/>
    <w:rsid w:val="008B73C1"/>
    <w:rsid w:val="008B7FF5"/>
    <w:rsid w:val="008C46A8"/>
    <w:rsid w:val="008C7759"/>
    <w:rsid w:val="008D5A54"/>
    <w:rsid w:val="008E183E"/>
    <w:rsid w:val="008E6AC7"/>
    <w:rsid w:val="008F1210"/>
    <w:rsid w:val="008F775A"/>
    <w:rsid w:val="0090266C"/>
    <w:rsid w:val="00903134"/>
    <w:rsid w:val="00904659"/>
    <w:rsid w:val="00910674"/>
    <w:rsid w:val="0091129A"/>
    <w:rsid w:val="0092773A"/>
    <w:rsid w:val="00933CB6"/>
    <w:rsid w:val="00946EEB"/>
    <w:rsid w:val="00950C83"/>
    <w:rsid w:val="00962FB2"/>
    <w:rsid w:val="009632CA"/>
    <w:rsid w:val="00977127"/>
    <w:rsid w:val="00977C39"/>
    <w:rsid w:val="00986925"/>
    <w:rsid w:val="009A0527"/>
    <w:rsid w:val="009B10F2"/>
    <w:rsid w:val="009B2B16"/>
    <w:rsid w:val="009B72E8"/>
    <w:rsid w:val="009C0491"/>
    <w:rsid w:val="009C4403"/>
    <w:rsid w:val="009D02F5"/>
    <w:rsid w:val="009F2FC0"/>
    <w:rsid w:val="00A00FDF"/>
    <w:rsid w:val="00A10B50"/>
    <w:rsid w:val="00A11130"/>
    <w:rsid w:val="00A125BD"/>
    <w:rsid w:val="00A169E8"/>
    <w:rsid w:val="00A20311"/>
    <w:rsid w:val="00A20BEC"/>
    <w:rsid w:val="00A330E6"/>
    <w:rsid w:val="00A330F4"/>
    <w:rsid w:val="00A37DC4"/>
    <w:rsid w:val="00A56102"/>
    <w:rsid w:val="00A65E50"/>
    <w:rsid w:val="00A7310A"/>
    <w:rsid w:val="00A74FF4"/>
    <w:rsid w:val="00A82655"/>
    <w:rsid w:val="00A838D4"/>
    <w:rsid w:val="00A862F9"/>
    <w:rsid w:val="00AA6FCE"/>
    <w:rsid w:val="00AC06EA"/>
    <w:rsid w:val="00AC13C4"/>
    <w:rsid w:val="00AC46CA"/>
    <w:rsid w:val="00AD0647"/>
    <w:rsid w:val="00AD2432"/>
    <w:rsid w:val="00AD2DEC"/>
    <w:rsid w:val="00AE0717"/>
    <w:rsid w:val="00AF248C"/>
    <w:rsid w:val="00AF45C5"/>
    <w:rsid w:val="00B04A26"/>
    <w:rsid w:val="00B06315"/>
    <w:rsid w:val="00B06412"/>
    <w:rsid w:val="00B12113"/>
    <w:rsid w:val="00B52CAE"/>
    <w:rsid w:val="00B6628B"/>
    <w:rsid w:val="00B825F1"/>
    <w:rsid w:val="00B87C60"/>
    <w:rsid w:val="00B9112B"/>
    <w:rsid w:val="00B91DEB"/>
    <w:rsid w:val="00B91F88"/>
    <w:rsid w:val="00B95F2F"/>
    <w:rsid w:val="00BA3E90"/>
    <w:rsid w:val="00BA53DC"/>
    <w:rsid w:val="00BA55CA"/>
    <w:rsid w:val="00BA6E36"/>
    <w:rsid w:val="00BA78AC"/>
    <w:rsid w:val="00BB20E8"/>
    <w:rsid w:val="00BB3FC3"/>
    <w:rsid w:val="00BC6514"/>
    <w:rsid w:val="00BE7389"/>
    <w:rsid w:val="00C04060"/>
    <w:rsid w:val="00C06B4A"/>
    <w:rsid w:val="00C124E7"/>
    <w:rsid w:val="00C20E4E"/>
    <w:rsid w:val="00C31926"/>
    <w:rsid w:val="00C435B3"/>
    <w:rsid w:val="00C4461B"/>
    <w:rsid w:val="00C464B1"/>
    <w:rsid w:val="00C6718D"/>
    <w:rsid w:val="00C84BC4"/>
    <w:rsid w:val="00C94711"/>
    <w:rsid w:val="00C965D6"/>
    <w:rsid w:val="00C9769E"/>
    <w:rsid w:val="00CB1F72"/>
    <w:rsid w:val="00CB718E"/>
    <w:rsid w:val="00CE0DEF"/>
    <w:rsid w:val="00CF01AF"/>
    <w:rsid w:val="00CF3C16"/>
    <w:rsid w:val="00CF7847"/>
    <w:rsid w:val="00D038CA"/>
    <w:rsid w:val="00D210F3"/>
    <w:rsid w:val="00D2252C"/>
    <w:rsid w:val="00D22CCB"/>
    <w:rsid w:val="00D2318E"/>
    <w:rsid w:val="00D2443E"/>
    <w:rsid w:val="00D24BDD"/>
    <w:rsid w:val="00D27DCB"/>
    <w:rsid w:val="00D337F4"/>
    <w:rsid w:val="00D34256"/>
    <w:rsid w:val="00D34669"/>
    <w:rsid w:val="00D4495D"/>
    <w:rsid w:val="00D46431"/>
    <w:rsid w:val="00D50D90"/>
    <w:rsid w:val="00D55983"/>
    <w:rsid w:val="00D56A4D"/>
    <w:rsid w:val="00D84935"/>
    <w:rsid w:val="00D97B94"/>
    <w:rsid w:val="00DA13A2"/>
    <w:rsid w:val="00DA6417"/>
    <w:rsid w:val="00DA6A74"/>
    <w:rsid w:val="00DA6BC5"/>
    <w:rsid w:val="00DA7539"/>
    <w:rsid w:val="00DB4165"/>
    <w:rsid w:val="00DC1285"/>
    <w:rsid w:val="00DC1455"/>
    <w:rsid w:val="00DC1E1E"/>
    <w:rsid w:val="00DC5C2B"/>
    <w:rsid w:val="00DD6E65"/>
    <w:rsid w:val="00DF25B9"/>
    <w:rsid w:val="00DF60D9"/>
    <w:rsid w:val="00E01A2D"/>
    <w:rsid w:val="00E02B5B"/>
    <w:rsid w:val="00E07410"/>
    <w:rsid w:val="00E22291"/>
    <w:rsid w:val="00E36E93"/>
    <w:rsid w:val="00E51317"/>
    <w:rsid w:val="00E61EEF"/>
    <w:rsid w:val="00E62C6A"/>
    <w:rsid w:val="00E65C01"/>
    <w:rsid w:val="00E857D1"/>
    <w:rsid w:val="00E90002"/>
    <w:rsid w:val="00E91FF0"/>
    <w:rsid w:val="00EA2D9A"/>
    <w:rsid w:val="00EA57A8"/>
    <w:rsid w:val="00EA6FC6"/>
    <w:rsid w:val="00EB7D23"/>
    <w:rsid w:val="00EC095F"/>
    <w:rsid w:val="00EC0E10"/>
    <w:rsid w:val="00EC298C"/>
    <w:rsid w:val="00EC3177"/>
    <w:rsid w:val="00ED4D3D"/>
    <w:rsid w:val="00ED78C7"/>
    <w:rsid w:val="00F1275D"/>
    <w:rsid w:val="00F15504"/>
    <w:rsid w:val="00F24D6E"/>
    <w:rsid w:val="00F346FE"/>
    <w:rsid w:val="00F40C57"/>
    <w:rsid w:val="00F41C3A"/>
    <w:rsid w:val="00F424A7"/>
    <w:rsid w:val="00F42511"/>
    <w:rsid w:val="00F5145A"/>
    <w:rsid w:val="00F53496"/>
    <w:rsid w:val="00F538B0"/>
    <w:rsid w:val="00F5414A"/>
    <w:rsid w:val="00F61886"/>
    <w:rsid w:val="00F63801"/>
    <w:rsid w:val="00F80398"/>
    <w:rsid w:val="00F84DBD"/>
    <w:rsid w:val="00F87E65"/>
    <w:rsid w:val="00F91C4B"/>
    <w:rsid w:val="00FA694F"/>
    <w:rsid w:val="00FC1B79"/>
    <w:rsid w:val="00FD645D"/>
    <w:rsid w:val="00FE39A1"/>
    <w:rsid w:val="00FF647E"/>
    <w:rsid w:val="05A22916"/>
    <w:rsid w:val="088A15BB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0463541"/>
    <w:rsid w:val="32851872"/>
    <w:rsid w:val="3538685D"/>
    <w:rsid w:val="360E55BB"/>
    <w:rsid w:val="376F0E29"/>
    <w:rsid w:val="3CC75CC4"/>
    <w:rsid w:val="424B3DD2"/>
    <w:rsid w:val="43312354"/>
    <w:rsid w:val="45570552"/>
    <w:rsid w:val="491C4100"/>
    <w:rsid w:val="4DA96408"/>
    <w:rsid w:val="51702566"/>
    <w:rsid w:val="52A84715"/>
    <w:rsid w:val="5B464E69"/>
    <w:rsid w:val="5FE61766"/>
    <w:rsid w:val="603A624F"/>
    <w:rsid w:val="6412273A"/>
    <w:rsid w:val="65966139"/>
    <w:rsid w:val="6B954470"/>
    <w:rsid w:val="6BDC034B"/>
    <w:rsid w:val="6D336949"/>
    <w:rsid w:val="71A10660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07A4"/>
  <w15:docId w15:val="{CEBF93FF-683F-4CC6-82AD-EEBBE4A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08">
    <w:name w:val="_Style 208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40C3-4074-4742-9D0A-3681DE7CBAD9}">
  <ds:schemaRefs/>
</ds:datastoreItem>
</file>

<file path=customXml/itemProps2.xml><?xml version="1.0" encoding="utf-8"?>
<ds:datastoreItem xmlns:ds="http://schemas.openxmlformats.org/officeDocument/2006/customXml" ds:itemID="{F2B9ABDE-6369-462B-80D0-2B9A7FED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1010</Words>
  <Characters>1091</Characters>
  <Application>Microsoft Office Word</Application>
  <DocSecurity>0</DocSecurity>
  <Lines>218</Lines>
  <Paragraphs>262</Paragraphs>
  <ScaleCrop>false</ScaleCrop>
  <Company>中国石油大学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a46896</cp:lastModifiedBy>
  <cp:revision>61</cp:revision>
  <dcterms:created xsi:type="dcterms:W3CDTF">2023-05-29T08:34:00Z</dcterms:created>
  <dcterms:modified xsi:type="dcterms:W3CDTF">2026-04-07T10:01:00Z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eyJoZGlkIjoiNmNiNjkwMjkyODA3MTc0M2U0MDcxYTA4YzlmNDhjMDYiLCJ1c2VySWQiOiIxMjA5NzE2ODA1In0=</vt:lpwstr>
  </property>
</Properties>
</file>