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8CAD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证券简称：精智达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>
      <w:pPr>
        <w:spacing w:line="42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 w14:paraId="43E1B42C">
      <w:pPr>
        <w:spacing w:line="42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深圳精智达技术股份有限公司</w:t>
      </w:r>
    </w:p>
    <w:p w14:paraId="695863EC">
      <w:pPr>
        <w:spacing w:line="42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投资者关系活动记录表</w:t>
      </w:r>
    </w:p>
    <w:p w14:paraId="179AEA56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9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521"/>
      </w:tblGrid>
      <w:tr w14:paraId="6F835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1642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6BC647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特定对象调研        □ 分析师会议</w:t>
            </w:r>
          </w:p>
          <w:p w14:paraId="4B049B66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□ 媒体采访            </w:t>
            </w: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业绩说明会</w:t>
            </w:r>
          </w:p>
          <w:p w14:paraId="262A2F44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□ 新闻发布会          </w:t>
            </w: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路演活动</w:t>
            </w:r>
          </w:p>
          <w:p w14:paraId="63C9EBFF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现场调研            </w:t>
            </w:r>
            <w:r>
              <w:rPr>
                <w:rFonts w:hint="eastAsia" w:eastAsia="宋体"/>
              </w:rPr>
              <w:sym w:font="Wingdings 2" w:char="0052"/>
            </w:r>
            <w:r>
              <w:rPr>
                <w:rFonts w:hint="eastAsia" w:eastAsia="宋体"/>
              </w:rPr>
              <w:t xml:space="preserve"> 电话会议</w:t>
            </w:r>
          </w:p>
          <w:p w14:paraId="0EC9AC45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 w:eastAsia="宋体"/>
              </w:rPr>
              <w:t xml:space="preserve"> 其他：券商策略会</w:t>
            </w:r>
          </w:p>
        </w:tc>
      </w:tr>
      <w:tr w14:paraId="4A079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C330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4BDD63">
            <w:pPr>
              <w:spacing w:line="42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易方达基金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汇添富基金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中欧基金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鹏华基金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国泰基金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博时基金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兴全</w:t>
            </w:r>
            <w:r>
              <w:rPr>
                <w:rFonts w:hint="eastAsia" w:eastAsia="宋体"/>
                <w:lang w:val="en-US" w:eastAsia="zh-CN"/>
              </w:rPr>
              <w:t>基金、</w:t>
            </w:r>
            <w:r>
              <w:rPr>
                <w:rFonts w:hint="default" w:eastAsia="宋体"/>
                <w:lang w:val="en-US" w:eastAsia="zh-CN"/>
              </w:rPr>
              <w:t>华安基金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银华基金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永赢基金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信达澳银基金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泉果基金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安信基金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长信基金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宝盈基金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兴银基金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中信保诚基金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高盛国际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国金基金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bookmarkStart w:id="0" w:name="_GoBack"/>
            <w:bookmarkEnd w:id="0"/>
            <w:r>
              <w:rPr>
                <w:rFonts w:hint="default" w:eastAsia="宋体"/>
                <w:lang w:val="en-US" w:eastAsia="zh-CN"/>
              </w:rPr>
              <w:t>瑞银证券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广东恒昇基金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上海清淙投资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苏州永鑫方舟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上海伯兄投资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上海名禹资产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北京沣沛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誉辉资本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上海杭贵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创金合信基金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大家资产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武汉证国私募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东吴证券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长江证券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申万菱信基金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湖南长心私募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西藏东财基金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华美国际投资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深圳昭图投资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长城财富保险</w:t>
            </w:r>
            <w:r>
              <w:rPr>
                <w:rFonts w:hint="eastAsia" w:eastAsia="宋体"/>
                <w:lang w:val="en-US" w:eastAsia="zh-CN"/>
              </w:rPr>
              <w:t>资产、</w:t>
            </w:r>
            <w:r>
              <w:rPr>
                <w:rFonts w:hint="default" w:eastAsia="宋体"/>
                <w:lang w:val="en-US" w:eastAsia="zh-CN"/>
              </w:rPr>
              <w:t>上海中交达资产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中国国际金融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上海益和源资产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西安敦成私募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深圳前海辰星私募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国寿安保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深圳创富兆业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太平资产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上海五聚资产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北京宏道投资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杭州锐稳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江苏汇鸿汇升投资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混沌天成国际资产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昆仑健康保险资管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太平洋证券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上海坤泰宏晨私募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上海健顺投资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华源证券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新百信基金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招商证券资产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深圳市金之灏基金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上海诚熠私募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华润元大基金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上海慈阳投资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瀚川投资</w:t>
            </w:r>
            <w:r>
              <w:rPr>
                <w:rFonts w:hint="eastAsia" w:eastAsia="宋体"/>
                <w:lang w:val="en-US" w:eastAsia="zh-CN"/>
              </w:rPr>
              <w:t>、台湾国泰</w:t>
            </w:r>
            <w:r>
              <w:rPr>
                <w:rFonts w:hint="default" w:eastAsia="宋体"/>
                <w:lang w:val="en-US" w:eastAsia="zh-CN"/>
              </w:rPr>
              <w:t>证券投资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北京成泉资本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浙江秘银投资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上海钦沐资产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玄卜投资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宁波宝隽资产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深圳中天汇富基金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平安银行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盛宇投资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点宝资产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北京暖逸欣私募基金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东方基金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上海红象投资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富安达基金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天风证券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国联基金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鹏扬基金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财通基金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阳光资产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睿远基金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新华基金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深圳市尚诚资产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安徽美通私募基金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深圳市恒昇私募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英大证券</w:t>
            </w:r>
            <w:r>
              <w:rPr>
                <w:rFonts w:hint="eastAsia" w:eastAsia="宋体"/>
                <w:lang w:val="en-US" w:eastAsia="zh-CN"/>
              </w:rPr>
              <w:t>、招银理财、</w:t>
            </w:r>
            <w:r>
              <w:rPr>
                <w:rFonts w:hint="default" w:eastAsia="宋体"/>
                <w:lang w:val="en-US" w:eastAsia="zh-CN"/>
              </w:rPr>
              <w:t>前海夷吾资产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深圳国源信达资本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深圳市易同投资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北京衍航投资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浙商证券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道仁资产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长盛基金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华西证券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深圳熙山资本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英特集团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兴业证券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首创证券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于翼资产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睿目投资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东方阿尔法基金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民生证券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深圳市远致瑞信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深圳望正资产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九派资本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金仕达投资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上海世诚投资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大湾区发展基金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西部利得基金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新华资产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国泰君安证券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上海运舟私募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山西证券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华商基金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天堂硅谷创业投资集团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浙江益恒投资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上海璞远资产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厦门市乾行资产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成都君海资本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东方财富证券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上海君和立成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深圳前海华杉投资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共青城鼎睿资产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中国人民健康保险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上海申银万国证券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台湾国泰人寿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兴业基金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国泰君安资管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浙江英睿投资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华福证券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君子乾乾私募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福州开发区三鑫资产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北京鼎诺投资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凯联投资基金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财通证券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中汇(北京)私募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华金证券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上海合远私募基金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永安财产保险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九泰基金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光大保德信基金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深圳市铭远资产</w:t>
            </w:r>
            <w:r>
              <w:rPr>
                <w:rFonts w:hint="eastAsia" w:eastAsia="宋体"/>
                <w:lang w:val="en-US" w:eastAsia="zh-CN"/>
              </w:rPr>
              <w:t>、华泰资产、</w:t>
            </w:r>
            <w:r>
              <w:rPr>
                <w:rFonts w:hint="default" w:eastAsia="宋体"/>
                <w:lang w:val="en-US" w:eastAsia="zh-CN"/>
              </w:rPr>
              <w:t>Point72 Hong Kong Limited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Pleiad Investment Advisors Limited</w:t>
            </w:r>
            <w:r>
              <w:rPr>
                <w:rFonts w:hint="eastAsia" w:eastAsia="宋体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Dragonstone Capital Management Limited</w:t>
            </w:r>
          </w:p>
        </w:tc>
      </w:tr>
      <w:tr w14:paraId="49D9A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62AC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3EA2F6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t>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hint="eastAsia" w:eastAsia="宋体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>12</w:t>
            </w:r>
            <w:r>
              <w:rPr>
                <w:rFonts w:hint="eastAsia" w:eastAsia="宋体"/>
              </w:rPr>
              <w:t>日</w:t>
            </w:r>
          </w:p>
        </w:tc>
      </w:tr>
      <w:tr w14:paraId="32470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9D202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C85D4E">
            <w:pPr>
              <w:spacing w:line="42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进门财经线上平台</w:t>
            </w:r>
          </w:p>
        </w:tc>
      </w:tr>
      <w:tr w14:paraId="13218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64D93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CE725C"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lang w:val="en-US" w:eastAsia="zh-CN" w:bidi="ar"/>
              </w:rPr>
              <w:t>董事：谢思遥</w:t>
            </w:r>
          </w:p>
          <w:p w14:paraId="35667E4F"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lang w:bidi="ar"/>
              </w:rPr>
              <w:t>董事会秘书：彭娟</w:t>
            </w:r>
          </w:p>
        </w:tc>
      </w:tr>
      <w:tr w14:paraId="13A6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FB4BE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608C91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一、公司2025年经营情况介绍</w:t>
            </w:r>
          </w:p>
          <w:p w14:paraId="3D1337F6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年度，公司全年实现营业收入112,806.11万元，同比增长40.46%，其中第四季度营业收入实现同比近60%、环比超20%的高速增长。依托核心产品矩阵的协同发力及各业务线的突破性进展，存储测试设备全站点服务能力初步显现，其中高成长性的存储测试设备业务收入同比增长151.31%，存储测试设备业务营收规模首次超过AMOLED检测设备业务，业务结构持续优化，反映公司在半导体存储测试领域的技术积累与市场拓展成效。</w:t>
            </w:r>
          </w:p>
          <w:p w14:paraId="197A3187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A0D49F7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二、公司产品进展情况介绍</w:t>
            </w:r>
          </w:p>
          <w:p w14:paraId="3ADBEE27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公司已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初步建成全站点服务能力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，并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构建面向AI时代的五大产品线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。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存储测试设备领域，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公司成功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向客户交付首台自主研发的9Gbps高速FT测试机，同时稳步推进18Gbps高速FT测试机项目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探针卡已稳固占据核心客户国内主力供应商地位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，市场竞争力持续提升；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XR检测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设备业务成效显著，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海外收入首次实现大幅增长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，展现出又一个新的业务增长曲线；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算力芯片测试设备领域，公司持续投入研发以攻克算力芯片测试设备技术难关，加速推进算力芯片测试设备的国产化自主突破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；AMOLED检测设备领域，报告期内，公司已获得国内头部面板厂批量订单，并助力客户G8.6AMOLED生产线首款产品点亮，进一步巩固了公司在显示检测领域的国产化领先地位。</w:t>
            </w:r>
          </w:p>
          <w:p w14:paraId="530A0740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776C9E62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三、公司2025年研发投入情况</w:t>
            </w:r>
          </w:p>
          <w:p w14:paraId="79BECCFA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严格践行“量产一代、在研一代、预研一代”的阶梯式可持续研发节奏，研发投入持续加大。2025年公司研发投入合计18,311.81万元，同比增长66.94%，研发投入占营业收入比例达16.23%，连续三年保持高比例增长，投入强度创历史新高。截至2025年末，公司研发人员437人，研发投入强度稳步提升，研发团队梯队持续优化。</w:t>
            </w:r>
          </w:p>
          <w:p w14:paraId="514D7BC4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381A4B3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四、公司2026年限制性股票激励计划情况</w:t>
            </w:r>
          </w:p>
          <w:p w14:paraId="11E8A595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为持续激活组织活力，公司于2026年4月1日以234.92元/股的授予价格向115名激励对象授予80.00万股限制性股票。充分彰显公司管理层与核心团队对公司长期发展前景、内在价值及未来业绩增长的坚定信心，进一步强化核心人才与公司利益的深度绑定。</w:t>
            </w:r>
          </w:p>
          <w:p w14:paraId="56D37441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</w:p>
          <w:p w14:paraId="22955540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重大战略投资布局</w:t>
            </w:r>
          </w:p>
          <w:p w14:paraId="6906A4A8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公司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拟实施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总额约30亿元的重大战略投资，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围绕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深圳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、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上海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两地推进“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产研并进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”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战略布局，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建设“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半导体存储测试设备研发及产业化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智造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项目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”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与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“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高端芯片测试设备及前沿技术研发中心项目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”。一方面，通过提升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公司高端半导体存储测试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设备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产业化能力，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高效响应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下游客户供应链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需求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进一步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加速高端半导体测试设备的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自主突破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进程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；另一方面，依托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前沿技术研发中心，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聚焦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高端芯片测试设备及技术的研发，持续攻坚高速测试等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关键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前沿技术，以保持公司的长期技术竞争力。</w:t>
            </w:r>
          </w:p>
        </w:tc>
      </w:tr>
      <w:tr w14:paraId="75A6A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3E77A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9C9573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本次活动不涉及应当披露重大信息。</w:t>
            </w:r>
          </w:p>
        </w:tc>
      </w:tr>
      <w:tr w14:paraId="36242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3ED5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D424C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 w14:paraId="46A02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9ED5D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2FEA2F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hint="eastAsia" w:eastAsia="宋体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>14</w:t>
            </w:r>
            <w:r>
              <w:rPr>
                <w:rFonts w:hint="eastAsia" w:eastAsia="宋体"/>
              </w:rPr>
              <w:t>日</w:t>
            </w:r>
          </w:p>
        </w:tc>
      </w:tr>
    </w:tbl>
    <w:p w14:paraId="41F4E317">
      <w:pPr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1606D"/>
    <w:multiLevelType w:val="multilevel"/>
    <w:tmpl w:val="5A81606D"/>
    <w:lvl w:ilvl="0" w:tentative="0">
      <w:start w:val="1"/>
      <w:numFmt w:val="japaneseCounting"/>
      <w:pStyle w:val="14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07163"/>
    <w:rsid w:val="000143ED"/>
    <w:rsid w:val="000809C6"/>
    <w:rsid w:val="000B11FB"/>
    <w:rsid w:val="00116D03"/>
    <w:rsid w:val="001B6AB3"/>
    <w:rsid w:val="001F36A3"/>
    <w:rsid w:val="00224F18"/>
    <w:rsid w:val="002570D5"/>
    <w:rsid w:val="002A6741"/>
    <w:rsid w:val="002C18CD"/>
    <w:rsid w:val="003162BD"/>
    <w:rsid w:val="003A55FD"/>
    <w:rsid w:val="003C084D"/>
    <w:rsid w:val="003C167C"/>
    <w:rsid w:val="003D42F8"/>
    <w:rsid w:val="00434D79"/>
    <w:rsid w:val="00436082"/>
    <w:rsid w:val="004D0354"/>
    <w:rsid w:val="004D2008"/>
    <w:rsid w:val="004D61A5"/>
    <w:rsid w:val="004E3CEB"/>
    <w:rsid w:val="004F4433"/>
    <w:rsid w:val="00580FCE"/>
    <w:rsid w:val="006404FB"/>
    <w:rsid w:val="00673D2E"/>
    <w:rsid w:val="007563BB"/>
    <w:rsid w:val="007926C1"/>
    <w:rsid w:val="007C1A30"/>
    <w:rsid w:val="007E40A4"/>
    <w:rsid w:val="0081021E"/>
    <w:rsid w:val="008332BF"/>
    <w:rsid w:val="008A74F2"/>
    <w:rsid w:val="00995811"/>
    <w:rsid w:val="009A3F50"/>
    <w:rsid w:val="009B2C69"/>
    <w:rsid w:val="00AD6F00"/>
    <w:rsid w:val="00B22F5F"/>
    <w:rsid w:val="00B41E01"/>
    <w:rsid w:val="00B478BB"/>
    <w:rsid w:val="00B61A3F"/>
    <w:rsid w:val="00C04C42"/>
    <w:rsid w:val="00C2151A"/>
    <w:rsid w:val="00C422FB"/>
    <w:rsid w:val="00C7271F"/>
    <w:rsid w:val="00CA0A4C"/>
    <w:rsid w:val="00CA0BCB"/>
    <w:rsid w:val="00CC585E"/>
    <w:rsid w:val="00D24809"/>
    <w:rsid w:val="00D3361D"/>
    <w:rsid w:val="00D461BC"/>
    <w:rsid w:val="00D648DB"/>
    <w:rsid w:val="00DE3995"/>
    <w:rsid w:val="00DF04ED"/>
    <w:rsid w:val="00E04124"/>
    <w:rsid w:val="00ED1B49"/>
    <w:rsid w:val="00FC68A5"/>
    <w:rsid w:val="011E3D92"/>
    <w:rsid w:val="02D432A2"/>
    <w:rsid w:val="03015719"/>
    <w:rsid w:val="03BF4636"/>
    <w:rsid w:val="03E51F28"/>
    <w:rsid w:val="045521C0"/>
    <w:rsid w:val="04B9539C"/>
    <w:rsid w:val="04D07A99"/>
    <w:rsid w:val="051032D9"/>
    <w:rsid w:val="05850883"/>
    <w:rsid w:val="05F3305E"/>
    <w:rsid w:val="06672F9A"/>
    <w:rsid w:val="07690DCB"/>
    <w:rsid w:val="07F76FDC"/>
    <w:rsid w:val="0883674A"/>
    <w:rsid w:val="0892083F"/>
    <w:rsid w:val="094620D8"/>
    <w:rsid w:val="097C1F9D"/>
    <w:rsid w:val="09B47989"/>
    <w:rsid w:val="09CA2D09"/>
    <w:rsid w:val="09D750A5"/>
    <w:rsid w:val="0B0C7351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DF50570"/>
    <w:rsid w:val="0E0109D3"/>
    <w:rsid w:val="0E4B1F3E"/>
    <w:rsid w:val="0E5055E0"/>
    <w:rsid w:val="0E8F62FB"/>
    <w:rsid w:val="0F7D25CB"/>
    <w:rsid w:val="0FB86718"/>
    <w:rsid w:val="0FFE24A1"/>
    <w:rsid w:val="10246863"/>
    <w:rsid w:val="10346D7C"/>
    <w:rsid w:val="106A6FF4"/>
    <w:rsid w:val="110357B4"/>
    <w:rsid w:val="1166258B"/>
    <w:rsid w:val="118714DF"/>
    <w:rsid w:val="118C4D48"/>
    <w:rsid w:val="11A025A1"/>
    <w:rsid w:val="11E30E22"/>
    <w:rsid w:val="1211524D"/>
    <w:rsid w:val="12850115"/>
    <w:rsid w:val="12A92AF0"/>
    <w:rsid w:val="12CF7B44"/>
    <w:rsid w:val="12EF15FF"/>
    <w:rsid w:val="13525B1D"/>
    <w:rsid w:val="13940AFE"/>
    <w:rsid w:val="14A5684C"/>
    <w:rsid w:val="151B6448"/>
    <w:rsid w:val="154716B1"/>
    <w:rsid w:val="15933AA4"/>
    <w:rsid w:val="15A73A04"/>
    <w:rsid w:val="166013F8"/>
    <w:rsid w:val="168D3A3C"/>
    <w:rsid w:val="17313EC8"/>
    <w:rsid w:val="174720B3"/>
    <w:rsid w:val="17926790"/>
    <w:rsid w:val="18534811"/>
    <w:rsid w:val="187C6F87"/>
    <w:rsid w:val="18A63BCA"/>
    <w:rsid w:val="18D86AC4"/>
    <w:rsid w:val="19630A84"/>
    <w:rsid w:val="19A14B4E"/>
    <w:rsid w:val="19AB71E7"/>
    <w:rsid w:val="19D93400"/>
    <w:rsid w:val="19DC1649"/>
    <w:rsid w:val="1A3B37AF"/>
    <w:rsid w:val="1A472154"/>
    <w:rsid w:val="1AC704E3"/>
    <w:rsid w:val="1AE14356"/>
    <w:rsid w:val="1BB2184F"/>
    <w:rsid w:val="1C47468D"/>
    <w:rsid w:val="1CF7548B"/>
    <w:rsid w:val="1D077862"/>
    <w:rsid w:val="1D3C5874"/>
    <w:rsid w:val="1D4B7AEE"/>
    <w:rsid w:val="1D814A16"/>
    <w:rsid w:val="1DF443A0"/>
    <w:rsid w:val="1E2935D2"/>
    <w:rsid w:val="1E396614"/>
    <w:rsid w:val="1E761259"/>
    <w:rsid w:val="1EFB350D"/>
    <w:rsid w:val="1F6966C8"/>
    <w:rsid w:val="1FBC3D2C"/>
    <w:rsid w:val="1FEC5FF4"/>
    <w:rsid w:val="201523AC"/>
    <w:rsid w:val="202C40EB"/>
    <w:rsid w:val="205B4263"/>
    <w:rsid w:val="20B87907"/>
    <w:rsid w:val="221F0D41"/>
    <w:rsid w:val="22C75BE0"/>
    <w:rsid w:val="2422439F"/>
    <w:rsid w:val="247212EF"/>
    <w:rsid w:val="249B37C8"/>
    <w:rsid w:val="24B92EB3"/>
    <w:rsid w:val="24E3748B"/>
    <w:rsid w:val="2556645E"/>
    <w:rsid w:val="25766125"/>
    <w:rsid w:val="26834513"/>
    <w:rsid w:val="26F95E44"/>
    <w:rsid w:val="27BD1CA7"/>
    <w:rsid w:val="27BD6C9C"/>
    <w:rsid w:val="27CB43C4"/>
    <w:rsid w:val="28071479"/>
    <w:rsid w:val="285C5774"/>
    <w:rsid w:val="28E57C59"/>
    <w:rsid w:val="2A0D3989"/>
    <w:rsid w:val="2A8041BE"/>
    <w:rsid w:val="2ABE3D6C"/>
    <w:rsid w:val="2B836D64"/>
    <w:rsid w:val="2C177723"/>
    <w:rsid w:val="2C3761A3"/>
    <w:rsid w:val="2C743D62"/>
    <w:rsid w:val="2CA62D0A"/>
    <w:rsid w:val="2E0A72C8"/>
    <w:rsid w:val="2E5167EE"/>
    <w:rsid w:val="2E5B6A62"/>
    <w:rsid w:val="2E662F01"/>
    <w:rsid w:val="2E6E7857"/>
    <w:rsid w:val="2FC01D17"/>
    <w:rsid w:val="2FC455D7"/>
    <w:rsid w:val="30316D8E"/>
    <w:rsid w:val="30C33764"/>
    <w:rsid w:val="30E3452C"/>
    <w:rsid w:val="31254850"/>
    <w:rsid w:val="319A0963"/>
    <w:rsid w:val="31DE6AA2"/>
    <w:rsid w:val="321626E0"/>
    <w:rsid w:val="3276224D"/>
    <w:rsid w:val="32F3657D"/>
    <w:rsid w:val="33414684"/>
    <w:rsid w:val="34951FE2"/>
    <w:rsid w:val="34A55F9D"/>
    <w:rsid w:val="35354896"/>
    <w:rsid w:val="355C77BE"/>
    <w:rsid w:val="35C61D5E"/>
    <w:rsid w:val="35D46B3A"/>
    <w:rsid w:val="35F07D9F"/>
    <w:rsid w:val="362B4280"/>
    <w:rsid w:val="36317AC2"/>
    <w:rsid w:val="36323860"/>
    <w:rsid w:val="37050429"/>
    <w:rsid w:val="37667C65"/>
    <w:rsid w:val="378974B0"/>
    <w:rsid w:val="38141F91"/>
    <w:rsid w:val="38C70290"/>
    <w:rsid w:val="393F076E"/>
    <w:rsid w:val="399A3BE1"/>
    <w:rsid w:val="3A595C16"/>
    <w:rsid w:val="3A687850"/>
    <w:rsid w:val="3B257393"/>
    <w:rsid w:val="3B3E000B"/>
    <w:rsid w:val="3C1001A0"/>
    <w:rsid w:val="3C2974B3"/>
    <w:rsid w:val="3CEF24AB"/>
    <w:rsid w:val="3D7C3621"/>
    <w:rsid w:val="3EBC63BD"/>
    <w:rsid w:val="3F3E7DFF"/>
    <w:rsid w:val="3F9609BC"/>
    <w:rsid w:val="402266F3"/>
    <w:rsid w:val="40345770"/>
    <w:rsid w:val="412C1E99"/>
    <w:rsid w:val="41967399"/>
    <w:rsid w:val="41A970CC"/>
    <w:rsid w:val="42E156C9"/>
    <w:rsid w:val="433B01F8"/>
    <w:rsid w:val="43D7658C"/>
    <w:rsid w:val="442432D6"/>
    <w:rsid w:val="442E5667"/>
    <w:rsid w:val="444C3D3F"/>
    <w:rsid w:val="44F05012"/>
    <w:rsid w:val="45FE72BB"/>
    <w:rsid w:val="46454EEA"/>
    <w:rsid w:val="465D66D7"/>
    <w:rsid w:val="46F838C7"/>
    <w:rsid w:val="477B2FAE"/>
    <w:rsid w:val="47A02844"/>
    <w:rsid w:val="47C3256A"/>
    <w:rsid w:val="47D92AF8"/>
    <w:rsid w:val="48210086"/>
    <w:rsid w:val="4829431C"/>
    <w:rsid w:val="48912668"/>
    <w:rsid w:val="49155047"/>
    <w:rsid w:val="493A123D"/>
    <w:rsid w:val="49492F43"/>
    <w:rsid w:val="4A7E276D"/>
    <w:rsid w:val="4AE118F5"/>
    <w:rsid w:val="4AED1592"/>
    <w:rsid w:val="4C0F7417"/>
    <w:rsid w:val="4C172E84"/>
    <w:rsid w:val="4C7C4C4C"/>
    <w:rsid w:val="4C8C6177"/>
    <w:rsid w:val="4DAB41CC"/>
    <w:rsid w:val="4DF23BA9"/>
    <w:rsid w:val="4DFD68F5"/>
    <w:rsid w:val="4EEE25C2"/>
    <w:rsid w:val="4F1D6A04"/>
    <w:rsid w:val="4F6C34E7"/>
    <w:rsid w:val="50A0169A"/>
    <w:rsid w:val="5156444F"/>
    <w:rsid w:val="54264317"/>
    <w:rsid w:val="54C47921"/>
    <w:rsid w:val="5546203F"/>
    <w:rsid w:val="55F73341"/>
    <w:rsid w:val="56424FA2"/>
    <w:rsid w:val="567A6E1F"/>
    <w:rsid w:val="56D976B4"/>
    <w:rsid w:val="573C40E7"/>
    <w:rsid w:val="575E22AF"/>
    <w:rsid w:val="58327CB8"/>
    <w:rsid w:val="58A35C5E"/>
    <w:rsid w:val="5A1530F9"/>
    <w:rsid w:val="5A3A490E"/>
    <w:rsid w:val="5B8028DC"/>
    <w:rsid w:val="5BFA60FE"/>
    <w:rsid w:val="5C0F1DCA"/>
    <w:rsid w:val="5CB62246"/>
    <w:rsid w:val="5D02548B"/>
    <w:rsid w:val="5DE80B25"/>
    <w:rsid w:val="5E61553A"/>
    <w:rsid w:val="5EAF096B"/>
    <w:rsid w:val="5F2C52ED"/>
    <w:rsid w:val="5F993E84"/>
    <w:rsid w:val="6028345A"/>
    <w:rsid w:val="618E4F17"/>
    <w:rsid w:val="6249141B"/>
    <w:rsid w:val="6288306E"/>
    <w:rsid w:val="62992202"/>
    <w:rsid w:val="63027F93"/>
    <w:rsid w:val="63780255"/>
    <w:rsid w:val="63984453"/>
    <w:rsid w:val="639D5F0D"/>
    <w:rsid w:val="63B70D7D"/>
    <w:rsid w:val="646031C3"/>
    <w:rsid w:val="649B069F"/>
    <w:rsid w:val="65D73958"/>
    <w:rsid w:val="66AB64F3"/>
    <w:rsid w:val="67BA61E8"/>
    <w:rsid w:val="6916161A"/>
    <w:rsid w:val="694035C3"/>
    <w:rsid w:val="69FA5E67"/>
    <w:rsid w:val="6B5A6FBD"/>
    <w:rsid w:val="6B8359E9"/>
    <w:rsid w:val="6BEE37AA"/>
    <w:rsid w:val="6C705F6D"/>
    <w:rsid w:val="6C845EBC"/>
    <w:rsid w:val="6CF51267"/>
    <w:rsid w:val="6D35260A"/>
    <w:rsid w:val="6D513FF0"/>
    <w:rsid w:val="6DA50B0D"/>
    <w:rsid w:val="6DBC6B1F"/>
    <w:rsid w:val="6E1B015A"/>
    <w:rsid w:val="6E6C2863"/>
    <w:rsid w:val="6ED32D5B"/>
    <w:rsid w:val="6F993A2D"/>
    <w:rsid w:val="705D3AD4"/>
    <w:rsid w:val="707D334E"/>
    <w:rsid w:val="70C64A2C"/>
    <w:rsid w:val="70D50A94"/>
    <w:rsid w:val="70EF7378"/>
    <w:rsid w:val="710C57F1"/>
    <w:rsid w:val="714F4CEB"/>
    <w:rsid w:val="718C3C42"/>
    <w:rsid w:val="72135D18"/>
    <w:rsid w:val="727F4C6A"/>
    <w:rsid w:val="72CB03A1"/>
    <w:rsid w:val="730833A3"/>
    <w:rsid w:val="73B07597"/>
    <w:rsid w:val="75A82C1C"/>
    <w:rsid w:val="7645046A"/>
    <w:rsid w:val="76EE7A05"/>
    <w:rsid w:val="76EF2683"/>
    <w:rsid w:val="776A3F82"/>
    <w:rsid w:val="77EA73B3"/>
    <w:rsid w:val="783C3AEF"/>
    <w:rsid w:val="78551933"/>
    <w:rsid w:val="7A633FE0"/>
    <w:rsid w:val="7AB10DCB"/>
    <w:rsid w:val="7B3C1668"/>
    <w:rsid w:val="7B6E3FBF"/>
    <w:rsid w:val="7B94453A"/>
    <w:rsid w:val="7C0E7550"/>
    <w:rsid w:val="7C22507F"/>
    <w:rsid w:val="7C7D510B"/>
    <w:rsid w:val="7C896BD7"/>
    <w:rsid w:val="7CAD6D69"/>
    <w:rsid w:val="7D0A7011"/>
    <w:rsid w:val="7D621902"/>
    <w:rsid w:val="7E6A3164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unhideWhenUsed/>
    <w:qFormat/>
    <w:uiPriority w:val="99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hAnsi="楷体" w:eastAsia="楷体"/>
      <w:color w:val="000000"/>
      <w:kern w:val="0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numPr>
        <w:ilvl w:val="0"/>
        <w:numId w:val="1"/>
      </w:numPr>
      <w:spacing w:line="360" w:lineRule="auto"/>
    </w:pPr>
    <w:rPr>
      <w:rFonts w:eastAsia="宋体"/>
      <w:b/>
      <w:bCs/>
    </w:rPr>
  </w:style>
  <w:style w:type="paragraph" w:customStyle="1" w:styleId="15">
    <w:name w:val="005正文"/>
    <w:basedOn w:val="1"/>
    <w:autoRedefine/>
    <w:qFormat/>
    <w:uiPriority w:val="0"/>
    <w:pPr>
      <w:spacing w:before="50" w:beforeLines="50" w:line="360" w:lineRule="auto"/>
      <w:ind w:firstLine="200" w:firstLineChars="200"/>
    </w:pPr>
  </w:style>
  <w:style w:type="character" w:customStyle="1" w:styleId="16">
    <w:name w:val="页眉 字符"/>
    <w:basedOn w:val="10"/>
    <w:link w:val="6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8">
    <w:name w:val="批注框文本 字符"/>
    <w:basedOn w:val="10"/>
    <w:link w:val="4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9">
    <w:name w:val="批注文字 字符"/>
    <w:basedOn w:val="10"/>
    <w:link w:val="2"/>
    <w:autoRedefine/>
    <w:qFormat/>
    <w:uiPriority w:val="0"/>
    <w:rPr>
      <w:rFonts w:eastAsiaTheme="minorEastAsia"/>
      <w:kern w:val="2"/>
      <w:sz w:val="24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eastAsiaTheme="minorEastAsia"/>
      <w:b/>
      <w:bCs/>
      <w:kern w:val="2"/>
      <w:sz w:val="24"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2152</Words>
  <Characters>2350</Characters>
  <Lines>44</Lines>
  <Paragraphs>47</Paragraphs>
  <TotalTime>1</TotalTime>
  <ScaleCrop>false</ScaleCrop>
  <LinksUpToDate>false</LinksUpToDate>
  <CharactersWithSpaces>2473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2025-09-02T06:48:00Z</dcterms:created>
  <dc:creator>Thinkpad</dc:creator>
  <cp:lastModifiedBy>Lyn</cp:lastModifiedBy>
  <dcterms:modified xsi:type="dcterms:W3CDTF">2026-04-14T09:05:19Z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eyJoZGlkIjoiNDgxMDExMDU3MmE0MjNkYTlkNmZjOGRhYjE5MTRhYTIiLCJ1c2VySWQiOiIzNDQzMTM4MzgifQ==</vt:lpwstr>
  </property>
</Properties>
</file>