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DB36" w14:textId="77777777" w:rsidR="00DE4A10" w:rsidRDefault="00DE4A10" w:rsidP="00DE4A10">
      <w:pPr>
        <w:spacing w:beforeLines="50" w:before="156" w:afterLines="50" w:after="156" w:line="276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山东天岳先进科技股份有限公司</w:t>
      </w:r>
    </w:p>
    <w:p w14:paraId="3A4B609D" w14:textId="77777777" w:rsidR="00DE4A10" w:rsidRDefault="00DE4A10" w:rsidP="00DE4A10">
      <w:pPr>
        <w:spacing w:beforeLines="50" w:before="156" w:afterLines="50" w:after="156" w:line="276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8C63123" w14:textId="77777777" w:rsidR="00DE4A10" w:rsidRDefault="00DE4A10" w:rsidP="00DE4A10">
      <w:pPr>
        <w:spacing w:beforeLines="50" w:before="156" w:afterLines="50" w:after="156" w:line="400" w:lineRule="exact"/>
        <w:ind w:firstLineChars="50" w:firstLine="12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证券简称：天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岳先进</w:t>
      </w:r>
      <w:proofErr w:type="gramEnd"/>
      <w:r>
        <w:rPr>
          <w:rFonts w:ascii="宋体" w:hAnsi="宋体" w:hint="eastAsia"/>
          <w:bCs/>
          <w:iCs/>
          <w:color w:val="000000"/>
          <w:sz w:val="24"/>
        </w:rPr>
        <w:t xml:space="preserve"> </w:t>
      </w:r>
      <w:r>
        <w:rPr>
          <w:rFonts w:ascii="宋体" w:hAnsi="宋体"/>
          <w:bCs/>
          <w:iCs/>
          <w:color w:val="000000"/>
          <w:sz w:val="24"/>
        </w:rPr>
        <w:t xml:space="preserve">     </w:t>
      </w: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688234.SH/02631.HK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编号：</w:t>
      </w:r>
      <w:r>
        <w:rPr>
          <w:rFonts w:ascii="宋体" w:hAnsi="宋体" w:hint="eastAsia"/>
          <w:b/>
          <w:bCs/>
          <w:iCs/>
          <w:color w:val="000000"/>
          <w:sz w:val="24"/>
        </w:rPr>
        <w:t>2026-</w:t>
      </w:r>
      <w:r>
        <w:rPr>
          <w:rFonts w:ascii="宋体" w:hAnsi="宋体"/>
          <w:b/>
          <w:bCs/>
          <w:iCs/>
          <w:color w:val="000000"/>
          <w:sz w:val="24"/>
        </w:rPr>
        <w:t>0</w:t>
      </w:r>
      <w:r>
        <w:rPr>
          <w:rFonts w:ascii="宋体" w:hAnsi="宋体" w:hint="eastAsia"/>
          <w:b/>
          <w:bCs/>
          <w:iCs/>
          <w:color w:val="000000"/>
          <w:sz w:val="24"/>
        </w:rPr>
        <w:t>3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7381"/>
      </w:tblGrid>
      <w:tr w:rsidR="00DE4A10" w14:paraId="493FBDAF" w14:textId="77777777" w:rsidTr="006F20EB">
        <w:trPr>
          <w:trHeight w:val="1766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FE34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</w:t>
            </w:r>
          </w:p>
          <w:p w14:paraId="58BFFFB5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B565" w14:textId="77777777" w:rsidR="00DE4A10" w:rsidRDefault="00DE4A10" w:rsidP="006F20E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</w:t>
            </w:r>
            <w:proofErr w:type="gramStart"/>
            <w:r>
              <w:rPr>
                <w:rFonts w:ascii="宋体" w:hAnsi="宋体" w:hint="eastAsia"/>
                <w:sz w:val="24"/>
              </w:rPr>
              <w:t>师会议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</w:t>
            </w:r>
          </w:p>
          <w:p w14:paraId="1A58BA16" w14:textId="77777777" w:rsidR="00DE4A10" w:rsidRDefault="00DE4A10" w:rsidP="006F20E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业绩说明会     </w:t>
            </w:r>
            <w:r>
              <w:rPr>
                <w:rFonts w:ascii="宋体" w:hAnsi="宋体"/>
                <w:sz w:val="24"/>
              </w:rPr>
              <w:t xml:space="preserve">    </w:t>
            </w:r>
            <w:bookmarkStart w:id="0" w:name="OLE_LINK4"/>
            <w:bookmarkStart w:id="1" w:name="OLE_LINK3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hint="eastAsia"/>
                <w:sz w:val="24"/>
              </w:rPr>
              <w:t xml:space="preserve">新闻发布会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sz w:val="24"/>
              </w:rPr>
              <w:t xml:space="preserve">路演活动    </w:t>
            </w:r>
          </w:p>
          <w:p w14:paraId="58E7A207" w14:textId="77777777" w:rsidR="00DE4A10" w:rsidRDefault="00DE4A10" w:rsidP="006F20EB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现场参观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电话调研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其他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  <w:t xml:space="preserve">        </w:t>
            </w:r>
          </w:p>
        </w:tc>
      </w:tr>
      <w:tr w:rsidR="00DE4A10" w14:paraId="1269836D" w14:textId="77777777" w:rsidTr="006F20EB">
        <w:trPr>
          <w:trHeight w:val="756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C5EE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</w:t>
            </w:r>
          </w:p>
          <w:p w14:paraId="5B220FC1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名称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637" w14:textId="77777777" w:rsidR="00DE4A10" w:rsidRDefault="00DE4A10" w:rsidP="006F20E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见附件清单</w:t>
            </w:r>
          </w:p>
        </w:tc>
      </w:tr>
      <w:tr w:rsidR="00DE4A10" w14:paraId="5D54E249" w14:textId="77777777" w:rsidTr="006F20EB">
        <w:trPr>
          <w:trHeight w:val="993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9F19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C41" w14:textId="77777777" w:rsidR="00DE4A10" w:rsidRDefault="00DE4A10" w:rsidP="006F20E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2026年3月</w:t>
            </w:r>
          </w:p>
        </w:tc>
      </w:tr>
      <w:tr w:rsidR="00DE4A10" w14:paraId="33AA0504" w14:textId="77777777" w:rsidTr="006F20EB">
        <w:trPr>
          <w:trHeight w:val="904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135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1D4E" w14:textId="77777777" w:rsidR="00DE4A10" w:rsidRDefault="00DE4A10" w:rsidP="006F20E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通讯会议</w:t>
            </w:r>
          </w:p>
        </w:tc>
      </w:tr>
      <w:tr w:rsidR="00DE4A10" w14:paraId="323A8D28" w14:textId="77777777" w:rsidTr="006F20EB">
        <w:trPr>
          <w:trHeight w:val="98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F77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6DF" w14:textId="77777777" w:rsidR="00DE4A10" w:rsidRDefault="00DE4A10" w:rsidP="006F20E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公司IR</w:t>
            </w:r>
          </w:p>
        </w:tc>
      </w:tr>
      <w:tr w:rsidR="00DE4A10" w14:paraId="0FBBA198" w14:textId="77777777" w:rsidTr="006F20EB">
        <w:trPr>
          <w:trHeight w:val="2857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0B3" w14:textId="77777777" w:rsidR="00DE4A10" w:rsidRDefault="00DE4A10" w:rsidP="006F20EB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19FB5C5A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9A72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第一</w:t>
            </w:r>
            <w:r>
              <w:rPr>
                <w:rFonts w:ascii="宋体" w:hAnsi="宋体"/>
                <w:b/>
                <w:bCs/>
                <w:iCs/>
                <w:color w:val="000000"/>
                <w:sz w:val="24"/>
              </w:rPr>
              <w:t>部分：交流环节的主要问题及回复</w:t>
            </w:r>
          </w:p>
          <w:p w14:paraId="73BBF8A1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问题1：随着行业向8英寸及更大尺寸迈进，请问公司如何看待大尺寸长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晶技术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壁垒的本质变化？公司在保持技术代差上有哪些核心优势？</w:t>
            </w:r>
          </w:p>
          <w:p w14:paraId="0D3E23F0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回复：</w:t>
            </w:r>
            <w:r>
              <w:rPr>
                <w:rFonts w:ascii="宋体" w:hAnsi="宋体"/>
                <w:iCs/>
                <w:color w:val="000000"/>
                <w:sz w:val="24"/>
              </w:rPr>
              <w:t>随着衬底尺寸向8英寸及以上升级，</w:t>
            </w:r>
            <w:proofErr w:type="gramStart"/>
            <w:r>
              <w:rPr>
                <w:rFonts w:ascii="宋体" w:hAnsi="宋体"/>
                <w:iCs/>
                <w:color w:val="000000"/>
                <w:sz w:val="24"/>
              </w:rPr>
              <w:t>碳化硅长晶</w:t>
            </w:r>
            <w:proofErr w:type="gramEnd"/>
            <w:r>
              <w:rPr>
                <w:rFonts w:ascii="宋体" w:hAnsi="宋体"/>
                <w:iCs/>
                <w:color w:val="000000"/>
                <w:sz w:val="24"/>
              </w:rPr>
              <w:t>的技术壁垒已从单一尺寸突破，转向高温极端环境下的全流程系统控制。晶体直径每增加1英寸，内部热应力呈</w:t>
            </w:r>
            <w:proofErr w:type="gramStart"/>
            <w:r>
              <w:rPr>
                <w:rFonts w:ascii="宋体" w:hAnsi="宋体"/>
                <w:iCs/>
                <w:color w:val="000000"/>
                <w:sz w:val="24"/>
              </w:rPr>
              <w:t>指数级</w:t>
            </w:r>
            <w:proofErr w:type="gramEnd"/>
            <w:r>
              <w:rPr>
                <w:rFonts w:ascii="宋体" w:hAnsi="宋体"/>
                <w:iCs/>
                <w:color w:val="000000"/>
                <w:sz w:val="24"/>
              </w:rPr>
              <w:t>上升，边缘缺陷、厚度均匀性、微管密度的控制难度非线性提升，对籽晶品质、热场仿真设计、长晶过程动态调控、超精密加工的要求系统性提高，技术壁垒更趋长期化，难以短期复制。</w:t>
            </w:r>
          </w:p>
          <w:p w14:paraId="23F573F3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公司依托十余年产业化积淀</w:t>
            </w:r>
            <w:r>
              <w:rPr>
                <w:rFonts w:ascii="宋体" w:hAnsi="宋体"/>
                <w:iCs/>
                <w:color w:val="000000"/>
                <w:sz w:val="24"/>
              </w:rPr>
              <w:t>，核心竞争优势体现在三方面。一是籽晶全自</w:t>
            </w:r>
            <w:proofErr w:type="gramStart"/>
            <w:r>
              <w:rPr>
                <w:rFonts w:ascii="宋体" w:hAnsi="宋体"/>
                <w:iCs/>
                <w:color w:val="000000"/>
                <w:sz w:val="24"/>
              </w:rPr>
              <w:t>研</w:t>
            </w:r>
            <w:proofErr w:type="gramEnd"/>
            <w:r>
              <w:rPr>
                <w:rFonts w:ascii="宋体" w:hAnsi="宋体"/>
                <w:iCs/>
                <w:color w:val="000000"/>
                <w:sz w:val="24"/>
              </w:rPr>
              <w:t>自制，从源头保障大尺寸晶体的成核质量与缺陷控制根基。</w:t>
            </w:r>
            <w:r>
              <w:rPr>
                <w:rFonts w:ascii="宋体" w:hAnsi="宋体"/>
                <w:iCs/>
                <w:color w:val="000000"/>
                <w:sz w:val="24"/>
              </w:rPr>
              <w:lastRenderedPageBreak/>
              <w:t>二是掌握高温长晶、缺陷精准抑制、热场自主优化、超精密加工等全链条核心技术，形成闭环技术体系。三是长期规模化量产积累的工艺数据库与参数经验，2025年公司持续</w:t>
            </w:r>
            <w:proofErr w:type="gramStart"/>
            <w:r>
              <w:rPr>
                <w:rFonts w:ascii="宋体" w:hAnsi="宋体"/>
                <w:iCs/>
                <w:color w:val="000000"/>
                <w:sz w:val="24"/>
              </w:rPr>
              <w:t>优化长</w:t>
            </w:r>
            <w:proofErr w:type="gramEnd"/>
            <w:r>
              <w:rPr>
                <w:rFonts w:ascii="宋体" w:hAnsi="宋体"/>
                <w:iCs/>
                <w:color w:val="000000"/>
                <w:sz w:val="24"/>
              </w:rPr>
              <w:t>晶工艺参数，稳步提升良率与生产效率，构成难以短期复制的产业壁垒，持续巩固并拉大</w:t>
            </w:r>
            <w:r w:rsidRPr="00443CC4">
              <w:rPr>
                <w:rFonts w:ascii="宋体" w:hAnsi="宋体" w:hint="eastAsia"/>
                <w:iCs/>
                <w:color w:val="000000"/>
                <w:sz w:val="24"/>
              </w:rPr>
              <w:t>技术领先优势</w:t>
            </w:r>
            <w:r>
              <w:rPr>
                <w:rFonts w:ascii="宋体" w:hAnsi="宋体"/>
                <w:iCs/>
                <w:color w:val="000000"/>
                <w:sz w:val="24"/>
              </w:rPr>
              <w:t>。</w:t>
            </w:r>
          </w:p>
          <w:p w14:paraId="1A6DE8E0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问题2：除了传统的车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和工业电源，近期AR眼镜、先进封装等概念火热。公司在这些新兴领域的技术储备和应用怎样？</w:t>
            </w:r>
          </w:p>
          <w:p w14:paraId="058BAAAD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hint="eastAsia"/>
                <w:iCs/>
                <w:sz w:val="24"/>
              </w:rPr>
            </w:pPr>
            <w:r>
              <w:rPr>
                <w:rFonts w:ascii="宋体" w:hAnsi="宋体" w:hint="eastAsia"/>
                <w:iCs/>
                <w:sz w:val="24"/>
              </w:rPr>
              <w:t>回复:</w:t>
            </w:r>
            <w:r>
              <w:rPr>
                <w:rFonts w:ascii="宋体" w:hAnsi="宋体"/>
                <w:iCs/>
                <w:sz w:val="24"/>
              </w:rPr>
              <w:t>除车</w:t>
            </w:r>
            <w:proofErr w:type="gramStart"/>
            <w:r>
              <w:rPr>
                <w:rFonts w:ascii="宋体" w:hAnsi="宋体"/>
                <w:iCs/>
                <w:sz w:val="24"/>
              </w:rPr>
              <w:t>规</w:t>
            </w:r>
            <w:proofErr w:type="gramEnd"/>
            <w:r>
              <w:rPr>
                <w:rFonts w:ascii="宋体" w:hAnsi="宋体"/>
                <w:iCs/>
                <w:sz w:val="24"/>
              </w:rPr>
              <w:t>、工业电源等成熟应用外，公司也在积极推动碳化硅材料向AR眼镜、先进封装、固态变压器（SST）等新兴领域拓展。碳化硅衬底具备高折射率、低双折射、高导热、耐高温、抗辐射等特性，能够适配上述场景对光学性能或极端环境可靠性的要求。</w:t>
            </w:r>
          </w:p>
          <w:p w14:paraId="5A1F6565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hint="eastAsia"/>
                <w:iCs/>
                <w:sz w:val="24"/>
              </w:rPr>
            </w:pPr>
            <w:r>
              <w:rPr>
                <w:rFonts w:ascii="宋体" w:hAnsi="宋体"/>
                <w:iCs/>
                <w:sz w:val="24"/>
              </w:rPr>
              <w:t>在AR眼镜领域，公司基于高纯度、低缺陷的半绝缘型衬底技术，开展光波导片等</w:t>
            </w:r>
            <w:proofErr w:type="gramStart"/>
            <w:r>
              <w:rPr>
                <w:rFonts w:ascii="宋体" w:hAnsi="宋体"/>
                <w:iCs/>
                <w:sz w:val="24"/>
              </w:rPr>
              <w:t>光学级</w:t>
            </w:r>
            <w:proofErr w:type="gramEnd"/>
            <w:r>
              <w:rPr>
                <w:rFonts w:ascii="宋体" w:hAnsi="宋体"/>
                <w:iCs/>
                <w:sz w:val="24"/>
              </w:rPr>
              <w:t>产品的研发与客户验证。在先进封装领域，依托碳化硅高导热、低翘曲的特性，布局高端散热中介</w:t>
            </w:r>
            <w:proofErr w:type="gramStart"/>
            <w:r>
              <w:rPr>
                <w:rFonts w:ascii="宋体" w:hAnsi="宋体"/>
                <w:iCs/>
                <w:sz w:val="24"/>
              </w:rPr>
              <w:t>层相关</w:t>
            </w:r>
            <w:proofErr w:type="gramEnd"/>
            <w:r>
              <w:rPr>
                <w:rFonts w:ascii="宋体" w:hAnsi="宋体"/>
                <w:iCs/>
                <w:sz w:val="24"/>
              </w:rPr>
              <w:t>产品开发。此外，</w:t>
            </w:r>
            <w:r w:rsidRPr="00443CC4">
              <w:rPr>
                <w:rFonts w:ascii="宋体" w:hAnsi="宋体" w:hint="eastAsia"/>
                <w:iCs/>
                <w:sz w:val="24"/>
              </w:rPr>
              <w:t>在对耐高压、抗辐射要求较高的固态变压器场景，公司也在持续探索应用潜力。</w:t>
            </w:r>
          </w:p>
          <w:p w14:paraId="0181B687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hint="eastAsia"/>
                <w:iCs/>
                <w:sz w:val="24"/>
              </w:rPr>
            </w:pPr>
            <w:r>
              <w:rPr>
                <w:rFonts w:ascii="宋体" w:hAnsi="宋体"/>
                <w:iCs/>
                <w:sz w:val="24"/>
              </w:rPr>
              <w:t>目前，公司正有序推进各项技术验证工作。碳化硅材料在新兴场景中的独特优势逐步显现，公司将持续拓展应用边界，将其作为培育新增长点的重要方向。</w:t>
            </w:r>
          </w:p>
          <w:p w14:paraId="6843FC8F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问题3:公司近期提及的马来西亚基地建设。请问这一举措的核心战略</w:t>
            </w:r>
            <w:proofErr w:type="gramStart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考量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是什么？</w:t>
            </w:r>
          </w:p>
          <w:p w14:paraId="133CD78A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回复:</w:t>
            </w:r>
            <w:r>
              <w:rPr>
                <w:rFonts w:ascii="宋体" w:hAnsi="宋体"/>
                <w:iCs/>
                <w:color w:val="000000"/>
                <w:sz w:val="24"/>
              </w:rPr>
              <w:t>公司推进马来西亚基地建设，核心是顺应全球半导体产业链区域化布局趋势，匹配海外核心客户的供应链多元化与本地化需求，进一步提升全球化供应韧性与风险分散能力。</w:t>
            </w:r>
          </w:p>
          <w:p w14:paraId="2025830E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/>
                <w:iCs/>
                <w:color w:val="000000"/>
                <w:sz w:val="24"/>
              </w:rPr>
              <w:t>该基地是公司完善“国内为主、海外补充、多地协同”产能体系的重要组成部分，目前处于前期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筹划</w:t>
            </w:r>
            <w:r>
              <w:rPr>
                <w:rFonts w:ascii="宋体" w:hAnsi="宋体"/>
                <w:iCs/>
                <w:color w:val="000000"/>
                <w:sz w:val="24"/>
              </w:rPr>
              <w:t>阶段。建成后将主要聚焦东南亚及欧美市场的产能配套与本地化服务，缩短对海外客户的交付周期，降低跨境物流成本与地缘政治因素带来的供应链风险，同时有助于深化与全球头部客户的长期合作，提升公司在全球碳化硅市场的综合服务</w:t>
            </w:r>
            <w:r>
              <w:rPr>
                <w:rFonts w:ascii="宋体" w:hAnsi="宋体"/>
                <w:iCs/>
                <w:color w:val="000000"/>
                <w:sz w:val="24"/>
              </w:rPr>
              <w:lastRenderedPageBreak/>
              <w:t>能力与品牌影响力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。</w:t>
            </w:r>
          </w:p>
          <w:p w14:paraId="5A217338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问题4:行业迈向平价时代的核心驱动力在于成本控制。在不依赖单纯价格竞争的前提下，公司认为未来碳化硅衬底降本的底层逻辑是什么？</w:t>
            </w:r>
          </w:p>
          <w:p w14:paraId="504E21F4" w14:textId="77777777" w:rsidR="00DE4A10" w:rsidRDefault="00DE4A10" w:rsidP="006F20EB">
            <w:pPr>
              <w:pStyle w:val="af2"/>
              <w:shd w:val="clear" w:color="auto" w:fill="FFFFFF"/>
              <w:spacing w:before="0" w:beforeAutospacing="0" w:after="0" w:afterAutospacing="0" w:line="360" w:lineRule="auto"/>
              <w:ind w:firstLineChars="100" w:firstLine="240"/>
              <w:rPr>
                <w:rFonts w:ascii="宋体" w:hAnsi="宋体"/>
                <w:iCs/>
                <w:color w:val="000000"/>
              </w:rPr>
            </w:pPr>
            <w:r>
              <w:rPr>
                <w:rFonts w:ascii="宋体" w:hAnsi="宋体" w:hint="eastAsia"/>
                <w:iCs/>
                <w:color w:val="000000"/>
              </w:rPr>
              <w:t>回复</w:t>
            </w:r>
            <w:r>
              <w:rPr>
                <w:rFonts w:ascii="宋体" w:hAnsi="宋体" w:hint="eastAsia"/>
                <w:iCs/>
                <w:color w:val="000000"/>
              </w:rPr>
              <w:t>:</w:t>
            </w:r>
            <w:r>
              <w:rPr>
                <w:rFonts w:ascii="宋体" w:hAnsi="宋体"/>
                <w:iCs/>
                <w:color w:val="000000"/>
              </w:rPr>
              <w:t>公司认为，碳化硅衬底的长期降本不依赖单纯价格竞争，而是以技术迭代与效率提升为核心底层逻辑，主要来自三个维度。</w:t>
            </w:r>
          </w:p>
          <w:p w14:paraId="60797C15" w14:textId="77777777" w:rsidR="00DE4A10" w:rsidRDefault="00DE4A10" w:rsidP="006F20EB">
            <w:pPr>
              <w:pStyle w:val="af2"/>
              <w:shd w:val="clear" w:color="auto" w:fill="FFFFFF"/>
              <w:spacing w:before="0" w:beforeAutospacing="0" w:after="0" w:afterAutospacing="0" w:line="360" w:lineRule="auto"/>
              <w:ind w:firstLineChars="100" w:firstLine="240"/>
              <w:rPr>
                <w:rFonts w:ascii="宋体" w:eastAsia="宋体" w:hAnsi="宋体" w:cs="Times New Roman" w:hint="eastAsia"/>
                <w:iCs/>
                <w:color w:val="000000"/>
                <w:kern w:val="2"/>
              </w:rPr>
            </w:pPr>
            <w:r>
              <w:rPr>
                <w:rFonts w:ascii="宋体" w:eastAsia="宋体" w:hAnsi="宋体" w:cs="Times New Roman"/>
                <w:iCs/>
                <w:color w:val="000000"/>
                <w:kern w:val="2"/>
              </w:rPr>
              <w:t>大尺寸化结构性降本：通过8英寸、12英寸产品升级，单片衬底可切割的芯片数量成倍增长，从根本上降低单位芯片的衬底成本。</w:t>
            </w:r>
          </w:p>
          <w:p w14:paraId="2F9A27CB" w14:textId="77777777" w:rsidR="00DE4A10" w:rsidRDefault="00DE4A10" w:rsidP="006F20EB">
            <w:pPr>
              <w:pStyle w:val="af2"/>
              <w:shd w:val="clear" w:color="auto" w:fill="FFFFFF"/>
              <w:spacing w:before="0" w:beforeAutospacing="0" w:after="0" w:afterAutospacing="0" w:line="360" w:lineRule="auto"/>
              <w:ind w:firstLineChars="100" w:firstLine="240"/>
              <w:rPr>
                <w:rFonts w:ascii="宋体" w:eastAsia="宋体" w:hAnsi="宋体" w:cs="Times New Roman" w:hint="eastAsia"/>
                <w:iCs/>
                <w:color w:val="000000"/>
                <w:kern w:val="2"/>
              </w:rPr>
            </w:pPr>
            <w:r>
              <w:rPr>
                <w:rFonts w:ascii="宋体" w:eastAsia="宋体" w:hAnsi="宋体" w:cs="Times New Roman"/>
                <w:iCs/>
                <w:color w:val="000000"/>
                <w:kern w:val="2"/>
              </w:rPr>
              <w:t>全流程工艺优化降本：持续提升晶体生长良率、加工良率与设备</w:t>
            </w:r>
            <w:proofErr w:type="gramStart"/>
            <w:r>
              <w:rPr>
                <w:rFonts w:ascii="宋体" w:eastAsia="宋体" w:hAnsi="宋体" w:cs="Times New Roman"/>
                <w:iCs/>
                <w:color w:val="000000"/>
                <w:kern w:val="2"/>
              </w:rPr>
              <w:t>稼</w:t>
            </w:r>
            <w:proofErr w:type="gramEnd"/>
            <w:r>
              <w:rPr>
                <w:rFonts w:ascii="宋体" w:eastAsia="宋体" w:hAnsi="宋体" w:cs="Times New Roman"/>
                <w:iCs/>
                <w:color w:val="000000"/>
                <w:kern w:val="2"/>
              </w:rPr>
              <w:t>动率，推进长晶炉等核心设备的国产化替代，以技术进步对冲原材料与能源成本波动。</w:t>
            </w:r>
          </w:p>
          <w:p w14:paraId="47F55B61" w14:textId="77777777" w:rsidR="00DE4A10" w:rsidRDefault="00DE4A10" w:rsidP="006F20EB">
            <w:pPr>
              <w:pStyle w:val="af2"/>
              <w:shd w:val="clear" w:color="auto" w:fill="FFFFFF"/>
              <w:spacing w:before="0" w:beforeAutospacing="0" w:after="0" w:afterAutospacing="0" w:line="360" w:lineRule="auto"/>
              <w:ind w:firstLineChars="100" w:firstLine="240"/>
              <w:rPr>
                <w:rFonts w:ascii="宋体" w:eastAsia="宋体" w:hAnsi="宋体" w:cs="Times New Roman" w:hint="eastAsia"/>
                <w:iCs/>
                <w:color w:val="000000"/>
                <w:kern w:val="2"/>
              </w:rPr>
            </w:pPr>
            <w:r>
              <w:rPr>
                <w:rFonts w:ascii="宋体" w:eastAsia="宋体" w:hAnsi="宋体" w:cs="Times New Roman"/>
                <w:iCs/>
                <w:color w:val="000000"/>
                <w:kern w:val="2"/>
              </w:rPr>
              <w:t>规模化精益制造降本：依托上海、山东等基地的产能逐步释放，摊</w:t>
            </w:r>
            <w:proofErr w:type="gramStart"/>
            <w:r>
              <w:rPr>
                <w:rFonts w:ascii="宋体" w:eastAsia="宋体" w:hAnsi="宋体" w:cs="Times New Roman"/>
                <w:iCs/>
                <w:color w:val="000000"/>
                <w:kern w:val="2"/>
              </w:rPr>
              <w:t>薄单位</w:t>
            </w:r>
            <w:proofErr w:type="gramEnd"/>
            <w:r>
              <w:rPr>
                <w:rFonts w:ascii="宋体" w:eastAsia="宋体" w:hAnsi="宋体" w:cs="Times New Roman"/>
                <w:iCs/>
                <w:color w:val="000000"/>
                <w:kern w:val="2"/>
              </w:rPr>
              <w:t>固定成本，同时通过精细化运营优化供应链管理，实现全产业链的成本协同。</w:t>
            </w:r>
          </w:p>
          <w:p w14:paraId="2ABF80C4" w14:textId="77777777" w:rsidR="00DE4A10" w:rsidRDefault="00DE4A10" w:rsidP="006F20EB">
            <w:pPr>
              <w:pStyle w:val="af2"/>
              <w:shd w:val="clear" w:color="auto" w:fill="FFFFFF"/>
              <w:spacing w:before="0" w:beforeAutospacing="0" w:after="0" w:afterAutospacing="0" w:line="360" w:lineRule="auto"/>
              <w:ind w:firstLineChars="100" w:firstLine="240"/>
              <w:rPr>
                <w:rFonts w:ascii="宋体" w:hAnsi="宋体" w:cs="宋体"/>
                <w:bCs/>
                <w:iCs/>
                <w:color w:val="000000"/>
                <w:lang w:bidi="ar"/>
              </w:rPr>
            </w:pPr>
            <w:r>
              <w:rPr>
                <w:rFonts w:ascii="宋体" w:eastAsia="宋体" w:hAnsi="宋体" w:cs="Times New Roman"/>
                <w:iCs/>
                <w:color w:val="000000"/>
                <w:kern w:val="2"/>
              </w:rPr>
              <w:t>2025年公司已通过上述措施有效对冲了部分行业价格下行压力，未来随着8英寸产能的规模化释放，成本优势将进一步凸显</w:t>
            </w:r>
            <w:r>
              <w:rPr>
                <w:rFonts w:ascii="宋体" w:eastAsia="宋体" w:hAnsi="宋体" w:cs="Times New Roman" w:hint="eastAsia"/>
                <w:iCs/>
                <w:color w:val="000000"/>
                <w:kern w:val="2"/>
              </w:rPr>
              <w:t>。</w:t>
            </w:r>
          </w:p>
        </w:tc>
      </w:tr>
      <w:tr w:rsidR="00DE4A10" w14:paraId="14427B30" w14:textId="77777777" w:rsidTr="006F20EB">
        <w:trPr>
          <w:trHeight w:val="101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526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  <w:p w14:paraId="39F37DBC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6159" w14:textId="77777777" w:rsidR="00DE4A10" w:rsidRDefault="00DE4A10" w:rsidP="006F20EB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参会机构名单</w:t>
            </w:r>
          </w:p>
        </w:tc>
      </w:tr>
      <w:tr w:rsidR="00DE4A10" w14:paraId="14C65361" w14:textId="77777777" w:rsidTr="006F20EB">
        <w:trPr>
          <w:trHeight w:val="101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8A79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19FA" w14:textId="77777777" w:rsidR="00DE4A10" w:rsidRDefault="00DE4A10" w:rsidP="006F20E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2026年3月</w:t>
            </w:r>
          </w:p>
        </w:tc>
      </w:tr>
      <w:tr w:rsidR="00DE4A10" w14:paraId="4F07CE6D" w14:textId="77777777" w:rsidTr="006F20EB">
        <w:trPr>
          <w:trHeight w:val="101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75A0" w14:textId="77777777" w:rsidR="00DE4A10" w:rsidRDefault="00DE4A10" w:rsidP="006F20EB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备注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363F" w14:textId="77777777" w:rsidR="00DE4A10" w:rsidRDefault="00DE4A10" w:rsidP="006F20E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参加投资者接待活动中，公司管理层积极回复投资者提出的问题，回复的内容符合公司《信息披露管理制度》等文件的规定，回复的信息真实、准确。</w:t>
            </w:r>
          </w:p>
        </w:tc>
      </w:tr>
    </w:tbl>
    <w:p w14:paraId="798706A2" w14:textId="77777777" w:rsidR="00DE4A10" w:rsidRDefault="00DE4A10" w:rsidP="00DE4A10">
      <w:pPr>
        <w:jc w:val="lef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t>附件：参会机构名单</w:t>
      </w:r>
    </w:p>
    <w:tbl>
      <w:tblPr>
        <w:tblW w:w="9500" w:type="dxa"/>
        <w:tblInd w:w="98" w:type="dxa"/>
        <w:tblLook w:val="04A0" w:firstRow="1" w:lastRow="0" w:firstColumn="1" w:lastColumn="0" w:noHBand="0" w:noVBand="1"/>
      </w:tblPr>
      <w:tblGrid>
        <w:gridCol w:w="709"/>
        <w:gridCol w:w="3916"/>
        <w:gridCol w:w="959"/>
        <w:gridCol w:w="3916"/>
      </w:tblGrid>
      <w:tr w:rsidR="00DE4A10" w14:paraId="36770C9A" w14:textId="77777777" w:rsidTr="006F20EB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694A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2037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99C7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18D2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机构名称</w:t>
            </w:r>
          </w:p>
        </w:tc>
      </w:tr>
      <w:tr w:rsidR="00DE4A10" w14:paraId="4D9D3178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416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42D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PICC Asset Mgt (HK)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38CF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9DD1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UNION</w:t>
            </w:r>
          </w:p>
        </w:tc>
      </w:tr>
      <w:tr w:rsidR="00DE4A10" w14:paraId="5A4A3E93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9A9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7B94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Ping An of China Asset Mgt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69A82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3A7A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Cooper Investors</w:t>
            </w:r>
          </w:p>
        </w:tc>
      </w:tr>
      <w:tr w:rsidR="00DE4A10" w14:paraId="088F317B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68BD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049D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Enhanced Investment Product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7A88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B39C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平安基金</w:t>
            </w:r>
          </w:p>
        </w:tc>
      </w:tr>
      <w:tr w:rsidR="00DE4A10" w14:paraId="30EC4B32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EBEF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2F21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T. Rowe Price Associates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5CFD7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568D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JP Morgan</w:t>
            </w:r>
          </w:p>
        </w:tc>
      </w:tr>
      <w:tr w:rsidR="00DE4A10" w14:paraId="72209F8B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8D42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23D9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 xml:space="preserve">Banque Pictet et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cie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 xml:space="preserve"> 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913E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3C43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TEMASEK</w:t>
            </w:r>
          </w:p>
        </w:tc>
      </w:tr>
      <w:tr w:rsidR="00DE4A10" w14:paraId="2B96D25D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8317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0343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Neuberger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10F7D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E256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Wellington Capital</w:t>
            </w:r>
          </w:p>
        </w:tc>
      </w:tr>
      <w:tr w:rsidR="00DE4A10" w14:paraId="32100857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FA73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DE41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Dymon Asia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F1A3C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5999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富国香港</w:t>
            </w:r>
          </w:p>
        </w:tc>
      </w:tr>
      <w:tr w:rsidR="00DE4A10" w14:paraId="7D7F8A22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CF9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BEF9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Franklin Templeton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2335E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7FFA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CLSA</w:t>
            </w:r>
            <w:r w:rsidDel="00563D48"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DE4A10" w14:paraId="0CEBB3F8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4559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18B6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银华基金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8CC7D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D777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Sumitomo Mitsui</w:t>
            </w:r>
          </w:p>
        </w:tc>
      </w:tr>
      <w:tr w:rsidR="00DE4A10" w14:paraId="78702644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EC5D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7944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正圆私募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BD222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578A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PAG</w:t>
            </w:r>
          </w:p>
        </w:tc>
      </w:tr>
      <w:tr w:rsidR="00DE4A10" w14:paraId="2EFE8E00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F67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0AB8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上海从容投资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EFB2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EE80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TOROA</w:t>
            </w:r>
          </w:p>
        </w:tc>
      </w:tr>
      <w:tr w:rsidR="00DE4A10" w14:paraId="31EA42ED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663F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6D55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彼得明奇私募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C25D3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0896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CORBETS CAPITAL</w:t>
            </w:r>
          </w:p>
        </w:tc>
      </w:tr>
      <w:tr w:rsidR="00DE4A10" w14:paraId="14E357CA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4F2D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12FE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大成基金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D631C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E290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Oberwels</w:t>
            </w:r>
            <w:proofErr w:type="spellEnd"/>
          </w:p>
        </w:tc>
      </w:tr>
      <w:tr w:rsidR="00DE4A10" w14:paraId="66C9317C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955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3E13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新华资产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62183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8ACA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LyGH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 xml:space="preserve"> Capital</w:t>
            </w:r>
          </w:p>
        </w:tc>
      </w:tr>
      <w:tr w:rsidR="00DE4A10" w14:paraId="3B74102A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5489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FA96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华夏基金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13F22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D1E5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OVATA CAPITAL</w:t>
            </w:r>
          </w:p>
        </w:tc>
      </w:tr>
      <w:tr w:rsidR="00DE4A10" w14:paraId="54FAA33C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EA28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E4A3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摩根基金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30E78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CF7B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Polymer Capital</w:t>
            </w:r>
            <w:r w:rsidDel="00563D48"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DE4A10" w14:paraId="616213D7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10E3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9103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招商基金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8CA94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42DE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Point 72</w:t>
            </w:r>
          </w:p>
        </w:tc>
      </w:tr>
      <w:tr w:rsidR="00DE4A10" w14:paraId="685A3887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0D1B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6ACC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长城基金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4F179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6EE0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BNP PARIBAS Asset mgt</w:t>
            </w:r>
          </w:p>
        </w:tc>
      </w:tr>
      <w:tr w:rsidR="00DE4A10" w14:paraId="51E66EB9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72E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E16E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嘉</w:t>
            </w:r>
            <w:proofErr w:type="gramStart"/>
            <w:r>
              <w:rPr>
                <w:rFonts w:ascii="Arial" w:hAnsi="Arial" w:cs="Arial" w:hint="eastAsia"/>
                <w:color w:val="000000"/>
                <w:sz w:val="24"/>
              </w:rPr>
              <w:t>实基金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AFB93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FC3D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Morgan Stanley</w:t>
            </w:r>
          </w:p>
        </w:tc>
      </w:tr>
      <w:tr w:rsidR="00DE4A10" w14:paraId="57BAA090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A2C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56AD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BE3CC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BE63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27249CD8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862C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1DA7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5714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51B7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69EBC7FC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C942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CB0F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4CF6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4FF1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676B5FA0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FCEB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8C34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16FA6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F519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24A36F48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6906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D43C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FDF7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674B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60F3F1DA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D82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01B98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F5323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330B" w14:textId="77777777" w:rsidR="00DE4A10" w:rsidRDefault="00DE4A10" w:rsidP="006F20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1FE64365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35A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01783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2D50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26E18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348423DF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47C4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20E62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E99D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FED6C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4A35BA59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0178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2422B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142D6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DF610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5045A5C7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CFD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30C1F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4C58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A6B5C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5340A2AF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98B7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05AA7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29F0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B614E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7232F202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FA0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CB774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6B4E3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6107A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706DBB25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20D4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72049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E5DFE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8D26E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5BA3353A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7DF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95801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1BC7C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8BBA2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3E4667FF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EA2F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DC712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AC7A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9D111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509FC4E1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6DFD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6045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21D58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C907C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52AD49AC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D1CB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D1B5B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F5E42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FC88A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6C2DDF6E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28C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8ECE1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42903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6378D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22AA1287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7C8B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3BB8A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E44D9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3F6A7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534CB50E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7ECF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ECD21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01D4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F8EF8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72FF6EEA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C8C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478D1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BC88F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9FF98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2945A0F3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FB39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8890F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EC5A4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0D91A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265BB76E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505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2C6B6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E1B7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FAA79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026043D2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B7C7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F0557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CAF5A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FD3E1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6CF4164A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840A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448AD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50BE9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6B53F" w14:textId="77777777" w:rsidR="00DE4A10" w:rsidRDefault="00DE4A10" w:rsidP="006F20EB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DE4A10" w14:paraId="7838FC19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FE01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86693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3D2C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9A057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E4A10" w14:paraId="1B0240B7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4AC3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CE218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AA8F5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08A9C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E4A10" w14:paraId="5252D7FE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6F3E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D714C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026EE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26CC1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E4A10" w14:paraId="71C99849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07BC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696AE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F73D2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AF443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E4A10" w14:paraId="436350AE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2294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F5D90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50FF7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487B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E4A10" w14:paraId="165C75D3" w14:textId="77777777" w:rsidTr="006F20EB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ED50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F088E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7F80A" w14:textId="77777777" w:rsidR="00DE4A10" w:rsidRDefault="00DE4A10" w:rsidP="006F20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38A47" w14:textId="77777777" w:rsidR="00DE4A10" w:rsidRDefault="00DE4A10" w:rsidP="006F20E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7420E3AF" w14:textId="77777777" w:rsidR="00DE4A10" w:rsidRDefault="00DE4A10" w:rsidP="00DE4A10">
      <w:pPr>
        <w:jc w:val="left"/>
        <w:rPr>
          <w:rFonts w:ascii="宋体" w:hAnsi="宋体" w:hint="eastAsia"/>
          <w:bCs/>
          <w:iCs/>
          <w:color w:val="000000"/>
          <w:sz w:val="22"/>
          <w:szCs w:val="22"/>
        </w:rPr>
      </w:pPr>
    </w:p>
    <w:p w14:paraId="1747000A" w14:textId="77777777" w:rsidR="005F6F62" w:rsidRDefault="005F6F62">
      <w:pPr>
        <w:rPr>
          <w:rFonts w:hint="eastAsia"/>
        </w:rPr>
      </w:pPr>
    </w:p>
    <w:sectPr w:rsidR="005F6F62" w:rsidSect="00DE4A10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246F" w14:textId="77777777" w:rsidR="00025B34" w:rsidRDefault="00025B34" w:rsidP="00DE4A10">
      <w:pPr>
        <w:rPr>
          <w:rFonts w:hint="eastAsia"/>
        </w:rPr>
      </w:pPr>
      <w:r>
        <w:separator/>
      </w:r>
    </w:p>
  </w:endnote>
  <w:endnote w:type="continuationSeparator" w:id="0">
    <w:p w14:paraId="290449A4" w14:textId="77777777" w:rsidR="00025B34" w:rsidRDefault="00025B34" w:rsidP="00DE4A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3FEE" w14:textId="77777777" w:rsidR="00DE4A10" w:rsidRDefault="00DE4A10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7D34A14" w14:textId="77777777" w:rsidR="00DE4A10" w:rsidRDefault="00DE4A1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2FF8" w14:textId="77777777" w:rsidR="00DE4A10" w:rsidRDefault="00DE4A10">
    <w:pPr>
      <w:pStyle w:val="af0"/>
      <w:rPr>
        <w:rStyle w:val="af3"/>
      </w:rPr>
    </w:pPr>
  </w:p>
  <w:p w14:paraId="70373906" w14:textId="77777777" w:rsidR="00DE4A10" w:rsidRDefault="00DE4A1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A79E" w14:textId="77777777" w:rsidR="00025B34" w:rsidRDefault="00025B34" w:rsidP="00DE4A10">
      <w:pPr>
        <w:rPr>
          <w:rFonts w:hint="eastAsia"/>
        </w:rPr>
      </w:pPr>
      <w:r>
        <w:separator/>
      </w:r>
    </w:p>
  </w:footnote>
  <w:footnote w:type="continuationSeparator" w:id="0">
    <w:p w14:paraId="089B70A6" w14:textId="77777777" w:rsidR="00025B34" w:rsidRDefault="00025B34" w:rsidP="00DE4A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AE15" w14:textId="77777777" w:rsidR="00DE4A10" w:rsidRDefault="00DE4A1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F1"/>
    <w:rsid w:val="00014E72"/>
    <w:rsid w:val="00025B34"/>
    <w:rsid w:val="000C07E4"/>
    <w:rsid w:val="001013AE"/>
    <w:rsid w:val="005F6F62"/>
    <w:rsid w:val="00B250DD"/>
    <w:rsid w:val="00D93DF1"/>
    <w:rsid w:val="00DE4A10"/>
    <w:rsid w:val="00E3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9D9911-CC72-4A0A-AB59-AA98559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A1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DF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F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DF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DF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DF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DF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DF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DF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DF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D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9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DF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93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DF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93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DF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93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93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DF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DE4A1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E4A10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DE4A1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E4A10"/>
    <w:rPr>
      <w:sz w:val="18"/>
      <w:szCs w:val="18"/>
    </w:rPr>
  </w:style>
  <w:style w:type="paragraph" w:styleId="af2">
    <w:name w:val="Normal (Web)"/>
    <w:basedOn w:val="a"/>
    <w:qFormat/>
    <w:rsid w:val="00DE4A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f3">
    <w:name w:val="page number"/>
    <w:qFormat/>
    <w:rsid w:val="00DE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1472</Characters>
  <Application>Microsoft Office Word</Application>
  <DocSecurity>0</DocSecurity>
  <Lines>210</Lines>
  <Paragraphs>207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李政昭（ SICC Co.,Ltd.）</dc:creator>
  <cp:keywords/>
  <dc:description/>
  <cp:lastModifiedBy>李政昭（ SICC Co.,Ltd.）</cp:lastModifiedBy>
  <cp:revision>2</cp:revision>
  <dcterms:created xsi:type="dcterms:W3CDTF">2026-04-17T00:36:00Z</dcterms:created>
  <dcterms:modified xsi:type="dcterms:W3CDTF">2026-04-17T00:37:00Z</dcterms:modified>
</cp:coreProperties>
</file>