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39A" w14:textId="77777777" w:rsidR="002E28F9" w:rsidRDefault="00000000">
      <w:pPr>
        <w:spacing w:afterLines="50" w:after="156"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688313                           </w:t>
      </w:r>
      <w:r>
        <w:rPr>
          <w:rFonts w:hint="eastAsia"/>
          <w:color w:val="000000"/>
          <w:sz w:val="24"/>
        </w:rPr>
        <w:t xml:space="preserve">     </w:t>
      </w:r>
      <w:r>
        <w:rPr>
          <w:color w:val="000000"/>
          <w:sz w:val="24"/>
        </w:rPr>
        <w:t xml:space="preserve">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仕佳光子</w:t>
      </w:r>
    </w:p>
    <w:p w14:paraId="672D8BF2" w14:textId="77777777" w:rsidR="002E28F9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河南仕佳光子科技股份有限公司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95EBB2C" w14:textId="77777777" w:rsidR="002E28F9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bCs/>
          <w:iCs/>
          <w:color w:val="000000"/>
          <w:sz w:val="24"/>
        </w:rPr>
        <w:t xml:space="preserve">  </w:t>
      </w:r>
      <w:r>
        <w:rPr>
          <w:bCs/>
          <w:iCs/>
          <w:color w:val="000000"/>
          <w:sz w:val="24"/>
        </w:rPr>
        <w:t>编号：</w:t>
      </w:r>
      <w:r>
        <w:rPr>
          <w:bCs/>
          <w:iCs/>
          <w:color w:val="000000"/>
          <w:sz w:val="24"/>
        </w:rPr>
        <w:t>202</w:t>
      </w:r>
      <w:r>
        <w:rPr>
          <w:rFonts w:hint="eastAsia"/>
          <w:bCs/>
          <w:iCs/>
          <w:color w:val="000000"/>
          <w:sz w:val="24"/>
        </w:rPr>
        <w:t>6</w:t>
      </w:r>
      <w:r>
        <w:rPr>
          <w:bCs/>
          <w:iCs/>
          <w:color w:val="000000"/>
          <w:sz w:val="24"/>
        </w:rPr>
        <w:t>-00</w:t>
      </w:r>
      <w:r>
        <w:rPr>
          <w:rFonts w:hint="eastAsia"/>
          <w:bCs/>
          <w:iCs/>
          <w:color w:val="000000"/>
          <w:sz w:val="24"/>
        </w:rPr>
        <w:t>1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2E28F9" w14:paraId="08CF626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D04" w14:textId="77777777" w:rsidR="002E28F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5B1" w14:textId="77777777" w:rsidR="002E28F9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</w:rPr>
              <w:fldChar w:fldCharType="begin"/>
            </w:r>
            <w:r>
              <w:rPr>
                <w:bCs/>
                <w:iCs/>
                <w:color w:val="000000"/>
              </w:rPr>
              <w:instrText xml:space="preserve"> eq \o\ac(□,√)</w:instrText>
            </w:r>
            <w:r>
              <w:rPr>
                <w:bCs/>
                <w:iCs/>
                <w:color w:val="000000"/>
              </w:rPr>
              <w:fldChar w:fldCharType="end"/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B597F3A" w14:textId="77777777" w:rsidR="002E28F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</w:rPr>
              <w:fldChar w:fldCharType="begin"/>
            </w:r>
            <w:r>
              <w:rPr>
                <w:bCs/>
                <w:iCs/>
                <w:color w:val="000000"/>
              </w:rPr>
              <w:instrText xml:space="preserve"> eq \o\ac(□,√)</w:instrText>
            </w:r>
            <w:r>
              <w:rPr>
                <w:bCs/>
                <w:iCs/>
                <w:color w:val="000000"/>
              </w:rPr>
              <w:fldChar w:fldCharType="end"/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7372AB82" w14:textId="77777777" w:rsidR="002E28F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112A9975" w14:textId="77777777" w:rsidR="002E28F9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2A4DE177" w14:textId="77777777" w:rsidR="002E28F9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2E28F9" w14:paraId="5009FDC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F0E6" w14:textId="77777777" w:rsidR="002E28F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551C" w14:textId="1F4C618F" w:rsidR="002E28F9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前海联合基金、中加基金、易方达基金、光大证券、景林资管、国金基金、正圆私募基金、汇丰晋信基金、筌笠资产、天风证券、民生加银基金、丹羿投资、南华基金、复星联合健康保险、国华兴益资管、青骊投资、长江证券、银河基金、嘉合基金、煜德投资、国联民生通信、东方证券、志开投资、方正富邦基金、兴证证券、冲积资管、富安达基金、淳厚基金、尚诚资管、杭银理财、金建投资、长城基金、宝骅投资、西部研发、东北证券、中信建投、博远基金、中华联合财产保险、国泰海通证券、碧云资产、诚盛投资、泰康基金、金恒宇投管、诺德基金、竹润投资、暖逸欣私募基金、申万宏源证券、国联基金、凯丰投资、申万菱信基金、兴业银行、光大保德信基金、国泰基金、平安基金、创金合信基金、华安基金、诺安基金、汇添富基金、睿远基金、瑞华投资、富国基金、富纳投资、中国人民健康保险、中航基金、东吴证券、金鹰基金、上银基金、兴业基金、长安基金、中颖投资、益恒投资、禹田资管、烜鼎私募基金、浙商基金、建信养老金、循远资管、东兴基金、华泰资管、新华基金、海通证券、启泰私募基金、大家资管、金锝私募基金、蜂巢基金、喜世润投资、利位投资、于翼资管、鼎诚资管、萧山泽泉投资、建信基金、和谐健康保险、原泽私募基金、德邦基金、玖鹏资管、景熙资管、红骅投资、恒生前海基金、天辰元信私募基金、鸿道投资、太平洋资管、处厚私募基金、沣沛投资、循理资管、涌贝资管、发展研究中心、东方睿石投资、通晟资管、华宝基金、财通基金、巨杉资管、</w:t>
            </w:r>
            <w:r>
              <w:rPr>
                <w:bCs/>
                <w:iCs/>
                <w:color w:val="000000"/>
                <w:sz w:val="24"/>
                <w:lang w:val="en-GB"/>
              </w:rPr>
              <w:t>Keystone Investors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>
              <w:rPr>
                <w:bCs/>
                <w:iCs/>
                <w:color w:val="000000"/>
                <w:sz w:val="24"/>
                <w:lang w:val="en-GB"/>
              </w:rPr>
              <w:t>DC Investment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、中国国际金融、清和泉资管、海港人寿保险、中银国际证券、浦银安盛基金、复胜资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lastRenderedPageBreak/>
              <w:t>管、华龙证券、京管泰富基金、</w:t>
            </w:r>
            <w:r>
              <w:rPr>
                <w:bCs/>
                <w:iCs/>
                <w:color w:val="000000"/>
                <w:sz w:val="24"/>
                <w:lang w:val="en-GB"/>
              </w:rPr>
              <w:t>Willing Capital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、明河投资、敦颐资管、博笃投资、昆仑信托</w:t>
            </w:r>
          </w:p>
        </w:tc>
      </w:tr>
      <w:tr w:rsidR="002E28F9" w14:paraId="07C8621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0CB" w14:textId="77777777" w:rsidR="002E28F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2BC" w14:textId="77777777" w:rsidR="002E28F9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20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 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00</w:t>
            </w:r>
            <w:r>
              <w:rPr>
                <w:bCs/>
                <w:iCs/>
                <w:color w:val="000000"/>
                <w:sz w:val="24"/>
              </w:rPr>
              <w:t>~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16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00</w:t>
            </w:r>
          </w:p>
        </w:tc>
      </w:tr>
      <w:tr w:rsidR="002E28F9" w14:paraId="4614C02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75CE" w14:textId="77777777" w:rsidR="002E28F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1FD2" w14:textId="77777777" w:rsidR="002E28F9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电话交流</w:t>
            </w:r>
          </w:p>
        </w:tc>
      </w:tr>
      <w:tr w:rsidR="002E28F9" w14:paraId="12AB2B8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A81" w14:textId="77777777" w:rsidR="002E28F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B3EA" w14:textId="77777777" w:rsidR="002E28F9" w:rsidRDefault="00000000">
            <w:pPr>
              <w:spacing w:line="42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、董事、总经理</w:t>
            </w:r>
            <w:r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吕克进</w:t>
            </w:r>
          </w:p>
          <w:p w14:paraId="1C901BAC" w14:textId="77777777" w:rsidR="002E28F9" w:rsidRDefault="00000000">
            <w:pPr>
              <w:spacing w:line="42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>
              <w:rPr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董事、副总经理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黄永光</w:t>
            </w:r>
          </w:p>
          <w:p w14:paraId="3B289363" w14:textId="77777777" w:rsidR="002E28F9" w:rsidRDefault="00000000">
            <w:pPr>
              <w:spacing w:line="42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  <w:r>
              <w:rPr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财务总监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赵艳涛</w:t>
            </w:r>
          </w:p>
          <w:p w14:paraId="389A4DE5" w14:textId="77777777" w:rsidR="002E28F9" w:rsidRDefault="00000000">
            <w:pPr>
              <w:spacing w:line="42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bCs/>
                <w:sz w:val="24"/>
              </w:rPr>
              <w:t>董事会秘书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梅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雪</w:t>
            </w:r>
          </w:p>
        </w:tc>
      </w:tr>
      <w:tr w:rsidR="002E28F9" w14:paraId="0E89588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8BA5" w14:textId="77777777" w:rsidR="002E28F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5471C38" w14:textId="77777777" w:rsidR="002E28F9" w:rsidRDefault="002E28F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36AF" w14:textId="377C45E2" w:rsidR="002E28F9" w:rsidRDefault="0000000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</w:t>
            </w:r>
            <w:r>
              <w:rPr>
                <w:rFonts w:hint="eastAsia"/>
                <w:b/>
                <w:bCs/>
                <w:sz w:val="24"/>
              </w:rPr>
              <w:t>2025</w:t>
            </w:r>
            <w:r>
              <w:rPr>
                <w:rFonts w:hint="eastAsia"/>
                <w:b/>
                <w:bCs/>
                <w:sz w:val="24"/>
              </w:rPr>
              <w:t>年度及</w:t>
            </w:r>
            <w:r>
              <w:rPr>
                <w:rFonts w:hint="eastAsia"/>
                <w:b/>
                <w:bCs/>
                <w:sz w:val="24"/>
              </w:rPr>
              <w:t>2026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 w:rsidR="001A397E">
              <w:rPr>
                <w:rFonts w:hint="eastAsia"/>
                <w:b/>
                <w:bCs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一季度的业绩情况</w:t>
            </w:r>
          </w:p>
          <w:p w14:paraId="173FE5E8" w14:textId="6119293E" w:rsidR="002E28F9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年是公司高质量发展的</w:t>
            </w:r>
            <w:r>
              <w:rPr>
                <w:rFonts w:hint="eastAsia"/>
                <w:sz w:val="24"/>
              </w:rPr>
              <w:t>关键一年</w:t>
            </w:r>
            <w:r>
              <w:rPr>
                <w:sz w:val="24"/>
              </w:rPr>
              <w:t>。</w:t>
            </w:r>
            <w:r>
              <w:rPr>
                <w:rFonts w:hint="eastAsia"/>
                <w:sz w:val="24"/>
              </w:rPr>
              <w:t>受益于</w:t>
            </w:r>
            <w:r>
              <w:rPr>
                <w:rFonts w:hint="eastAsia"/>
                <w:sz w:val="24"/>
              </w:rPr>
              <w:t xml:space="preserve"> AI </w:t>
            </w:r>
            <w:r>
              <w:rPr>
                <w:rFonts w:hint="eastAsia"/>
                <w:sz w:val="24"/>
              </w:rPr>
              <w:t>算力与数通市场的快速增长，公司坚持技术创新，依托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“有源</w:t>
            </w:r>
            <w:r>
              <w:rPr>
                <w:rFonts w:hint="eastAsia"/>
                <w:sz w:val="24"/>
              </w:rPr>
              <w:t xml:space="preserve"> + </w:t>
            </w:r>
            <w:r>
              <w:rPr>
                <w:rFonts w:hint="eastAsia"/>
                <w:sz w:val="24"/>
              </w:rPr>
              <w:t>无源”</w:t>
            </w:r>
            <w:r>
              <w:rPr>
                <w:rFonts w:hint="eastAsia"/>
                <w:sz w:val="24"/>
              </w:rPr>
              <w:t>IDM</w:t>
            </w:r>
            <w:r>
              <w:rPr>
                <w:rFonts w:hint="eastAsia"/>
                <w:sz w:val="24"/>
              </w:rPr>
              <w:t>一体化运营模式，经营业绩实现稳步提升，全年实现营业收入</w:t>
            </w:r>
            <w:r>
              <w:rPr>
                <w:rFonts w:hint="eastAsia"/>
                <w:sz w:val="24"/>
              </w:rPr>
              <w:t xml:space="preserve">21.29 </w:t>
            </w:r>
            <w:r>
              <w:rPr>
                <w:rFonts w:hint="eastAsia"/>
                <w:sz w:val="24"/>
              </w:rPr>
              <w:t>亿元，同比增长</w:t>
            </w:r>
            <w:r>
              <w:rPr>
                <w:rFonts w:hint="eastAsia"/>
                <w:sz w:val="24"/>
              </w:rPr>
              <w:t>98.15%</w:t>
            </w:r>
            <w:r>
              <w:rPr>
                <w:rFonts w:hint="eastAsia"/>
                <w:sz w:val="24"/>
              </w:rPr>
              <w:t>；归母净利润</w:t>
            </w:r>
            <w:r>
              <w:rPr>
                <w:rFonts w:hint="eastAsia"/>
                <w:sz w:val="24"/>
              </w:rPr>
              <w:t>3.72</w:t>
            </w:r>
            <w:r>
              <w:rPr>
                <w:rFonts w:hint="eastAsia"/>
                <w:sz w:val="24"/>
              </w:rPr>
              <w:t>亿元，同比增长</w:t>
            </w:r>
            <w:r>
              <w:rPr>
                <w:rFonts w:hint="eastAsia"/>
                <w:sz w:val="24"/>
              </w:rPr>
              <w:t>473.25%</w:t>
            </w:r>
            <w:r>
              <w:rPr>
                <w:rFonts w:hint="eastAsia"/>
                <w:sz w:val="24"/>
              </w:rPr>
              <w:t>。报告期内，光芯片及器件作为公司核心业务，实现收入</w:t>
            </w:r>
            <w:r>
              <w:rPr>
                <w:rFonts w:hint="eastAsia"/>
                <w:sz w:val="24"/>
              </w:rPr>
              <w:t>15.91</w:t>
            </w:r>
            <w:r>
              <w:rPr>
                <w:rFonts w:hint="eastAsia"/>
                <w:sz w:val="24"/>
              </w:rPr>
              <w:t>亿元，同比增长</w:t>
            </w:r>
            <w:r>
              <w:rPr>
                <w:rFonts w:hint="eastAsia"/>
                <w:sz w:val="24"/>
              </w:rPr>
              <w:t>162.39%</w:t>
            </w:r>
            <w:r>
              <w:rPr>
                <w:rFonts w:hint="eastAsia"/>
                <w:sz w:val="24"/>
              </w:rPr>
              <w:t>，成为业绩增长的第一引擎。进入</w:t>
            </w: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年一季度，公司延续增长态势，产能与订单稳步释放，单季度实现营收</w:t>
            </w:r>
            <w:r>
              <w:rPr>
                <w:rFonts w:hint="eastAsia"/>
                <w:sz w:val="24"/>
              </w:rPr>
              <w:t>5.77</w:t>
            </w:r>
            <w:r>
              <w:rPr>
                <w:rFonts w:hint="eastAsia"/>
                <w:sz w:val="24"/>
              </w:rPr>
              <w:t>亿元，同比增长</w:t>
            </w:r>
            <w:r>
              <w:rPr>
                <w:rFonts w:hint="eastAsia"/>
                <w:sz w:val="24"/>
              </w:rPr>
              <w:t>32.18%</w:t>
            </w:r>
            <w:r>
              <w:rPr>
                <w:rFonts w:hint="eastAsia"/>
                <w:sz w:val="24"/>
              </w:rPr>
              <w:t>；归母净利润</w:t>
            </w:r>
            <w:r>
              <w:rPr>
                <w:rFonts w:hint="eastAsia"/>
                <w:sz w:val="24"/>
              </w:rPr>
              <w:t>1.16</w:t>
            </w:r>
            <w:r>
              <w:rPr>
                <w:rFonts w:hint="eastAsia"/>
                <w:sz w:val="24"/>
              </w:rPr>
              <w:t>亿元，同比增长</w:t>
            </w:r>
            <w:r>
              <w:rPr>
                <w:rFonts w:hint="eastAsia"/>
                <w:sz w:val="24"/>
              </w:rPr>
              <w:t>24.66%</w:t>
            </w:r>
            <w:r>
              <w:rPr>
                <w:rFonts w:hint="eastAsia"/>
                <w:sz w:val="24"/>
              </w:rPr>
              <w:t>，经营质量持续向好。</w:t>
            </w:r>
          </w:p>
          <w:p w14:paraId="54D79645" w14:textId="77777777" w:rsidR="002E28F9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同时，公司全球化布局稳步推进，</w:t>
            </w:r>
            <w:r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年度境外业务实现高速增长，境外收入同比增长超</w:t>
            </w:r>
            <w:r>
              <w:rPr>
                <w:rFonts w:hint="eastAsia"/>
                <w:sz w:val="24"/>
              </w:rPr>
              <w:t>300%</w:t>
            </w:r>
            <w:r>
              <w:rPr>
                <w:rFonts w:hint="eastAsia"/>
                <w:sz w:val="24"/>
              </w:rPr>
              <w:t>。报告期内，泰国生产基地产能稳步提升，新加坡海外平台顺利落地，全球营销网络与供应体系进一步完善，有效增强了公司跨区域交付能力与风险抵御能力，国际市场竞争力与品牌影响力持续增强。</w:t>
            </w:r>
          </w:p>
          <w:p w14:paraId="15601222" w14:textId="77777777" w:rsidR="002E28F9" w:rsidRDefault="00000000">
            <w:pPr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</w:t>
            </w:r>
            <w:r>
              <w:rPr>
                <w:b/>
                <w:bCs/>
                <w:sz w:val="24"/>
              </w:rPr>
              <w:t>公司就投资者在本次说明会中提出的问题进行了回复</w:t>
            </w:r>
          </w:p>
          <w:p w14:paraId="40087FE5" w14:textId="77777777" w:rsidR="002E28F9" w:rsidRDefault="00000000">
            <w:pPr>
              <w:spacing w:line="360" w:lineRule="auto"/>
              <w:ind w:firstLineChars="200" w:firstLine="48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公司</w:t>
            </w:r>
            <w:r>
              <w:rPr>
                <w:rFonts w:hint="eastAsia"/>
                <w:b/>
                <w:bCs/>
                <w:sz w:val="24"/>
              </w:rPr>
              <w:t>12.65</w:t>
            </w:r>
            <w:r>
              <w:rPr>
                <w:rFonts w:hint="eastAsia"/>
                <w:b/>
                <w:bCs/>
                <w:sz w:val="24"/>
              </w:rPr>
              <w:t>亿元扩产计划的具体内容与未来两年展望</w:t>
            </w:r>
            <w:r>
              <w:rPr>
                <w:b/>
                <w:bCs/>
                <w:sz w:val="24"/>
              </w:rPr>
              <w:t>？</w:t>
            </w:r>
          </w:p>
          <w:p w14:paraId="738D46CC" w14:textId="73FB612B" w:rsidR="002E28F9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 w:rsidRPr="00DD5DE8">
              <w:rPr>
                <w:sz w:val="24"/>
              </w:rPr>
              <w:t>答：</w:t>
            </w:r>
            <w:r>
              <w:rPr>
                <w:rFonts w:hint="eastAsia"/>
                <w:sz w:val="24"/>
              </w:rPr>
              <w:t>尊敬的投资者，您好！公司高速光芯片与器件开发及产业化项目主要涵盖无源</w:t>
            </w:r>
            <w:r w:rsidR="0083633A">
              <w:rPr>
                <w:rFonts w:hint="eastAsia"/>
                <w:sz w:val="24"/>
              </w:rPr>
              <w:t>与</w:t>
            </w:r>
            <w:r>
              <w:rPr>
                <w:rFonts w:hint="eastAsia"/>
                <w:sz w:val="24"/>
              </w:rPr>
              <w:t>有源光芯片及器件、组件等相关产品的研发、产能建设与产业化落地。目前该项目处于内部审批及前期筹备阶段，尚需经过公司股东会审议通过后实施。公司将严格按照相关法律法规与监管要求履行信息披露义务，后续进展请以公</w:t>
            </w:r>
            <w:r>
              <w:rPr>
                <w:rFonts w:hint="eastAsia"/>
                <w:sz w:val="24"/>
              </w:rPr>
              <w:lastRenderedPageBreak/>
              <w:t>司在上海证券交易所公开披露的信息为准。感谢您对公司的关注与支持！</w:t>
            </w:r>
          </w:p>
          <w:p w14:paraId="72C0B89C" w14:textId="77777777" w:rsidR="002E28F9" w:rsidRDefault="00000000">
            <w:pPr>
              <w:spacing w:line="360" w:lineRule="auto"/>
              <w:ind w:firstLineChars="200" w:firstLine="48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关于一季度毛利率环比提升的原因？</w:t>
            </w:r>
          </w:p>
          <w:p w14:paraId="52302D1D" w14:textId="77777777" w:rsidR="002E28F9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答：尊敬的投资者，您好！公司</w:t>
            </w: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年第一季度毛利率环比提升，主要系产品结构优化所致，高毛利产品收入占比提升，带动整体毛利率上行。感谢您对公司的关注与支持！</w:t>
            </w:r>
          </w:p>
          <w:p w14:paraId="6C0A9B93" w14:textId="77777777" w:rsidR="002E28F9" w:rsidRDefault="00000000">
            <w:pPr>
              <w:spacing w:line="360" w:lineRule="auto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关于公司</w:t>
            </w:r>
            <w:r>
              <w:rPr>
                <w:rFonts w:hint="eastAsia"/>
                <w:b/>
                <w:bCs/>
                <w:sz w:val="24"/>
              </w:rPr>
              <w:t>1.6T AWG</w:t>
            </w:r>
            <w:r>
              <w:rPr>
                <w:rFonts w:hint="eastAsia"/>
                <w:b/>
                <w:bCs/>
                <w:sz w:val="24"/>
              </w:rPr>
              <w:t>产品的进展情况？</w:t>
            </w:r>
          </w:p>
          <w:p w14:paraId="4B989B5D" w14:textId="557CD874" w:rsidR="002E28F9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  <w:bookmarkStart w:id="0" w:name="OLE_LINK1"/>
            <w:r>
              <w:rPr>
                <w:rFonts w:hint="eastAsia"/>
                <w:sz w:val="24"/>
              </w:rPr>
              <w:t>：尊敬的投资者，您好！目前公司适用于</w:t>
            </w:r>
            <w:r>
              <w:rPr>
                <w:rFonts w:hint="eastAsia"/>
                <w:sz w:val="24"/>
              </w:rPr>
              <w:t>1.6T</w:t>
            </w:r>
            <w:r>
              <w:rPr>
                <w:rFonts w:hint="eastAsia"/>
                <w:sz w:val="24"/>
              </w:rPr>
              <w:t>光模块用的</w:t>
            </w:r>
            <w:r>
              <w:rPr>
                <w:rFonts w:hint="eastAsia"/>
                <w:sz w:val="24"/>
              </w:rPr>
              <w:t>AWG</w:t>
            </w:r>
            <w:r>
              <w:rPr>
                <w:rFonts w:hint="eastAsia"/>
                <w:sz w:val="24"/>
              </w:rPr>
              <w:t>芯片及组件，已实现小批量出货</w:t>
            </w:r>
            <w:r w:rsidR="00DD5DE8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公司正按计划开展客户对接工作。感谢您对公司的关注与支持！</w:t>
            </w:r>
          </w:p>
          <w:p w14:paraId="1B12BFFA" w14:textId="77777777" w:rsidR="002E28F9" w:rsidRDefault="00000000">
            <w:pPr>
              <w:spacing w:line="360" w:lineRule="auto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、关于公司高功率</w:t>
            </w:r>
            <w:r>
              <w:rPr>
                <w:rFonts w:hint="eastAsia"/>
                <w:b/>
                <w:bCs/>
                <w:sz w:val="24"/>
              </w:rPr>
              <w:t>CW</w:t>
            </w:r>
            <w:r>
              <w:rPr>
                <w:rFonts w:hint="eastAsia"/>
                <w:b/>
                <w:bCs/>
                <w:sz w:val="24"/>
              </w:rPr>
              <w:t>光源系列产品的研发与客户推进情况？</w:t>
            </w:r>
          </w:p>
          <w:p w14:paraId="54E80FA5" w14:textId="77777777" w:rsidR="002E28F9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答：尊敬的投资者，您好！公司高功率</w:t>
            </w:r>
            <w:r>
              <w:rPr>
                <w:rFonts w:hint="eastAsia"/>
                <w:sz w:val="24"/>
              </w:rPr>
              <w:t>CW</w:t>
            </w:r>
            <w:r>
              <w:rPr>
                <w:rFonts w:hint="eastAsia"/>
                <w:sz w:val="24"/>
              </w:rPr>
              <w:t>光源系列产品的研发工作正在稳步推进中，部分高功率产品已开发完成并通过内部可靠性验证；</w:t>
            </w:r>
            <w:r>
              <w:rPr>
                <w:rFonts w:hint="eastAsia"/>
                <w:sz w:val="24"/>
              </w:rPr>
              <w:t>70-100mW</w:t>
            </w:r>
            <w:r>
              <w:rPr>
                <w:rFonts w:hint="eastAsia"/>
                <w:sz w:val="24"/>
              </w:rPr>
              <w:t>产品已实现小批量出货，后续将根据市场需求与客户反馈稳步推进市场拓展工作。感谢您对公司的关注与支持！</w:t>
            </w:r>
          </w:p>
          <w:bookmarkEnd w:id="0"/>
          <w:p w14:paraId="0F3EF59E" w14:textId="77777777" w:rsidR="002E28F9" w:rsidRDefault="00000000">
            <w:pPr>
              <w:spacing w:line="360" w:lineRule="auto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关于</w:t>
            </w:r>
            <w:r>
              <w:rPr>
                <w:b/>
                <w:bCs/>
                <w:sz w:val="24"/>
              </w:rPr>
              <w:t>福可喜玛收购进展</w:t>
            </w:r>
            <w:r>
              <w:rPr>
                <w:rFonts w:hint="eastAsia"/>
                <w:b/>
                <w:bCs/>
                <w:sz w:val="24"/>
              </w:rPr>
              <w:t>情况</w:t>
            </w:r>
            <w:r>
              <w:rPr>
                <w:b/>
                <w:bCs/>
                <w:sz w:val="24"/>
              </w:rPr>
              <w:t>？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5EB2DB06" w14:textId="10CEA35E" w:rsidR="002E28F9" w:rsidRDefault="00000000">
            <w:pPr>
              <w:spacing w:line="360" w:lineRule="auto"/>
              <w:ind w:firstLineChars="200" w:firstLine="482"/>
              <w:rPr>
                <w:sz w:val="24"/>
              </w:rPr>
            </w:pPr>
            <w:r>
              <w:rPr>
                <w:b/>
                <w:bCs/>
                <w:sz w:val="24"/>
              </w:rPr>
              <w:t>答：</w:t>
            </w:r>
            <w:r>
              <w:rPr>
                <w:sz w:val="24"/>
              </w:rPr>
              <w:t>尊敬的投资者，您好！</w:t>
            </w:r>
            <w:r>
              <w:rPr>
                <w:rFonts w:hint="eastAsia"/>
                <w:sz w:val="24"/>
              </w:rPr>
              <w:t>本次交易涉及的尽调、审计、评估等工作尚未完成，交易价格等关键条款尚未最终确定，目前仍在持续推进中。相关事项存在一定不确定性，</w:t>
            </w:r>
            <w:r w:rsidR="008F7D32">
              <w:rPr>
                <w:rFonts w:hint="eastAsia"/>
                <w:sz w:val="24"/>
              </w:rPr>
              <w:t>请投资者注意投资风险，</w:t>
            </w:r>
            <w:r>
              <w:rPr>
                <w:rFonts w:hint="eastAsia"/>
                <w:sz w:val="24"/>
              </w:rPr>
              <w:t>具体进展</w:t>
            </w:r>
            <w:r>
              <w:rPr>
                <w:sz w:val="24"/>
              </w:rPr>
              <w:t>将通过上海证券交易所</w:t>
            </w:r>
            <w:r>
              <w:rPr>
                <w:rFonts w:hint="eastAsia"/>
                <w:sz w:val="24"/>
              </w:rPr>
              <w:t>网站</w:t>
            </w:r>
            <w:r>
              <w:rPr>
                <w:sz w:val="24"/>
              </w:rPr>
              <w:t>进行披露。感谢您对公司的关注与支持！</w:t>
            </w:r>
          </w:p>
        </w:tc>
      </w:tr>
      <w:tr w:rsidR="002E28F9" w14:paraId="4054235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ACA4" w14:textId="77777777" w:rsidR="002E28F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9C1" w14:textId="7774F888" w:rsidR="002E28F9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-</w:t>
            </w:r>
            <w:r w:rsidR="00550306"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20</w:t>
            </w:r>
          </w:p>
        </w:tc>
      </w:tr>
    </w:tbl>
    <w:p w14:paraId="7B625D9A" w14:textId="77777777" w:rsidR="002E28F9" w:rsidRDefault="002E28F9">
      <w:pPr>
        <w:widowControl/>
        <w:jc w:val="left"/>
      </w:pPr>
    </w:p>
    <w:sectPr w:rsidR="002E28F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8676F" w14:textId="77777777" w:rsidR="0034379B" w:rsidRDefault="0034379B">
      <w:r>
        <w:separator/>
      </w:r>
    </w:p>
  </w:endnote>
  <w:endnote w:type="continuationSeparator" w:id="0">
    <w:p w14:paraId="7162CBB2" w14:textId="77777777" w:rsidR="0034379B" w:rsidRDefault="0034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CDD0" w14:textId="77777777" w:rsidR="002E28F9" w:rsidRDefault="002E28F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0754" w14:textId="77777777" w:rsidR="0034379B" w:rsidRDefault="0034379B">
      <w:r>
        <w:separator/>
      </w:r>
    </w:p>
  </w:footnote>
  <w:footnote w:type="continuationSeparator" w:id="0">
    <w:p w14:paraId="27753A2A" w14:textId="77777777" w:rsidR="0034379B" w:rsidRDefault="0034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3145" w14:textId="77777777" w:rsidR="002E28F9" w:rsidRDefault="002E28F9">
    <w:pPr>
      <w:pStyle w:val="a7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00014081"/>
    <w:rsid w:val="000172FF"/>
    <w:rsid w:val="00025192"/>
    <w:rsid w:val="000268C0"/>
    <w:rsid w:val="000273AA"/>
    <w:rsid w:val="000363B5"/>
    <w:rsid w:val="000375D7"/>
    <w:rsid w:val="00043015"/>
    <w:rsid w:val="00046753"/>
    <w:rsid w:val="00046DDE"/>
    <w:rsid w:val="00047E72"/>
    <w:rsid w:val="00047EB9"/>
    <w:rsid w:val="00060A74"/>
    <w:rsid w:val="00067110"/>
    <w:rsid w:val="00067920"/>
    <w:rsid w:val="0007000E"/>
    <w:rsid w:val="0009031C"/>
    <w:rsid w:val="0009298A"/>
    <w:rsid w:val="00092E99"/>
    <w:rsid w:val="000964A4"/>
    <w:rsid w:val="0009785B"/>
    <w:rsid w:val="000A2808"/>
    <w:rsid w:val="000A3BAC"/>
    <w:rsid w:val="000A7BB0"/>
    <w:rsid w:val="000A7CB8"/>
    <w:rsid w:val="000B749E"/>
    <w:rsid w:val="000C1E52"/>
    <w:rsid w:val="000C26FD"/>
    <w:rsid w:val="000C2D85"/>
    <w:rsid w:val="000D0F1C"/>
    <w:rsid w:val="000D3E22"/>
    <w:rsid w:val="000D5373"/>
    <w:rsid w:val="000E3A1C"/>
    <w:rsid w:val="000E5700"/>
    <w:rsid w:val="000F0C4B"/>
    <w:rsid w:val="000F0E22"/>
    <w:rsid w:val="000F2D62"/>
    <w:rsid w:val="000F531B"/>
    <w:rsid w:val="000F6429"/>
    <w:rsid w:val="00105A04"/>
    <w:rsid w:val="00105B17"/>
    <w:rsid w:val="00106076"/>
    <w:rsid w:val="001169A9"/>
    <w:rsid w:val="0012234E"/>
    <w:rsid w:val="00125A17"/>
    <w:rsid w:val="00125EB2"/>
    <w:rsid w:val="00134914"/>
    <w:rsid w:val="00142A4C"/>
    <w:rsid w:val="00144279"/>
    <w:rsid w:val="001452FF"/>
    <w:rsid w:val="00145CCB"/>
    <w:rsid w:val="0016617A"/>
    <w:rsid w:val="00167E99"/>
    <w:rsid w:val="0019160D"/>
    <w:rsid w:val="001975AB"/>
    <w:rsid w:val="001A00F5"/>
    <w:rsid w:val="001A18BD"/>
    <w:rsid w:val="001A1F65"/>
    <w:rsid w:val="001A397E"/>
    <w:rsid w:val="001A5CE9"/>
    <w:rsid w:val="001A7FD6"/>
    <w:rsid w:val="001B450B"/>
    <w:rsid w:val="001C19EA"/>
    <w:rsid w:val="001C50AD"/>
    <w:rsid w:val="001D0BC7"/>
    <w:rsid w:val="001D22EE"/>
    <w:rsid w:val="001D4C89"/>
    <w:rsid w:val="001E03BE"/>
    <w:rsid w:val="001E1838"/>
    <w:rsid w:val="001E3145"/>
    <w:rsid w:val="001E6509"/>
    <w:rsid w:val="001E7968"/>
    <w:rsid w:val="001F4FF6"/>
    <w:rsid w:val="001F50F4"/>
    <w:rsid w:val="00201C3C"/>
    <w:rsid w:val="00210094"/>
    <w:rsid w:val="0022180A"/>
    <w:rsid w:val="00223ABC"/>
    <w:rsid w:val="002241B9"/>
    <w:rsid w:val="002274D9"/>
    <w:rsid w:val="0023455A"/>
    <w:rsid w:val="00237994"/>
    <w:rsid w:val="00241E32"/>
    <w:rsid w:val="00246F06"/>
    <w:rsid w:val="00247DB1"/>
    <w:rsid w:val="00251D58"/>
    <w:rsid w:val="002530EE"/>
    <w:rsid w:val="002549E6"/>
    <w:rsid w:val="00256602"/>
    <w:rsid w:val="002609C0"/>
    <w:rsid w:val="00261F44"/>
    <w:rsid w:val="00265123"/>
    <w:rsid w:val="00266A66"/>
    <w:rsid w:val="00271C8D"/>
    <w:rsid w:val="00273B53"/>
    <w:rsid w:val="0028080C"/>
    <w:rsid w:val="0028301E"/>
    <w:rsid w:val="00283BB1"/>
    <w:rsid w:val="00295257"/>
    <w:rsid w:val="00297703"/>
    <w:rsid w:val="002A0826"/>
    <w:rsid w:val="002A0984"/>
    <w:rsid w:val="002A09C6"/>
    <w:rsid w:val="002A589B"/>
    <w:rsid w:val="002B1184"/>
    <w:rsid w:val="002B71B8"/>
    <w:rsid w:val="002B7469"/>
    <w:rsid w:val="002C0164"/>
    <w:rsid w:val="002C22C6"/>
    <w:rsid w:val="002C6568"/>
    <w:rsid w:val="002C723B"/>
    <w:rsid w:val="002C775A"/>
    <w:rsid w:val="002D39BC"/>
    <w:rsid w:val="002D7296"/>
    <w:rsid w:val="002E1B15"/>
    <w:rsid w:val="002E1D3A"/>
    <w:rsid w:val="002E28F9"/>
    <w:rsid w:val="002E2CBA"/>
    <w:rsid w:val="003005F0"/>
    <w:rsid w:val="003030BF"/>
    <w:rsid w:val="00304F89"/>
    <w:rsid w:val="00306023"/>
    <w:rsid w:val="00325795"/>
    <w:rsid w:val="00327D5D"/>
    <w:rsid w:val="0033269A"/>
    <w:rsid w:val="00332B54"/>
    <w:rsid w:val="00333D48"/>
    <w:rsid w:val="003410ED"/>
    <w:rsid w:val="0034379B"/>
    <w:rsid w:val="003440A5"/>
    <w:rsid w:val="00344914"/>
    <w:rsid w:val="00346917"/>
    <w:rsid w:val="0035239C"/>
    <w:rsid w:val="003524B5"/>
    <w:rsid w:val="00354A7B"/>
    <w:rsid w:val="003601CD"/>
    <w:rsid w:val="00360FDA"/>
    <w:rsid w:val="00363075"/>
    <w:rsid w:val="00367D18"/>
    <w:rsid w:val="00372683"/>
    <w:rsid w:val="00372A1C"/>
    <w:rsid w:val="00372BC4"/>
    <w:rsid w:val="003740E4"/>
    <w:rsid w:val="0037435A"/>
    <w:rsid w:val="00375763"/>
    <w:rsid w:val="00377D8F"/>
    <w:rsid w:val="003818B6"/>
    <w:rsid w:val="00381FD9"/>
    <w:rsid w:val="00383679"/>
    <w:rsid w:val="00383EC7"/>
    <w:rsid w:val="0038484F"/>
    <w:rsid w:val="003A1E68"/>
    <w:rsid w:val="003A2DD9"/>
    <w:rsid w:val="003B0122"/>
    <w:rsid w:val="003B0BE5"/>
    <w:rsid w:val="003C2A52"/>
    <w:rsid w:val="003D18F1"/>
    <w:rsid w:val="003E001E"/>
    <w:rsid w:val="003F18B0"/>
    <w:rsid w:val="003F59B1"/>
    <w:rsid w:val="003F6CFE"/>
    <w:rsid w:val="003F7C4D"/>
    <w:rsid w:val="0040075F"/>
    <w:rsid w:val="00403300"/>
    <w:rsid w:val="00403A4F"/>
    <w:rsid w:val="0040690B"/>
    <w:rsid w:val="00410E6F"/>
    <w:rsid w:val="004118C0"/>
    <w:rsid w:val="00411DDD"/>
    <w:rsid w:val="0041699D"/>
    <w:rsid w:val="00417A31"/>
    <w:rsid w:val="0042004B"/>
    <w:rsid w:val="00430D8A"/>
    <w:rsid w:val="00433384"/>
    <w:rsid w:val="0043660B"/>
    <w:rsid w:val="00436F1E"/>
    <w:rsid w:val="0043777D"/>
    <w:rsid w:val="00442F49"/>
    <w:rsid w:val="00445325"/>
    <w:rsid w:val="004535C2"/>
    <w:rsid w:val="0045767F"/>
    <w:rsid w:val="0046082B"/>
    <w:rsid w:val="004619BE"/>
    <w:rsid w:val="00463E9B"/>
    <w:rsid w:val="004656F7"/>
    <w:rsid w:val="00467414"/>
    <w:rsid w:val="00467A49"/>
    <w:rsid w:val="00472EC5"/>
    <w:rsid w:val="00473F30"/>
    <w:rsid w:val="0048591A"/>
    <w:rsid w:val="00486D86"/>
    <w:rsid w:val="0048721A"/>
    <w:rsid w:val="00493A4C"/>
    <w:rsid w:val="00496C9A"/>
    <w:rsid w:val="004A0BD5"/>
    <w:rsid w:val="004A148E"/>
    <w:rsid w:val="004A1BBF"/>
    <w:rsid w:val="004A65B8"/>
    <w:rsid w:val="004A73E5"/>
    <w:rsid w:val="004B1703"/>
    <w:rsid w:val="004C19BF"/>
    <w:rsid w:val="004D4269"/>
    <w:rsid w:val="004D7640"/>
    <w:rsid w:val="004E1A9B"/>
    <w:rsid w:val="004E27DD"/>
    <w:rsid w:val="00500AB6"/>
    <w:rsid w:val="0050351E"/>
    <w:rsid w:val="00510DC7"/>
    <w:rsid w:val="005155FB"/>
    <w:rsid w:val="00523907"/>
    <w:rsid w:val="005310E4"/>
    <w:rsid w:val="00537C53"/>
    <w:rsid w:val="00542857"/>
    <w:rsid w:val="005438F5"/>
    <w:rsid w:val="00544901"/>
    <w:rsid w:val="005474D3"/>
    <w:rsid w:val="00550306"/>
    <w:rsid w:val="00550737"/>
    <w:rsid w:val="00551D2C"/>
    <w:rsid w:val="00555DD2"/>
    <w:rsid w:val="00557F06"/>
    <w:rsid w:val="005628BC"/>
    <w:rsid w:val="00565ED9"/>
    <w:rsid w:val="0057258E"/>
    <w:rsid w:val="005743C7"/>
    <w:rsid w:val="005760C6"/>
    <w:rsid w:val="005775C2"/>
    <w:rsid w:val="00581AEF"/>
    <w:rsid w:val="00585A1B"/>
    <w:rsid w:val="00587FFA"/>
    <w:rsid w:val="00591260"/>
    <w:rsid w:val="00591314"/>
    <w:rsid w:val="00593D40"/>
    <w:rsid w:val="00595F1B"/>
    <w:rsid w:val="005A1AD8"/>
    <w:rsid w:val="005A3BE0"/>
    <w:rsid w:val="005A5FB1"/>
    <w:rsid w:val="005B1026"/>
    <w:rsid w:val="005B35AC"/>
    <w:rsid w:val="005B448C"/>
    <w:rsid w:val="005B642F"/>
    <w:rsid w:val="005B6886"/>
    <w:rsid w:val="005C04C1"/>
    <w:rsid w:val="005C1785"/>
    <w:rsid w:val="005C6673"/>
    <w:rsid w:val="005D2D87"/>
    <w:rsid w:val="005D4670"/>
    <w:rsid w:val="005D64AE"/>
    <w:rsid w:val="005D6A09"/>
    <w:rsid w:val="005E2B4B"/>
    <w:rsid w:val="005E5F63"/>
    <w:rsid w:val="005E6BA1"/>
    <w:rsid w:val="00601E1C"/>
    <w:rsid w:val="0060779A"/>
    <w:rsid w:val="00616C88"/>
    <w:rsid w:val="006212AD"/>
    <w:rsid w:val="00622F13"/>
    <w:rsid w:val="00623C19"/>
    <w:rsid w:val="00625503"/>
    <w:rsid w:val="0062662D"/>
    <w:rsid w:val="006329B6"/>
    <w:rsid w:val="00632E78"/>
    <w:rsid w:val="006344F1"/>
    <w:rsid w:val="00637186"/>
    <w:rsid w:val="00646DF4"/>
    <w:rsid w:val="00651DE6"/>
    <w:rsid w:val="006523BB"/>
    <w:rsid w:val="00652736"/>
    <w:rsid w:val="0065347E"/>
    <w:rsid w:val="00654B49"/>
    <w:rsid w:val="00656740"/>
    <w:rsid w:val="00662505"/>
    <w:rsid w:val="0066674C"/>
    <w:rsid w:val="006729A5"/>
    <w:rsid w:val="006760F7"/>
    <w:rsid w:val="006771AA"/>
    <w:rsid w:val="006861C7"/>
    <w:rsid w:val="00686DDF"/>
    <w:rsid w:val="00691D13"/>
    <w:rsid w:val="00697B12"/>
    <w:rsid w:val="006A55BB"/>
    <w:rsid w:val="006A7613"/>
    <w:rsid w:val="006B4F9C"/>
    <w:rsid w:val="006B661A"/>
    <w:rsid w:val="006B7D00"/>
    <w:rsid w:val="006C6BC5"/>
    <w:rsid w:val="006D61A2"/>
    <w:rsid w:val="006E1DB4"/>
    <w:rsid w:val="006F031D"/>
    <w:rsid w:val="007179F3"/>
    <w:rsid w:val="0072467B"/>
    <w:rsid w:val="00724DA3"/>
    <w:rsid w:val="00744045"/>
    <w:rsid w:val="00753DB6"/>
    <w:rsid w:val="00756D42"/>
    <w:rsid w:val="007633F1"/>
    <w:rsid w:val="00763847"/>
    <w:rsid w:val="00765485"/>
    <w:rsid w:val="00771FE3"/>
    <w:rsid w:val="00773666"/>
    <w:rsid w:val="007748C6"/>
    <w:rsid w:val="00776BDE"/>
    <w:rsid w:val="00777A33"/>
    <w:rsid w:val="00785FE1"/>
    <w:rsid w:val="00786870"/>
    <w:rsid w:val="00787EEF"/>
    <w:rsid w:val="00792237"/>
    <w:rsid w:val="0079272A"/>
    <w:rsid w:val="0079399F"/>
    <w:rsid w:val="00795A74"/>
    <w:rsid w:val="00796157"/>
    <w:rsid w:val="007969AA"/>
    <w:rsid w:val="007A1A57"/>
    <w:rsid w:val="007A1DA9"/>
    <w:rsid w:val="007B16E1"/>
    <w:rsid w:val="007B2252"/>
    <w:rsid w:val="007B2F65"/>
    <w:rsid w:val="007B3ED6"/>
    <w:rsid w:val="007B5B3D"/>
    <w:rsid w:val="007B79D9"/>
    <w:rsid w:val="007C2278"/>
    <w:rsid w:val="007C44CF"/>
    <w:rsid w:val="007C63D0"/>
    <w:rsid w:val="007C6520"/>
    <w:rsid w:val="007C67B1"/>
    <w:rsid w:val="007D0204"/>
    <w:rsid w:val="007E354A"/>
    <w:rsid w:val="007E69C8"/>
    <w:rsid w:val="007F3CE3"/>
    <w:rsid w:val="007F4983"/>
    <w:rsid w:val="0080525B"/>
    <w:rsid w:val="008062C5"/>
    <w:rsid w:val="0080741A"/>
    <w:rsid w:val="0081314E"/>
    <w:rsid w:val="00814B5B"/>
    <w:rsid w:val="008167DD"/>
    <w:rsid w:val="008249F3"/>
    <w:rsid w:val="0083633A"/>
    <w:rsid w:val="00836F34"/>
    <w:rsid w:val="00843E73"/>
    <w:rsid w:val="00844EBF"/>
    <w:rsid w:val="00847C5F"/>
    <w:rsid w:val="00854784"/>
    <w:rsid w:val="00854F61"/>
    <w:rsid w:val="00864202"/>
    <w:rsid w:val="00870A88"/>
    <w:rsid w:val="00873B59"/>
    <w:rsid w:val="0087701F"/>
    <w:rsid w:val="00883068"/>
    <w:rsid w:val="00887A7B"/>
    <w:rsid w:val="00890FD9"/>
    <w:rsid w:val="008916FF"/>
    <w:rsid w:val="0089240B"/>
    <w:rsid w:val="0089283D"/>
    <w:rsid w:val="008928CB"/>
    <w:rsid w:val="00896637"/>
    <w:rsid w:val="008A0ADC"/>
    <w:rsid w:val="008A1BAB"/>
    <w:rsid w:val="008A2711"/>
    <w:rsid w:val="008A600F"/>
    <w:rsid w:val="008B2D1A"/>
    <w:rsid w:val="008B38B7"/>
    <w:rsid w:val="008B458E"/>
    <w:rsid w:val="008B4C6A"/>
    <w:rsid w:val="008B4DF8"/>
    <w:rsid w:val="008C4D4A"/>
    <w:rsid w:val="008C6C9D"/>
    <w:rsid w:val="008D1547"/>
    <w:rsid w:val="008D26F8"/>
    <w:rsid w:val="008E11AE"/>
    <w:rsid w:val="008E1708"/>
    <w:rsid w:val="008E4844"/>
    <w:rsid w:val="008E68ED"/>
    <w:rsid w:val="008F4472"/>
    <w:rsid w:val="008F6435"/>
    <w:rsid w:val="008F7D32"/>
    <w:rsid w:val="00904492"/>
    <w:rsid w:val="00904DFB"/>
    <w:rsid w:val="00910287"/>
    <w:rsid w:val="00910E96"/>
    <w:rsid w:val="0091457B"/>
    <w:rsid w:val="00915495"/>
    <w:rsid w:val="00920F4D"/>
    <w:rsid w:val="00922909"/>
    <w:rsid w:val="00923763"/>
    <w:rsid w:val="00927AE5"/>
    <w:rsid w:val="00930ED6"/>
    <w:rsid w:val="0093293F"/>
    <w:rsid w:val="00933105"/>
    <w:rsid w:val="00936AA7"/>
    <w:rsid w:val="009474EF"/>
    <w:rsid w:val="00947C28"/>
    <w:rsid w:val="00953868"/>
    <w:rsid w:val="009563EE"/>
    <w:rsid w:val="009604AC"/>
    <w:rsid w:val="00962626"/>
    <w:rsid w:val="00965E93"/>
    <w:rsid w:val="00971D60"/>
    <w:rsid w:val="00972F59"/>
    <w:rsid w:val="009767DD"/>
    <w:rsid w:val="00977AF2"/>
    <w:rsid w:val="00980987"/>
    <w:rsid w:val="00985FC5"/>
    <w:rsid w:val="00993BDD"/>
    <w:rsid w:val="00993EE9"/>
    <w:rsid w:val="009A310F"/>
    <w:rsid w:val="009A43D2"/>
    <w:rsid w:val="009A6DFB"/>
    <w:rsid w:val="009B2075"/>
    <w:rsid w:val="009B6EC0"/>
    <w:rsid w:val="009B7758"/>
    <w:rsid w:val="009C7C3E"/>
    <w:rsid w:val="009C7FAF"/>
    <w:rsid w:val="009D4199"/>
    <w:rsid w:val="009D422F"/>
    <w:rsid w:val="009E5E6A"/>
    <w:rsid w:val="009F0DD5"/>
    <w:rsid w:val="009F1B95"/>
    <w:rsid w:val="009F6C05"/>
    <w:rsid w:val="00A13CB6"/>
    <w:rsid w:val="00A14A1A"/>
    <w:rsid w:val="00A14D45"/>
    <w:rsid w:val="00A20805"/>
    <w:rsid w:val="00A22CDD"/>
    <w:rsid w:val="00A25AEE"/>
    <w:rsid w:val="00A30511"/>
    <w:rsid w:val="00A31EB1"/>
    <w:rsid w:val="00A33AEA"/>
    <w:rsid w:val="00A40AB3"/>
    <w:rsid w:val="00A461CD"/>
    <w:rsid w:val="00A469C5"/>
    <w:rsid w:val="00A5157F"/>
    <w:rsid w:val="00A5317D"/>
    <w:rsid w:val="00A6284E"/>
    <w:rsid w:val="00A63E81"/>
    <w:rsid w:val="00A746BA"/>
    <w:rsid w:val="00A8069F"/>
    <w:rsid w:val="00A8775A"/>
    <w:rsid w:val="00A908CF"/>
    <w:rsid w:val="00A947E3"/>
    <w:rsid w:val="00AA2346"/>
    <w:rsid w:val="00AA2DC8"/>
    <w:rsid w:val="00AA4C8D"/>
    <w:rsid w:val="00AA5998"/>
    <w:rsid w:val="00AA5A35"/>
    <w:rsid w:val="00AB07E7"/>
    <w:rsid w:val="00AB36BD"/>
    <w:rsid w:val="00AC4E6C"/>
    <w:rsid w:val="00AC55AB"/>
    <w:rsid w:val="00AC6356"/>
    <w:rsid w:val="00AD1BA8"/>
    <w:rsid w:val="00AD67E2"/>
    <w:rsid w:val="00AE0849"/>
    <w:rsid w:val="00AF5816"/>
    <w:rsid w:val="00B02A29"/>
    <w:rsid w:val="00B03522"/>
    <w:rsid w:val="00B04AD6"/>
    <w:rsid w:val="00B14CAA"/>
    <w:rsid w:val="00B16EA0"/>
    <w:rsid w:val="00B257CE"/>
    <w:rsid w:val="00B30FD4"/>
    <w:rsid w:val="00B3133E"/>
    <w:rsid w:val="00B414A4"/>
    <w:rsid w:val="00B429A6"/>
    <w:rsid w:val="00B47147"/>
    <w:rsid w:val="00B4746C"/>
    <w:rsid w:val="00B65354"/>
    <w:rsid w:val="00B70342"/>
    <w:rsid w:val="00B71A0E"/>
    <w:rsid w:val="00B766DF"/>
    <w:rsid w:val="00B815F2"/>
    <w:rsid w:val="00B81765"/>
    <w:rsid w:val="00B832F5"/>
    <w:rsid w:val="00B87680"/>
    <w:rsid w:val="00B87CC0"/>
    <w:rsid w:val="00BA2FAB"/>
    <w:rsid w:val="00BB5E28"/>
    <w:rsid w:val="00BB665E"/>
    <w:rsid w:val="00BC0142"/>
    <w:rsid w:val="00BC0DCC"/>
    <w:rsid w:val="00BC23EE"/>
    <w:rsid w:val="00BD15F3"/>
    <w:rsid w:val="00BD7986"/>
    <w:rsid w:val="00BD79D3"/>
    <w:rsid w:val="00BE1105"/>
    <w:rsid w:val="00BE30CE"/>
    <w:rsid w:val="00C04F82"/>
    <w:rsid w:val="00C05CEF"/>
    <w:rsid w:val="00C15AC0"/>
    <w:rsid w:val="00C2212F"/>
    <w:rsid w:val="00C2379A"/>
    <w:rsid w:val="00C26030"/>
    <w:rsid w:val="00C310B9"/>
    <w:rsid w:val="00C31D18"/>
    <w:rsid w:val="00C41091"/>
    <w:rsid w:val="00C42E19"/>
    <w:rsid w:val="00C43FEF"/>
    <w:rsid w:val="00C62ACD"/>
    <w:rsid w:val="00C63056"/>
    <w:rsid w:val="00C661D1"/>
    <w:rsid w:val="00C67447"/>
    <w:rsid w:val="00C70C0D"/>
    <w:rsid w:val="00C775BA"/>
    <w:rsid w:val="00C85331"/>
    <w:rsid w:val="00C85A50"/>
    <w:rsid w:val="00C907C3"/>
    <w:rsid w:val="00C91277"/>
    <w:rsid w:val="00C94D46"/>
    <w:rsid w:val="00CA443A"/>
    <w:rsid w:val="00CB17C8"/>
    <w:rsid w:val="00CB2461"/>
    <w:rsid w:val="00CB37FD"/>
    <w:rsid w:val="00CC1F0C"/>
    <w:rsid w:val="00CC4C2E"/>
    <w:rsid w:val="00CC4D65"/>
    <w:rsid w:val="00CC61E7"/>
    <w:rsid w:val="00CD25AD"/>
    <w:rsid w:val="00CD35E4"/>
    <w:rsid w:val="00CD3FFC"/>
    <w:rsid w:val="00CF565C"/>
    <w:rsid w:val="00D016A3"/>
    <w:rsid w:val="00D0306B"/>
    <w:rsid w:val="00D06E47"/>
    <w:rsid w:val="00D07042"/>
    <w:rsid w:val="00D17EB6"/>
    <w:rsid w:val="00D26191"/>
    <w:rsid w:val="00D263C3"/>
    <w:rsid w:val="00D3063F"/>
    <w:rsid w:val="00D41912"/>
    <w:rsid w:val="00D423EA"/>
    <w:rsid w:val="00D45EAB"/>
    <w:rsid w:val="00D512E3"/>
    <w:rsid w:val="00D52D7E"/>
    <w:rsid w:val="00D5538E"/>
    <w:rsid w:val="00D601D2"/>
    <w:rsid w:val="00D602C9"/>
    <w:rsid w:val="00D6371A"/>
    <w:rsid w:val="00D746D1"/>
    <w:rsid w:val="00D8483F"/>
    <w:rsid w:val="00D853CD"/>
    <w:rsid w:val="00D91FBC"/>
    <w:rsid w:val="00DA08FC"/>
    <w:rsid w:val="00DA26A9"/>
    <w:rsid w:val="00DB01FF"/>
    <w:rsid w:val="00DB0470"/>
    <w:rsid w:val="00DB39B2"/>
    <w:rsid w:val="00DC2DB3"/>
    <w:rsid w:val="00DC71BF"/>
    <w:rsid w:val="00DC7778"/>
    <w:rsid w:val="00DD5DE8"/>
    <w:rsid w:val="00DE6B1C"/>
    <w:rsid w:val="00DE7391"/>
    <w:rsid w:val="00DF2DB5"/>
    <w:rsid w:val="00DF4E76"/>
    <w:rsid w:val="00DF6560"/>
    <w:rsid w:val="00E04CC0"/>
    <w:rsid w:val="00E06517"/>
    <w:rsid w:val="00E0717B"/>
    <w:rsid w:val="00E121C2"/>
    <w:rsid w:val="00E126EE"/>
    <w:rsid w:val="00E136FF"/>
    <w:rsid w:val="00E179DA"/>
    <w:rsid w:val="00E32528"/>
    <w:rsid w:val="00E35F26"/>
    <w:rsid w:val="00E53165"/>
    <w:rsid w:val="00E55823"/>
    <w:rsid w:val="00E578DF"/>
    <w:rsid w:val="00E60AA7"/>
    <w:rsid w:val="00E61EF7"/>
    <w:rsid w:val="00E663B4"/>
    <w:rsid w:val="00E72D97"/>
    <w:rsid w:val="00E7331D"/>
    <w:rsid w:val="00E80CEB"/>
    <w:rsid w:val="00E86316"/>
    <w:rsid w:val="00E86770"/>
    <w:rsid w:val="00E867A7"/>
    <w:rsid w:val="00E92A53"/>
    <w:rsid w:val="00E96A9D"/>
    <w:rsid w:val="00E974ED"/>
    <w:rsid w:val="00EA00E4"/>
    <w:rsid w:val="00EA09CE"/>
    <w:rsid w:val="00EA5103"/>
    <w:rsid w:val="00EA6FB9"/>
    <w:rsid w:val="00EB5E6A"/>
    <w:rsid w:val="00EC2AD7"/>
    <w:rsid w:val="00EC7681"/>
    <w:rsid w:val="00ED7DE0"/>
    <w:rsid w:val="00EE7891"/>
    <w:rsid w:val="00EF49FE"/>
    <w:rsid w:val="00EF5341"/>
    <w:rsid w:val="00F043CF"/>
    <w:rsid w:val="00F04908"/>
    <w:rsid w:val="00F07C21"/>
    <w:rsid w:val="00F11EC0"/>
    <w:rsid w:val="00F12EF6"/>
    <w:rsid w:val="00F156AE"/>
    <w:rsid w:val="00F21065"/>
    <w:rsid w:val="00F22661"/>
    <w:rsid w:val="00F24CB4"/>
    <w:rsid w:val="00F2523B"/>
    <w:rsid w:val="00F27FA7"/>
    <w:rsid w:val="00F35875"/>
    <w:rsid w:val="00F43465"/>
    <w:rsid w:val="00F45475"/>
    <w:rsid w:val="00F461EA"/>
    <w:rsid w:val="00F6399F"/>
    <w:rsid w:val="00F64E72"/>
    <w:rsid w:val="00F65A3D"/>
    <w:rsid w:val="00F70C7D"/>
    <w:rsid w:val="00F72D26"/>
    <w:rsid w:val="00F76891"/>
    <w:rsid w:val="00F8775D"/>
    <w:rsid w:val="00F9196B"/>
    <w:rsid w:val="00F91CF5"/>
    <w:rsid w:val="00F9272E"/>
    <w:rsid w:val="00F97743"/>
    <w:rsid w:val="00FA1915"/>
    <w:rsid w:val="00FA4FAC"/>
    <w:rsid w:val="00FA6DAF"/>
    <w:rsid w:val="00FB7670"/>
    <w:rsid w:val="00FC6884"/>
    <w:rsid w:val="00FE32D7"/>
    <w:rsid w:val="00FE62F3"/>
    <w:rsid w:val="00FF2F5E"/>
    <w:rsid w:val="00FF3D0B"/>
    <w:rsid w:val="00FF71D2"/>
    <w:rsid w:val="0B521208"/>
    <w:rsid w:val="0C2D757F"/>
    <w:rsid w:val="0D9D24E2"/>
    <w:rsid w:val="10213C89"/>
    <w:rsid w:val="109C4CD3"/>
    <w:rsid w:val="11276C93"/>
    <w:rsid w:val="12C30C3D"/>
    <w:rsid w:val="14F90946"/>
    <w:rsid w:val="15634011"/>
    <w:rsid w:val="18664544"/>
    <w:rsid w:val="1ABD2416"/>
    <w:rsid w:val="1B2418A5"/>
    <w:rsid w:val="1CD22153"/>
    <w:rsid w:val="1EE95587"/>
    <w:rsid w:val="1FBFC074"/>
    <w:rsid w:val="2072234B"/>
    <w:rsid w:val="20F55900"/>
    <w:rsid w:val="21C83B7A"/>
    <w:rsid w:val="23753F06"/>
    <w:rsid w:val="254C2D14"/>
    <w:rsid w:val="25950217"/>
    <w:rsid w:val="260941CC"/>
    <w:rsid w:val="27644345"/>
    <w:rsid w:val="276E2ACE"/>
    <w:rsid w:val="27F1110D"/>
    <w:rsid w:val="2AC60E73"/>
    <w:rsid w:val="2BCE042A"/>
    <w:rsid w:val="2C7D37B3"/>
    <w:rsid w:val="2E3507E9"/>
    <w:rsid w:val="31292209"/>
    <w:rsid w:val="32290911"/>
    <w:rsid w:val="324C6101"/>
    <w:rsid w:val="34B14942"/>
    <w:rsid w:val="35154044"/>
    <w:rsid w:val="361E1B63"/>
    <w:rsid w:val="36FB9E1F"/>
    <w:rsid w:val="397C1931"/>
    <w:rsid w:val="3BFA3B96"/>
    <w:rsid w:val="3CA408E8"/>
    <w:rsid w:val="3CEF3472"/>
    <w:rsid w:val="3E3A1504"/>
    <w:rsid w:val="3EA3637A"/>
    <w:rsid w:val="3EB705BA"/>
    <w:rsid w:val="3EFF16E9"/>
    <w:rsid w:val="459C0CF6"/>
    <w:rsid w:val="45A55DFD"/>
    <w:rsid w:val="473019AE"/>
    <w:rsid w:val="4BB5041C"/>
    <w:rsid w:val="4FDC68BF"/>
    <w:rsid w:val="503E6C32"/>
    <w:rsid w:val="512978E2"/>
    <w:rsid w:val="521265C8"/>
    <w:rsid w:val="5DC170F4"/>
    <w:rsid w:val="62894684"/>
    <w:rsid w:val="63117605"/>
    <w:rsid w:val="651A5A67"/>
    <w:rsid w:val="67F87BB6"/>
    <w:rsid w:val="6B054AC4"/>
    <w:rsid w:val="6B7E6624"/>
    <w:rsid w:val="6BAD4935"/>
    <w:rsid w:val="6C0C1E82"/>
    <w:rsid w:val="707F0E75"/>
    <w:rsid w:val="72005FE5"/>
    <w:rsid w:val="73E6120B"/>
    <w:rsid w:val="777032C5"/>
    <w:rsid w:val="77A6318B"/>
    <w:rsid w:val="77CF73AC"/>
    <w:rsid w:val="78C0027C"/>
    <w:rsid w:val="78FF0116"/>
    <w:rsid w:val="7D7D08A4"/>
    <w:rsid w:val="7E7A711F"/>
    <w:rsid w:val="7F6A0F42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5750D"/>
  <w15:docId w15:val="{0FC87D65-D0E9-44CA-9F94-4C45A352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Pr>
      <w:sz w:val="21"/>
      <w:szCs w:val="21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rPr>
      <w:kern w:val="2"/>
      <w:sz w:val="21"/>
      <w:szCs w:val="24"/>
    </w:rPr>
  </w:style>
  <w:style w:type="paragraph" w:styleId="ae">
    <w:name w:val="Revision"/>
    <w:hidden/>
    <w:uiPriority w:val="99"/>
    <w:unhideWhenUsed/>
    <w:rsid w:val="004366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3DF7-F929-465B-96E6-85155C3E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1125</Words>
  <Characters>1216</Characters>
  <Application>Microsoft Office Word</Application>
  <DocSecurity>0</DocSecurity>
  <Lines>57</Lines>
  <Paragraphs>41</Paragraphs>
  <ScaleCrop>false</ScaleCrop>
  <Company>微软中国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TK J</cp:lastModifiedBy>
  <cp:revision>19</cp:revision>
  <cp:lastPrinted>2014-02-21T05:34:00Z</cp:lastPrinted>
  <dcterms:created xsi:type="dcterms:W3CDTF">2026-04-21T00:16:00Z</dcterms:created>
  <dcterms:modified xsi:type="dcterms:W3CDTF">2026-04-21T09:23:00Z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eyJoZGlkIjoiNWVhOGM4YWYyMDkzZWExYTVkN2VhN2JlMmY0MDE3ZDEiLCJ1c2VySWQiOiIzOTI0MDY3NDQifQ==</vt:lpwstr>
  </property>
</Properties>
</file>