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1658A">
      <w:pPr>
        <w:spacing w:before="156" w:beforeLines="50" w:after="156" w:afterLines="50" w:line="360" w:lineRule="auto"/>
        <w:jc w:val="center"/>
        <w:rPr>
          <w:rFonts w:ascii="宋体" w:hAnsi="宋体" w:eastAsia="宋体" w:cs="Times New Roman"/>
          <w:sz w:val="24"/>
          <w:szCs w:val="24"/>
        </w:rPr>
      </w:pPr>
      <w:r>
        <w:rPr>
          <w:rFonts w:hint="eastAsia" w:ascii="宋体" w:hAnsi="宋体" w:eastAsia="宋体" w:cs="Times New Roman"/>
          <w:sz w:val="24"/>
          <w:szCs w:val="24"/>
        </w:rPr>
        <w:t>证券代码：6</w:t>
      </w:r>
      <w:r>
        <w:rPr>
          <w:rFonts w:ascii="宋体" w:hAnsi="宋体" w:eastAsia="宋体" w:cs="Times New Roman"/>
          <w:sz w:val="24"/>
          <w:szCs w:val="24"/>
        </w:rPr>
        <w:t>88048</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证券简称：长光华芯</w:t>
      </w:r>
    </w:p>
    <w:p w14:paraId="2244BA27">
      <w:pPr>
        <w:spacing w:before="312" w:beforeLines="100" w:after="156" w:afterLines="50" w:line="400" w:lineRule="exact"/>
        <w:jc w:val="center"/>
        <w:rPr>
          <w:rFonts w:ascii="黑体" w:hAnsi="黑体" w:eastAsia="黑体" w:cs="Times New Roman"/>
          <w:b/>
          <w:bCs/>
          <w:iCs/>
          <w:sz w:val="36"/>
          <w:szCs w:val="36"/>
        </w:rPr>
      </w:pPr>
      <w:r>
        <w:rPr>
          <w:rFonts w:hint="eastAsia" w:ascii="黑体" w:hAnsi="黑体" w:eastAsia="黑体" w:cs="Times New Roman"/>
          <w:b/>
          <w:bCs/>
          <w:iCs/>
          <w:sz w:val="36"/>
          <w:szCs w:val="36"/>
        </w:rPr>
        <w:t>苏州长光华芯光电技术股份有限公司</w:t>
      </w:r>
    </w:p>
    <w:p w14:paraId="0802DB90">
      <w:pPr>
        <w:spacing w:before="312" w:beforeLines="100" w:after="156" w:afterLines="50" w:line="400" w:lineRule="exact"/>
        <w:jc w:val="center"/>
        <w:rPr>
          <w:rFonts w:ascii="黑体" w:hAnsi="黑体" w:eastAsia="黑体" w:cs="Times New Roman"/>
          <w:b/>
          <w:bCs/>
          <w:iCs/>
          <w:sz w:val="36"/>
          <w:szCs w:val="36"/>
        </w:rPr>
      </w:pPr>
      <w:r>
        <w:rPr>
          <w:rFonts w:hint="eastAsia" w:ascii="黑体" w:hAnsi="黑体" w:eastAsia="黑体" w:cs="Times New Roman"/>
          <w:b/>
          <w:bCs/>
          <w:iCs/>
          <w:sz w:val="36"/>
          <w:szCs w:val="36"/>
        </w:rPr>
        <w:t>投资者关系活动记录表</w:t>
      </w:r>
    </w:p>
    <w:p w14:paraId="7637E664">
      <w:pPr>
        <w:spacing w:line="400" w:lineRule="exact"/>
        <w:jc w:val="right"/>
        <w:rPr>
          <w:rFonts w:hint="default" w:ascii="宋体" w:hAnsi="宋体" w:eastAsia="宋体" w:cs="Times New Roman"/>
          <w:bCs/>
          <w:iCs/>
          <w:color w:val="000000"/>
          <w:szCs w:val="21"/>
          <w:lang w:val="en-US" w:eastAsia="zh-CN"/>
        </w:rPr>
      </w:pPr>
      <w:r>
        <w:rPr>
          <w:rFonts w:hint="eastAsia" w:ascii="微软雅黑" w:hAnsi="微软雅黑" w:eastAsia="微软雅黑" w:cs="Times New Roman"/>
          <w:b/>
          <w:bCs/>
          <w:iCs/>
          <w:color w:val="000000"/>
          <w:sz w:val="24"/>
        </w:rPr>
        <w:t xml:space="preserve">                                                   </w:t>
      </w:r>
      <w:r>
        <w:rPr>
          <w:rFonts w:hint="eastAsia" w:ascii="宋体" w:hAnsi="宋体" w:eastAsia="宋体" w:cs="Times New Roman"/>
          <w:b/>
          <w:bCs/>
          <w:iCs/>
          <w:color w:val="000000"/>
          <w:sz w:val="24"/>
        </w:rPr>
        <w:t xml:space="preserve"> </w:t>
      </w:r>
      <w:r>
        <w:rPr>
          <w:rFonts w:ascii="宋体" w:hAnsi="宋体" w:eastAsia="宋体" w:cs="Times New Roman"/>
          <w:b/>
          <w:bCs/>
          <w:iCs/>
          <w:color w:val="000000"/>
          <w:sz w:val="24"/>
        </w:rPr>
        <w:t xml:space="preserve">  </w:t>
      </w:r>
      <w:r>
        <w:rPr>
          <w:rFonts w:ascii="黑体" w:hAnsi="黑体" w:eastAsia="黑体" w:cs="Times New Roman"/>
          <w:b/>
          <w:bCs/>
          <w:iCs/>
          <w:color w:val="000000"/>
          <w:szCs w:val="21"/>
        </w:rPr>
        <w:t xml:space="preserve"> </w:t>
      </w:r>
      <w:r>
        <w:rPr>
          <w:rFonts w:hint="eastAsia" w:ascii="宋体" w:hAnsi="宋体" w:eastAsia="宋体" w:cs="Times New Roman"/>
          <w:bCs/>
          <w:iCs/>
          <w:color w:val="000000"/>
          <w:szCs w:val="21"/>
        </w:rPr>
        <w:t>编号：20</w:t>
      </w:r>
      <w:r>
        <w:rPr>
          <w:rFonts w:ascii="宋体" w:hAnsi="宋体" w:eastAsia="宋体" w:cs="Times New Roman"/>
          <w:bCs/>
          <w:iCs/>
          <w:color w:val="000000"/>
          <w:szCs w:val="21"/>
        </w:rPr>
        <w:t>2</w:t>
      </w:r>
      <w:r>
        <w:rPr>
          <w:rFonts w:hint="eastAsia" w:ascii="宋体" w:hAnsi="宋体" w:eastAsia="宋体" w:cs="Times New Roman"/>
          <w:bCs/>
          <w:iCs/>
          <w:color w:val="000000"/>
          <w:szCs w:val="21"/>
          <w:lang w:val="en-US" w:eastAsia="zh-CN"/>
        </w:rPr>
        <w:t>6</w:t>
      </w:r>
      <w:r>
        <w:rPr>
          <w:rFonts w:hint="eastAsia" w:ascii="宋体" w:hAnsi="宋体" w:eastAsia="宋体" w:cs="Times New Roman"/>
          <w:bCs/>
          <w:iCs/>
          <w:color w:val="000000"/>
          <w:szCs w:val="21"/>
        </w:rPr>
        <w:t>-</w:t>
      </w:r>
      <w:r>
        <w:rPr>
          <w:rFonts w:ascii="宋体" w:hAnsi="宋体" w:eastAsia="宋体" w:cs="Times New Roman"/>
          <w:bCs/>
          <w:iCs/>
          <w:color w:val="000000"/>
          <w:szCs w:val="21"/>
        </w:rPr>
        <w:t>00</w:t>
      </w:r>
      <w:r>
        <w:rPr>
          <w:rFonts w:hint="eastAsia" w:ascii="宋体" w:hAnsi="宋体" w:eastAsia="宋体" w:cs="Times New Roman"/>
          <w:bCs/>
          <w:iCs/>
          <w:color w:val="000000"/>
          <w:szCs w:val="21"/>
          <w:lang w:val="en-US" w:eastAsia="zh-CN"/>
        </w:rPr>
        <w:t>1</w:t>
      </w:r>
    </w:p>
    <w:tbl>
      <w:tblPr>
        <w:tblStyle w:val="9"/>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523"/>
        <w:gridCol w:w="3289"/>
        <w:gridCol w:w="709"/>
      </w:tblGrid>
      <w:tr w14:paraId="08F0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410" w:type="dxa"/>
            <w:vAlign w:val="center"/>
          </w:tcPr>
          <w:p w14:paraId="5ABA21FD">
            <w:pPr>
              <w:spacing w:line="312"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投资者关系</w:t>
            </w:r>
          </w:p>
          <w:p w14:paraId="48940120">
            <w:pPr>
              <w:spacing w:line="312"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活动类别</w:t>
            </w:r>
          </w:p>
        </w:tc>
        <w:tc>
          <w:tcPr>
            <w:tcW w:w="2523" w:type="dxa"/>
            <w:tcBorders>
              <w:right w:val="nil"/>
            </w:tcBorders>
            <w:vAlign w:val="center"/>
          </w:tcPr>
          <w:p w14:paraId="4097D0B5">
            <w:pPr>
              <w:spacing w:line="312"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rPr>
              <w:t>特定对象调研</w:t>
            </w:r>
          </w:p>
          <w:p w14:paraId="30F341DF">
            <w:pPr>
              <w:spacing w:line="312" w:lineRule="auto"/>
              <w:rPr>
                <w:rFonts w:ascii="宋体" w:hAnsi="宋体" w:eastAsia="宋体" w:cs="Times New Roman"/>
                <w:bCs/>
                <w:iCs/>
                <w:sz w:val="24"/>
                <w:szCs w:val="24"/>
              </w:rPr>
            </w:pPr>
            <w:r>
              <w:rPr>
                <w:rFonts w:hint="eastAsia" w:ascii="宋体" w:hAnsi="宋体" w:eastAsia="宋体" w:cs="Times New Roman"/>
                <w:bCs/>
                <w:iCs/>
                <w:sz w:val="24"/>
                <w:szCs w:val="24"/>
              </w:rPr>
              <w:t>□媒体采访</w:t>
            </w:r>
          </w:p>
          <w:p w14:paraId="5A188785">
            <w:pPr>
              <w:spacing w:line="312" w:lineRule="auto"/>
              <w:rPr>
                <w:rFonts w:ascii="宋体" w:hAnsi="宋体" w:eastAsia="宋体" w:cs="Times New Roman"/>
                <w:bCs/>
                <w:iCs/>
                <w:sz w:val="24"/>
                <w:szCs w:val="24"/>
              </w:rPr>
            </w:pPr>
            <w:r>
              <w:rPr>
                <w:rFonts w:hint="eastAsia" w:ascii="宋体" w:hAnsi="宋体" w:eastAsia="宋体" w:cs="Times New Roman"/>
                <w:bCs/>
                <w:iCs/>
                <w:sz w:val="24"/>
                <w:szCs w:val="24"/>
              </w:rPr>
              <w:t>□新闻发布会</w:t>
            </w:r>
          </w:p>
          <w:p w14:paraId="531287CF">
            <w:pPr>
              <w:spacing w:line="312"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rPr>
              <w:t>现场参观</w:t>
            </w:r>
          </w:p>
        </w:tc>
        <w:tc>
          <w:tcPr>
            <w:tcW w:w="3998" w:type="dxa"/>
            <w:gridSpan w:val="2"/>
            <w:tcBorders>
              <w:left w:val="nil"/>
            </w:tcBorders>
            <w:vAlign w:val="center"/>
          </w:tcPr>
          <w:p w14:paraId="5D13C75C">
            <w:pPr>
              <w:spacing w:line="312" w:lineRule="auto"/>
              <w:ind w:left="232"/>
              <w:rPr>
                <w:rFonts w:ascii="宋体" w:hAnsi="宋体" w:eastAsia="宋体" w:cs="Times New Roman"/>
                <w:bCs/>
                <w:iCs/>
                <w:sz w:val="24"/>
                <w:szCs w:val="24"/>
              </w:rPr>
            </w:pPr>
            <w:r>
              <w:rPr>
                <w:rFonts w:hint="eastAsia" w:ascii="宋体" w:hAnsi="宋体" w:eastAsia="宋体" w:cs="Times New Roman"/>
                <w:bCs/>
                <w:iCs/>
                <w:sz w:val="24"/>
                <w:szCs w:val="24"/>
              </w:rPr>
              <w:t>□分析师会议</w:t>
            </w:r>
          </w:p>
          <w:p w14:paraId="6A98293D">
            <w:pPr>
              <w:spacing w:line="312" w:lineRule="auto"/>
              <w:ind w:left="232"/>
              <w:rPr>
                <w:rFonts w:ascii="宋体" w:hAnsi="宋体" w:eastAsia="宋体" w:cs="Times New Roman"/>
                <w:bCs/>
                <w:iCs/>
                <w:sz w:val="24"/>
                <w:szCs w:val="24"/>
              </w:rPr>
            </w:pPr>
            <w:r>
              <w:rPr>
                <w:rFonts w:hint="eastAsia" w:ascii="宋体" w:hAnsi="宋体" w:eastAsia="宋体" w:cs="Times New Roman"/>
                <w:bCs/>
                <w:iCs/>
                <w:sz w:val="24"/>
                <w:szCs w:val="24"/>
              </w:rPr>
              <w:t>□业绩说明会</w:t>
            </w:r>
          </w:p>
          <w:p w14:paraId="66617C14">
            <w:pPr>
              <w:spacing w:line="312" w:lineRule="auto"/>
              <w:ind w:left="232"/>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rPr>
              <w:t>路演活动</w:t>
            </w:r>
          </w:p>
          <w:p w14:paraId="174B51FE">
            <w:pPr>
              <w:spacing w:line="312" w:lineRule="auto"/>
              <w:ind w:left="232"/>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rPr>
              <w:t>投资者线上电话会议</w:t>
            </w:r>
          </w:p>
        </w:tc>
      </w:tr>
      <w:tr w14:paraId="2B88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2410" w:type="dxa"/>
            <w:vAlign w:val="center"/>
          </w:tcPr>
          <w:p w14:paraId="1D2A0BFE">
            <w:pPr>
              <w:spacing w:line="312"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参与单位名称</w:t>
            </w:r>
          </w:p>
        </w:tc>
        <w:tc>
          <w:tcPr>
            <w:tcW w:w="6521" w:type="dxa"/>
            <w:gridSpan w:val="3"/>
            <w:vAlign w:val="center"/>
          </w:tcPr>
          <w:p w14:paraId="711AC871">
            <w:pPr>
              <w:spacing w:line="312" w:lineRule="auto"/>
              <w:rPr>
                <w:rFonts w:ascii="宋体" w:hAnsi="宋体" w:eastAsia="宋体"/>
                <w:sz w:val="24"/>
                <w:szCs w:val="24"/>
              </w:rPr>
            </w:pPr>
            <w:r>
              <w:rPr>
                <w:rFonts w:hint="eastAsia" w:ascii="宋体" w:hAnsi="宋体" w:eastAsia="宋体" w:cs="Times New Roman"/>
                <w:bCs/>
                <w:iCs/>
                <w:sz w:val="24"/>
                <w:szCs w:val="24"/>
              </w:rPr>
              <w:t>汇添富基金、</w:t>
            </w:r>
            <w:r>
              <w:rPr>
                <w:rFonts w:hint="eastAsia" w:ascii="宋体" w:hAnsi="宋体" w:eastAsia="宋体" w:cs="Times New Roman"/>
                <w:bCs/>
                <w:iCs/>
                <w:sz w:val="24"/>
                <w:szCs w:val="24"/>
                <w:lang w:val="en-US" w:eastAsia="zh-CN"/>
              </w:rPr>
              <w:t>永赢基金</w:t>
            </w:r>
            <w:r>
              <w:rPr>
                <w:rFonts w:hint="eastAsia" w:ascii="宋体" w:hAnsi="宋体" w:eastAsia="宋体" w:cs="Times New Roman"/>
                <w:bCs/>
                <w:iCs/>
                <w:sz w:val="24"/>
                <w:szCs w:val="24"/>
              </w:rPr>
              <w:t>、嘉实基金、天风证券、</w:t>
            </w:r>
            <w:r>
              <w:rPr>
                <w:rFonts w:hint="eastAsia" w:ascii="宋体" w:hAnsi="宋体" w:eastAsia="宋体" w:cs="Times New Roman"/>
                <w:bCs/>
                <w:iCs/>
                <w:sz w:val="24"/>
                <w:szCs w:val="24"/>
                <w:lang w:val="en-US" w:eastAsia="zh-CN"/>
              </w:rPr>
              <w:t>富国</w:t>
            </w:r>
            <w:r>
              <w:rPr>
                <w:rFonts w:hint="eastAsia" w:ascii="宋体" w:hAnsi="宋体" w:eastAsia="宋体" w:cs="Times New Roman"/>
                <w:bCs/>
                <w:iCs/>
                <w:sz w:val="24"/>
                <w:szCs w:val="24"/>
              </w:rPr>
              <w:t>基金、</w:t>
            </w:r>
            <w:r>
              <w:rPr>
                <w:rFonts w:hint="eastAsia" w:ascii="宋体" w:hAnsi="宋体" w:eastAsia="宋体" w:cs="Times New Roman"/>
                <w:bCs/>
                <w:iCs/>
                <w:sz w:val="24"/>
                <w:szCs w:val="24"/>
                <w:lang w:val="en-US" w:eastAsia="zh-CN"/>
              </w:rPr>
              <w:t>诺德基金</w:t>
            </w:r>
            <w:r>
              <w:rPr>
                <w:rFonts w:hint="eastAsia" w:ascii="宋体" w:hAnsi="宋体" w:eastAsia="宋体" w:cs="Times New Roman"/>
                <w:bCs/>
                <w:iCs/>
                <w:sz w:val="24"/>
                <w:szCs w:val="24"/>
              </w:rPr>
              <w:t>、</w:t>
            </w:r>
            <w:r>
              <w:rPr>
                <w:rFonts w:hint="eastAsia" w:ascii="宋体" w:hAnsi="宋体" w:eastAsia="宋体" w:cs="Times New Roman"/>
                <w:bCs/>
                <w:iCs/>
                <w:sz w:val="24"/>
                <w:szCs w:val="24"/>
                <w:lang w:val="en-US" w:eastAsia="zh-CN"/>
              </w:rPr>
              <w:t>博时基金</w:t>
            </w:r>
            <w:r>
              <w:rPr>
                <w:rFonts w:hint="eastAsia" w:ascii="宋体" w:hAnsi="宋体" w:eastAsia="宋体" w:cs="Times New Roman"/>
                <w:bCs/>
                <w:iCs/>
                <w:sz w:val="24"/>
                <w:szCs w:val="24"/>
              </w:rPr>
              <w:t>、</w:t>
            </w:r>
            <w:r>
              <w:rPr>
                <w:rFonts w:hint="eastAsia" w:ascii="宋体" w:hAnsi="宋体" w:eastAsia="宋体" w:cs="Times New Roman"/>
                <w:bCs/>
                <w:iCs/>
                <w:sz w:val="24"/>
                <w:szCs w:val="24"/>
                <w:lang w:val="en-US" w:eastAsia="zh-CN"/>
              </w:rPr>
              <w:t>招商基金</w:t>
            </w:r>
            <w:r>
              <w:rPr>
                <w:rFonts w:hint="eastAsia" w:ascii="宋体" w:hAnsi="宋体" w:eastAsia="宋体" w:cs="Times New Roman"/>
                <w:bCs/>
                <w:iCs/>
                <w:sz w:val="24"/>
                <w:szCs w:val="24"/>
              </w:rPr>
              <w:t>、</w:t>
            </w:r>
            <w:r>
              <w:rPr>
                <w:rFonts w:hint="eastAsia" w:ascii="宋体" w:hAnsi="宋体" w:eastAsia="宋体" w:cs="Times New Roman"/>
                <w:bCs/>
                <w:iCs/>
                <w:sz w:val="24"/>
                <w:szCs w:val="24"/>
                <w:lang w:val="en-US" w:eastAsia="zh-CN"/>
              </w:rPr>
              <w:t>国泰海通证券</w:t>
            </w:r>
            <w:r>
              <w:rPr>
                <w:rFonts w:hint="eastAsia" w:ascii="宋体" w:hAnsi="宋体" w:eastAsia="宋体" w:cs="Times New Roman"/>
                <w:bCs/>
                <w:iCs/>
                <w:sz w:val="24"/>
                <w:szCs w:val="24"/>
              </w:rPr>
              <w:t>、</w:t>
            </w:r>
            <w:r>
              <w:rPr>
                <w:rFonts w:hint="eastAsia" w:ascii="宋体" w:hAnsi="宋体" w:eastAsia="宋体" w:cs="Times New Roman"/>
                <w:bCs/>
                <w:iCs/>
                <w:sz w:val="24"/>
                <w:szCs w:val="24"/>
                <w:lang w:val="en-US" w:eastAsia="zh-CN"/>
              </w:rPr>
              <w:t>华泰柏瑞基金、东吴证券、国泰基金</w:t>
            </w:r>
            <w:r>
              <w:rPr>
                <w:rFonts w:hint="eastAsia" w:ascii="宋体" w:hAnsi="宋体" w:eastAsia="宋体" w:cs="Times New Roman"/>
                <w:bCs/>
                <w:iCs/>
                <w:sz w:val="24"/>
                <w:szCs w:val="24"/>
              </w:rPr>
              <w:t>等。</w:t>
            </w:r>
          </w:p>
        </w:tc>
      </w:tr>
      <w:tr w14:paraId="4AF5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10" w:type="dxa"/>
            <w:vAlign w:val="center"/>
          </w:tcPr>
          <w:p w14:paraId="5D9BBE20">
            <w:pPr>
              <w:spacing w:line="312"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地点</w:t>
            </w:r>
          </w:p>
        </w:tc>
        <w:tc>
          <w:tcPr>
            <w:tcW w:w="6521" w:type="dxa"/>
            <w:gridSpan w:val="3"/>
            <w:tcBorders>
              <w:bottom w:val="single" w:color="auto" w:sz="4" w:space="0"/>
            </w:tcBorders>
          </w:tcPr>
          <w:p w14:paraId="3AD9A758">
            <w:pPr>
              <w:spacing w:line="312" w:lineRule="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lang w:val="en-US" w:eastAsia="zh-CN"/>
              </w:rPr>
              <w:t>公司会议室</w:t>
            </w:r>
          </w:p>
        </w:tc>
      </w:tr>
      <w:tr w14:paraId="66B4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410" w:type="dxa"/>
            <w:vAlign w:val="center"/>
          </w:tcPr>
          <w:p w14:paraId="6AB59E74">
            <w:pPr>
              <w:spacing w:line="312"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上市公司</w:t>
            </w:r>
          </w:p>
          <w:p w14:paraId="4DFB4852">
            <w:pPr>
              <w:spacing w:line="312"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参与接待人员姓名</w:t>
            </w:r>
          </w:p>
        </w:tc>
        <w:tc>
          <w:tcPr>
            <w:tcW w:w="5812" w:type="dxa"/>
            <w:gridSpan w:val="2"/>
            <w:tcBorders>
              <w:right w:val="nil"/>
            </w:tcBorders>
            <w:vAlign w:val="center"/>
          </w:tcPr>
          <w:p w14:paraId="60584C62">
            <w:pPr>
              <w:spacing w:line="312"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rPr>
              <w:t>董事长兼总经理：闵大勇</w:t>
            </w:r>
            <w:r>
              <w:rPr>
                <w:rFonts w:hint="eastAsia" w:ascii="宋体" w:hAnsi="宋体" w:eastAsia="宋体" w:cs="Times New Roman"/>
                <w:bCs/>
                <w:iCs/>
                <w:sz w:val="24"/>
                <w:szCs w:val="24"/>
                <w:lang w:val="en-US" w:eastAsia="zh-CN"/>
              </w:rPr>
              <w:t xml:space="preserve">  副总经理：吴真林</w:t>
            </w:r>
          </w:p>
          <w:p w14:paraId="25D7E68F">
            <w:pPr>
              <w:spacing w:line="312" w:lineRule="auto"/>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证券代表</w:t>
            </w:r>
            <w:r>
              <w:rPr>
                <w:rFonts w:hint="eastAsia" w:ascii="宋体" w:hAnsi="宋体" w:eastAsia="宋体" w:cs="Times New Roman"/>
                <w:bCs/>
                <w:iCs/>
                <w:sz w:val="24"/>
                <w:szCs w:val="24"/>
              </w:rPr>
              <w:t>：</w:t>
            </w:r>
            <w:r>
              <w:rPr>
                <w:rFonts w:hint="eastAsia" w:ascii="宋体" w:hAnsi="宋体" w:eastAsia="宋体" w:cs="Times New Roman"/>
                <w:bCs/>
                <w:iCs/>
                <w:sz w:val="24"/>
                <w:szCs w:val="24"/>
                <w:lang w:val="en-US" w:eastAsia="zh-CN"/>
              </w:rPr>
              <w:t>孙亮</w:t>
            </w:r>
          </w:p>
        </w:tc>
        <w:tc>
          <w:tcPr>
            <w:tcW w:w="709" w:type="dxa"/>
            <w:tcBorders>
              <w:left w:val="nil"/>
            </w:tcBorders>
            <w:vAlign w:val="center"/>
          </w:tcPr>
          <w:p w14:paraId="0D8347D1">
            <w:pPr>
              <w:spacing w:line="312" w:lineRule="auto"/>
              <w:rPr>
                <w:rFonts w:ascii="宋体" w:hAnsi="宋体" w:eastAsia="宋体" w:cs="Times New Roman"/>
                <w:bCs/>
                <w:iCs/>
                <w:sz w:val="24"/>
                <w:szCs w:val="24"/>
              </w:rPr>
            </w:pPr>
          </w:p>
          <w:p w14:paraId="0066E7EF">
            <w:pPr>
              <w:spacing w:line="312" w:lineRule="auto"/>
              <w:rPr>
                <w:rFonts w:ascii="宋体" w:hAnsi="宋体" w:eastAsia="宋体" w:cs="Times New Roman"/>
                <w:bCs/>
                <w:iCs/>
                <w:sz w:val="24"/>
                <w:szCs w:val="24"/>
              </w:rPr>
            </w:pPr>
          </w:p>
          <w:p w14:paraId="06DC687C">
            <w:pPr>
              <w:spacing w:line="312" w:lineRule="auto"/>
              <w:rPr>
                <w:rFonts w:ascii="宋体" w:hAnsi="宋体" w:eastAsia="宋体" w:cs="Times New Roman"/>
                <w:bCs/>
                <w:iCs/>
                <w:sz w:val="24"/>
                <w:szCs w:val="24"/>
              </w:rPr>
            </w:pPr>
          </w:p>
          <w:p w14:paraId="1AE1C963">
            <w:pPr>
              <w:spacing w:line="312" w:lineRule="auto"/>
              <w:rPr>
                <w:rFonts w:ascii="宋体" w:hAnsi="宋体" w:eastAsia="宋体" w:cs="Times New Roman"/>
                <w:bCs/>
                <w:iCs/>
                <w:sz w:val="24"/>
                <w:szCs w:val="24"/>
              </w:rPr>
            </w:pPr>
          </w:p>
        </w:tc>
      </w:tr>
      <w:tr w14:paraId="0213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7928F3C3">
            <w:pPr>
              <w:spacing w:line="312"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投资者关系活动</w:t>
            </w:r>
          </w:p>
          <w:p w14:paraId="112B09BC">
            <w:pPr>
              <w:spacing w:line="312"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主要内容介绍</w:t>
            </w:r>
          </w:p>
        </w:tc>
        <w:tc>
          <w:tcPr>
            <w:tcW w:w="6521" w:type="dxa"/>
            <w:gridSpan w:val="3"/>
            <w:vAlign w:val="center"/>
          </w:tcPr>
          <w:p w14:paraId="7698D6A6">
            <w:pPr>
              <w:spacing w:line="360" w:lineRule="auto"/>
              <w:rPr>
                <w:rFonts w:ascii="宋体" w:hAnsi="宋体" w:eastAsia="宋体"/>
                <w:b/>
                <w:bCs/>
                <w:sz w:val="24"/>
                <w:szCs w:val="24"/>
              </w:rPr>
            </w:pPr>
            <w:r>
              <w:rPr>
                <w:rFonts w:hint="eastAsia" w:ascii="宋体" w:hAnsi="宋体" w:eastAsia="宋体"/>
                <w:b/>
                <w:bCs/>
                <w:sz w:val="24"/>
                <w:szCs w:val="24"/>
              </w:rPr>
              <w:t>1．问：</w:t>
            </w:r>
            <w:r>
              <w:rPr>
                <w:rFonts w:hint="eastAsia" w:ascii="宋体" w:hAnsi="宋体" w:eastAsia="宋体"/>
                <w:b/>
                <w:bCs/>
                <w:sz w:val="24"/>
                <w:szCs w:val="24"/>
                <w:lang w:val="en-US" w:eastAsia="zh-CN"/>
              </w:rPr>
              <w:t>公司2025年年度报告的基本情况</w:t>
            </w:r>
            <w:r>
              <w:rPr>
                <w:rFonts w:ascii="宋体" w:hAnsi="宋体" w:eastAsia="宋体"/>
                <w:b/>
                <w:bCs/>
                <w:sz w:val="24"/>
                <w:szCs w:val="24"/>
              </w:rPr>
              <w:t>？</w:t>
            </w:r>
          </w:p>
          <w:p w14:paraId="31ACE9A6">
            <w:pPr>
              <w:spacing w:line="360" w:lineRule="auto"/>
              <w:rPr>
                <w:rFonts w:ascii="宋体" w:hAnsi="宋体" w:eastAsia="宋体"/>
                <w:sz w:val="24"/>
                <w:szCs w:val="24"/>
              </w:rPr>
            </w:pPr>
            <w:r>
              <w:rPr>
                <w:rFonts w:hint="eastAsia" w:ascii="宋体" w:hAnsi="宋体" w:eastAsia="宋体"/>
                <w:sz w:val="24"/>
                <w:szCs w:val="24"/>
              </w:rPr>
              <w:t>答：</w:t>
            </w:r>
            <w:r>
              <w:rPr>
                <w:rFonts w:hint="eastAsia" w:ascii="宋体" w:hAnsi="宋体" w:eastAsia="宋体" w:cs="宋体"/>
                <w:sz w:val="24"/>
              </w:rPr>
              <w:t>2025年度公司实现营业收入47,737.76万元，同比增长75.09%；归属于上市公司股东净利润</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,176.41</w:t>
            </w:r>
            <w:r>
              <w:rPr>
                <w:rFonts w:hint="eastAsia" w:ascii="宋体" w:hAnsi="宋体" w:eastAsia="宋体" w:cs="宋体"/>
                <w:sz w:val="24"/>
              </w:rPr>
              <w:t>万元；归属于上市公司的扣除非经常性损益的净利润</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3,293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57</w:t>
            </w:r>
            <w:r>
              <w:rPr>
                <w:rFonts w:hint="eastAsia" w:ascii="宋体" w:hAnsi="宋体" w:eastAsia="宋体" w:cs="宋体"/>
                <w:sz w:val="24"/>
              </w:rPr>
              <w:t>万元。报告期内，公司营业收入大幅增长，实现了扭亏为盈的年度经营目标，扣非净利润亏损大幅收窄，公司业绩止住了下滑的趋势，降本增效初见成效，整体经营质量得到了显著的改善</w:t>
            </w:r>
            <w:r>
              <w:rPr>
                <w:rFonts w:ascii="宋体" w:hAnsi="宋体" w:eastAsia="宋体"/>
                <w:sz w:val="24"/>
                <w:szCs w:val="24"/>
              </w:rPr>
              <w:t>。</w:t>
            </w:r>
            <w:r>
              <w:rPr>
                <w:rFonts w:hint="eastAsia" w:ascii="宋体" w:hAnsi="宋体" w:eastAsia="宋体"/>
                <w:sz w:val="24"/>
                <w:szCs w:val="24"/>
                <w:lang w:val="en-US" w:eastAsia="zh-CN"/>
              </w:rPr>
              <w:t>一方面，随着下游工业激光器市场的回暖，公司主动优化产品结构，专注于高端市场客户，适时推出新产品，积极开拓新市场，使得公司高功率激光器业务稳步提升，奠定了公司业绩增长的重要基础。另一方面，得益于AI和算力需求的爆发式增长，公司的光通信业务和激光传感业务在前期的技术积淀和市场开拓的基础上，逐步获得市场的认可，客户订单开始起量，为公司业绩增长贡献了一定的增量。</w:t>
            </w:r>
          </w:p>
          <w:p w14:paraId="276DCDFE">
            <w:pPr>
              <w:spacing w:line="360" w:lineRule="auto"/>
              <w:rPr>
                <w:rFonts w:ascii="宋体" w:hAnsi="宋体" w:eastAsia="宋体"/>
                <w:sz w:val="24"/>
                <w:szCs w:val="24"/>
              </w:rPr>
            </w:pPr>
          </w:p>
          <w:p w14:paraId="21335439">
            <w:pPr>
              <w:spacing w:line="360" w:lineRule="auto"/>
              <w:rPr>
                <w:rFonts w:ascii="宋体" w:hAnsi="宋体" w:eastAsia="宋体"/>
                <w:b/>
                <w:bCs/>
                <w:sz w:val="24"/>
                <w:szCs w:val="24"/>
              </w:rPr>
            </w:pPr>
            <w:r>
              <w:rPr>
                <w:rFonts w:hint="eastAsia" w:ascii="宋体" w:hAnsi="宋体" w:eastAsia="宋体"/>
                <w:b/>
                <w:bCs/>
                <w:sz w:val="24"/>
                <w:szCs w:val="24"/>
              </w:rPr>
              <w:t>2．问：</w:t>
            </w:r>
            <w:r>
              <w:rPr>
                <w:rFonts w:hint="eastAsia" w:ascii="宋体" w:hAnsi="宋体" w:eastAsia="宋体"/>
                <w:b/>
                <w:bCs/>
                <w:sz w:val="24"/>
                <w:szCs w:val="24"/>
                <w:lang w:val="en-US" w:eastAsia="zh-CN"/>
              </w:rPr>
              <w:t>公司2026年第一季报告的基本情况</w:t>
            </w:r>
            <w:r>
              <w:rPr>
                <w:rFonts w:ascii="宋体" w:hAnsi="宋体" w:eastAsia="宋体"/>
                <w:b/>
                <w:bCs/>
                <w:sz w:val="24"/>
                <w:szCs w:val="24"/>
              </w:rPr>
              <w:t>？</w:t>
            </w:r>
          </w:p>
          <w:p w14:paraId="0CB89354">
            <w:pPr>
              <w:spacing w:line="360" w:lineRule="auto"/>
              <w:rPr>
                <w:rFonts w:ascii="宋体" w:hAnsi="宋体" w:eastAsia="宋体"/>
                <w:sz w:val="24"/>
                <w:szCs w:val="24"/>
              </w:rPr>
            </w:pPr>
            <w:r>
              <w:rPr>
                <w:rFonts w:hint="eastAsia" w:ascii="宋体" w:hAnsi="宋体" w:eastAsia="宋体"/>
                <w:sz w:val="24"/>
                <w:szCs w:val="24"/>
              </w:rPr>
              <w:t>答：</w:t>
            </w:r>
            <w:r>
              <w:rPr>
                <w:rFonts w:hint="eastAsia" w:ascii="宋体" w:hAnsi="宋体" w:eastAsia="宋体" w:cs="宋体"/>
                <w:sz w:val="24"/>
              </w:rPr>
              <w:t>202</w:t>
            </w:r>
            <w:r>
              <w:rPr>
                <w:rFonts w:hint="eastAsia" w:ascii="宋体" w:hAnsi="宋体" w:eastAsia="宋体" w:cs="宋体"/>
                <w:sz w:val="24"/>
                <w:lang w:val="en-US" w:eastAsia="zh-CN"/>
              </w:rPr>
              <w:t>6第一季度</w:t>
            </w:r>
            <w:r>
              <w:rPr>
                <w:rFonts w:hint="eastAsia" w:ascii="宋体" w:hAnsi="宋体" w:eastAsia="宋体" w:cs="宋体"/>
                <w:sz w:val="24"/>
              </w:rPr>
              <w:t>公司实现营业收入</w:t>
            </w:r>
            <w:r>
              <w:rPr>
                <w:rFonts w:hint="eastAsia" w:ascii="宋体" w:hAnsi="宋体" w:eastAsia="宋体" w:cs="宋体"/>
                <w:sz w:val="24"/>
                <w:lang w:val="en-US" w:eastAsia="zh-CN"/>
              </w:rPr>
              <w:t>12,992</w:t>
            </w:r>
            <w:r>
              <w:rPr>
                <w:rFonts w:hint="eastAsia" w:ascii="宋体" w:hAnsi="宋体" w:eastAsia="宋体" w:cs="宋体"/>
                <w:sz w:val="24"/>
              </w:rPr>
              <w:t>.</w:t>
            </w:r>
            <w:r>
              <w:rPr>
                <w:rFonts w:hint="eastAsia" w:ascii="宋体" w:hAnsi="宋体" w:eastAsia="宋体" w:cs="宋体"/>
                <w:sz w:val="24"/>
                <w:lang w:val="en-US" w:eastAsia="zh-CN"/>
              </w:rPr>
              <w:t>87</w:t>
            </w:r>
            <w:r>
              <w:rPr>
                <w:rFonts w:hint="eastAsia" w:ascii="宋体" w:hAnsi="宋体" w:eastAsia="宋体" w:cs="宋体"/>
                <w:sz w:val="24"/>
              </w:rPr>
              <w:t>万元，同比增长</w:t>
            </w:r>
            <w:r>
              <w:rPr>
                <w:rFonts w:hint="eastAsia" w:ascii="宋体" w:hAnsi="宋体" w:eastAsia="宋体" w:cs="宋体"/>
                <w:sz w:val="24"/>
                <w:lang w:val="en-US" w:eastAsia="zh-CN"/>
              </w:rPr>
              <w:t>37</w:t>
            </w:r>
            <w:r>
              <w:rPr>
                <w:rFonts w:hint="eastAsia" w:ascii="宋体" w:hAnsi="宋体" w:eastAsia="宋体" w:cs="宋体"/>
                <w:sz w:val="24"/>
              </w:rPr>
              <w:t>.</w:t>
            </w:r>
            <w:r>
              <w:rPr>
                <w:rFonts w:hint="eastAsia" w:ascii="宋体" w:hAnsi="宋体" w:eastAsia="宋体" w:cs="宋体"/>
                <w:sz w:val="24"/>
                <w:lang w:val="en-US" w:eastAsia="zh-CN"/>
              </w:rPr>
              <w:t>81</w:t>
            </w:r>
            <w:r>
              <w:rPr>
                <w:rFonts w:hint="eastAsia" w:ascii="宋体" w:hAnsi="宋体" w:eastAsia="宋体" w:cs="宋体"/>
                <w:sz w:val="24"/>
              </w:rPr>
              <w:t>%；归属于上市公司股东净利润</w:t>
            </w:r>
            <w:r>
              <w:rPr>
                <w:rFonts w:hint="eastAsia" w:ascii="宋体" w:hAnsi="宋体" w:eastAsia="宋体" w:cs="宋体"/>
                <w:kern w:val="0"/>
                <w:sz w:val="24"/>
                <w:szCs w:val="24"/>
                <w:lang w:val="en-US" w:eastAsia="zh-CN"/>
              </w:rPr>
              <w:t>447.96</w:t>
            </w:r>
            <w:r>
              <w:rPr>
                <w:rFonts w:hint="eastAsia" w:ascii="宋体" w:hAnsi="宋体" w:eastAsia="宋体" w:cs="宋体"/>
                <w:sz w:val="24"/>
              </w:rPr>
              <w:t>万元；归属于上市公司的扣除非经常性损益的净利润</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1,156</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79</w:t>
            </w:r>
            <w:r>
              <w:rPr>
                <w:rFonts w:hint="eastAsia" w:ascii="宋体" w:hAnsi="宋体" w:eastAsia="宋体" w:cs="宋体"/>
                <w:sz w:val="24"/>
              </w:rPr>
              <w:t>万元。</w:t>
            </w:r>
          </w:p>
          <w:p w14:paraId="1EF48114">
            <w:pPr>
              <w:spacing w:line="360" w:lineRule="auto"/>
              <w:rPr>
                <w:rFonts w:ascii="宋体" w:hAnsi="宋体" w:eastAsia="宋体"/>
                <w:sz w:val="24"/>
                <w:szCs w:val="24"/>
              </w:rPr>
            </w:pPr>
          </w:p>
          <w:p w14:paraId="65B0D03F">
            <w:pPr>
              <w:spacing w:line="312" w:lineRule="auto"/>
              <w:rPr>
                <w:rFonts w:hint="default" w:ascii="宋体" w:hAnsi="宋体" w:eastAsia="宋体" w:cs="Times New Roman"/>
                <w:b/>
                <w:bCs/>
                <w:iCs/>
                <w:sz w:val="24"/>
                <w:szCs w:val="24"/>
                <w:lang w:val="en-US" w:eastAsia="zh-CN"/>
              </w:rPr>
            </w:pPr>
            <w:r>
              <w:rPr>
                <w:rFonts w:ascii="宋体" w:hAnsi="宋体" w:eastAsia="宋体" w:cs="Times New Roman"/>
                <w:b/>
                <w:bCs/>
                <w:iCs/>
                <w:sz w:val="24"/>
                <w:szCs w:val="24"/>
              </w:rPr>
              <w:t>3</w:t>
            </w:r>
            <w:r>
              <w:rPr>
                <w:rFonts w:hint="eastAsia" w:ascii="宋体" w:hAnsi="宋体" w:eastAsia="宋体" w:cs="Times New Roman"/>
                <w:b/>
                <w:bCs/>
                <w:iCs/>
                <w:sz w:val="24"/>
                <w:szCs w:val="24"/>
              </w:rPr>
              <w:t>．问：</w:t>
            </w:r>
            <w:r>
              <w:rPr>
                <w:rFonts w:hint="eastAsia" w:ascii="宋体" w:hAnsi="宋体" w:eastAsia="宋体" w:cs="Times New Roman"/>
                <w:b/>
                <w:bCs/>
                <w:iCs/>
                <w:sz w:val="24"/>
                <w:szCs w:val="24"/>
                <w:lang w:val="en-US" w:eastAsia="zh-CN"/>
              </w:rPr>
              <w:t>光通信巨头Lumentum宣布产能锁定到2028年，整个市场光芯片都呈现短缺的情形，公司有没有扩产的计划？</w:t>
            </w:r>
          </w:p>
          <w:p w14:paraId="298B1D9B">
            <w:pPr>
              <w:spacing w:line="312" w:lineRule="auto"/>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rPr>
              <w:t>答：</w:t>
            </w:r>
            <w:r>
              <w:rPr>
                <w:rFonts w:hint="eastAsia" w:ascii="宋体" w:hAnsi="宋体" w:eastAsia="宋体" w:cs="Times New Roman"/>
                <w:bCs/>
                <w:iCs/>
                <w:sz w:val="24"/>
                <w:szCs w:val="24"/>
                <w:lang w:val="en-US" w:eastAsia="zh-CN"/>
              </w:rPr>
              <w:t>公司按照既定的市场路线进行光通信产品的布局，对于市场反应的芯片短缺的情形，公司会根据客户需求及未来的产业发展趋势，审慎地评估是否进行产能扩充。</w:t>
            </w:r>
          </w:p>
          <w:p w14:paraId="66379E5F">
            <w:pPr>
              <w:spacing w:line="312" w:lineRule="auto"/>
              <w:rPr>
                <w:rFonts w:hint="default" w:ascii="宋体" w:hAnsi="宋体" w:eastAsia="宋体" w:cs="Times New Roman"/>
                <w:bCs/>
                <w:iCs/>
                <w:sz w:val="24"/>
                <w:szCs w:val="24"/>
                <w:lang w:val="en-US" w:eastAsia="zh-CN"/>
              </w:rPr>
            </w:pPr>
          </w:p>
          <w:p w14:paraId="015567F0">
            <w:pPr>
              <w:spacing w:line="360" w:lineRule="auto"/>
              <w:rPr>
                <w:rFonts w:ascii="宋体" w:hAnsi="宋体" w:eastAsia="宋体"/>
                <w:b/>
                <w:bCs/>
                <w:sz w:val="24"/>
                <w:szCs w:val="24"/>
              </w:rPr>
            </w:pPr>
            <w:r>
              <w:rPr>
                <w:rFonts w:ascii="宋体" w:hAnsi="宋体" w:eastAsia="宋体"/>
                <w:b/>
                <w:bCs/>
                <w:sz w:val="24"/>
                <w:szCs w:val="24"/>
              </w:rPr>
              <w:t>4</w:t>
            </w:r>
            <w:r>
              <w:rPr>
                <w:rFonts w:hint="eastAsia" w:ascii="宋体" w:hAnsi="宋体" w:eastAsia="宋体"/>
                <w:b/>
                <w:bCs/>
                <w:sz w:val="24"/>
                <w:szCs w:val="24"/>
              </w:rPr>
              <w:t>．问：</w:t>
            </w:r>
            <w:r>
              <w:rPr>
                <w:rFonts w:hint="eastAsia" w:ascii="宋体" w:hAnsi="宋体" w:eastAsia="宋体"/>
                <w:b/>
                <w:bCs/>
                <w:sz w:val="24"/>
                <w:szCs w:val="24"/>
                <w:lang w:val="en-US" w:eastAsia="zh-CN"/>
              </w:rPr>
              <w:t>公司2026年的工业激光器业务如何展望</w:t>
            </w:r>
            <w:r>
              <w:rPr>
                <w:rFonts w:ascii="宋体" w:hAnsi="宋体" w:eastAsia="宋体"/>
                <w:b/>
                <w:bCs/>
                <w:sz w:val="24"/>
                <w:szCs w:val="24"/>
              </w:rPr>
              <w:t>？</w:t>
            </w:r>
          </w:p>
          <w:p w14:paraId="613AEE23">
            <w:pPr>
              <w:spacing w:line="360" w:lineRule="auto"/>
              <w:rPr>
                <w:rFonts w:ascii="宋体" w:hAnsi="宋体" w:eastAsia="宋体" w:cs="Times New Roman"/>
                <w:bCs/>
                <w:iCs/>
                <w:sz w:val="24"/>
                <w:szCs w:val="24"/>
              </w:rPr>
            </w:pPr>
            <w:r>
              <w:rPr>
                <w:rFonts w:hint="eastAsia" w:ascii="宋体" w:hAnsi="宋体" w:eastAsia="宋体"/>
                <w:sz w:val="24"/>
                <w:szCs w:val="24"/>
              </w:rPr>
              <w:t>答：</w:t>
            </w:r>
            <w:r>
              <w:rPr>
                <w:rFonts w:hint="eastAsia" w:ascii="宋体" w:hAnsi="宋体" w:eastAsia="宋体"/>
                <w:sz w:val="24"/>
                <w:szCs w:val="24"/>
                <w:lang w:val="en-US" w:eastAsia="zh-CN"/>
              </w:rPr>
              <w:t>高功率激光器业务的回暖为公司的业绩稳定奠定了重要的基础，随着下游工业激光器客户的进一步集中，公司会继续优化公司的产品结构，专注于头部客户，不断提</w:t>
            </w:r>
            <w:bookmarkStart w:id="0" w:name="_GoBack"/>
            <w:bookmarkEnd w:id="0"/>
            <w:r>
              <w:rPr>
                <w:rFonts w:hint="eastAsia" w:ascii="宋体" w:hAnsi="宋体" w:eastAsia="宋体"/>
                <w:sz w:val="24"/>
                <w:szCs w:val="24"/>
                <w:lang w:val="en-US" w:eastAsia="zh-CN"/>
              </w:rPr>
              <w:t>升产品的质量和竞争力。</w:t>
            </w:r>
          </w:p>
          <w:p w14:paraId="0425B750">
            <w:pPr>
              <w:spacing w:line="312" w:lineRule="auto"/>
              <w:rPr>
                <w:rFonts w:ascii="宋体" w:hAnsi="宋体" w:eastAsia="宋体" w:cs="Times New Roman"/>
                <w:bCs/>
                <w:iCs/>
                <w:sz w:val="24"/>
                <w:szCs w:val="24"/>
              </w:rPr>
            </w:pPr>
          </w:p>
          <w:p w14:paraId="7013FBAD">
            <w:pPr>
              <w:spacing w:line="312" w:lineRule="auto"/>
              <w:rPr>
                <w:rFonts w:ascii="宋体" w:hAnsi="宋体" w:eastAsia="宋体" w:cs="Times New Roman"/>
                <w:b/>
                <w:iCs/>
                <w:sz w:val="24"/>
                <w:szCs w:val="24"/>
              </w:rPr>
            </w:pPr>
            <w:r>
              <w:rPr>
                <w:rFonts w:hint="eastAsia" w:ascii="宋体" w:hAnsi="宋体" w:eastAsia="宋体" w:cs="Times New Roman"/>
                <w:b/>
                <w:iCs/>
                <w:sz w:val="24"/>
                <w:szCs w:val="24"/>
                <w:lang w:val="en-US" w:eastAsia="zh-CN"/>
              </w:rPr>
              <w:t>5</w:t>
            </w:r>
            <w:r>
              <w:rPr>
                <w:rFonts w:hint="eastAsia" w:ascii="宋体" w:hAnsi="宋体" w:eastAsia="宋体" w:cs="Times New Roman"/>
                <w:b/>
                <w:iCs/>
                <w:sz w:val="24"/>
                <w:szCs w:val="24"/>
              </w:rPr>
              <w:t>．问：</w:t>
            </w:r>
            <w:r>
              <w:rPr>
                <w:rFonts w:ascii="宋体" w:hAnsi="宋体" w:eastAsia="宋体" w:cs="Times New Roman"/>
                <w:b/>
                <w:iCs/>
                <w:sz w:val="24"/>
                <w:szCs w:val="24"/>
              </w:rPr>
              <w:t>硅光</w:t>
            </w:r>
            <w:r>
              <w:rPr>
                <w:rFonts w:hint="eastAsia" w:ascii="宋体" w:hAnsi="宋体" w:eastAsia="宋体" w:cs="Times New Roman"/>
                <w:b/>
                <w:iCs/>
                <w:sz w:val="24"/>
                <w:szCs w:val="24"/>
                <w:lang w:val="en-US" w:eastAsia="zh-CN"/>
              </w:rPr>
              <w:t>集成</w:t>
            </w:r>
            <w:r>
              <w:rPr>
                <w:rFonts w:ascii="宋体" w:hAnsi="宋体" w:eastAsia="宋体" w:cs="Times New Roman"/>
                <w:b/>
                <w:iCs/>
                <w:sz w:val="24"/>
                <w:szCs w:val="24"/>
              </w:rPr>
              <w:t>是光芯片未来重要</w:t>
            </w:r>
            <w:r>
              <w:rPr>
                <w:rFonts w:hint="eastAsia" w:ascii="宋体" w:hAnsi="宋体" w:eastAsia="宋体" w:cs="Times New Roman"/>
                <w:b/>
                <w:iCs/>
                <w:sz w:val="24"/>
                <w:szCs w:val="24"/>
                <w:lang w:val="en-US" w:eastAsia="zh-CN"/>
              </w:rPr>
              <w:t>的技术</w:t>
            </w:r>
            <w:r>
              <w:rPr>
                <w:rFonts w:ascii="宋体" w:hAnsi="宋体" w:eastAsia="宋体" w:cs="Times New Roman"/>
                <w:b/>
                <w:iCs/>
                <w:sz w:val="24"/>
                <w:szCs w:val="24"/>
              </w:rPr>
              <w:t>发展方向，</w:t>
            </w:r>
            <w:r>
              <w:rPr>
                <w:rFonts w:hint="eastAsia" w:ascii="宋体" w:hAnsi="宋体" w:eastAsia="宋体" w:cs="Times New Roman"/>
                <w:b/>
                <w:iCs/>
                <w:sz w:val="24"/>
                <w:szCs w:val="24"/>
                <w:lang w:val="en-US" w:eastAsia="zh-CN"/>
              </w:rPr>
              <w:t>公司</w:t>
            </w:r>
            <w:r>
              <w:rPr>
                <w:rFonts w:ascii="宋体" w:hAnsi="宋体" w:eastAsia="宋体" w:cs="Times New Roman"/>
                <w:b/>
                <w:iCs/>
                <w:sz w:val="24"/>
                <w:szCs w:val="24"/>
              </w:rPr>
              <w:t>做了哪些准备来应对变化？</w:t>
            </w:r>
          </w:p>
          <w:p w14:paraId="3B21284B">
            <w:pPr>
              <w:spacing w:line="312" w:lineRule="auto"/>
              <w:rPr>
                <w:rFonts w:ascii="宋体" w:hAnsi="宋体" w:eastAsia="宋体" w:cs="Times New Roman"/>
                <w:bCs/>
                <w:iCs/>
                <w:sz w:val="24"/>
                <w:szCs w:val="24"/>
              </w:rPr>
            </w:pPr>
            <w:r>
              <w:rPr>
                <w:rFonts w:hint="eastAsia" w:ascii="宋体" w:hAnsi="宋体" w:eastAsia="宋体" w:cs="Times New Roman"/>
                <w:bCs/>
                <w:iCs/>
                <w:sz w:val="24"/>
                <w:szCs w:val="24"/>
              </w:rPr>
              <w:t>答：硅光集成正在推动光通信行业从“电主导”转向“光主导”</w:t>
            </w:r>
            <w:r>
              <w:rPr>
                <w:rFonts w:ascii="宋体" w:hAnsi="宋体" w:eastAsia="宋体" w:cs="Times New Roman"/>
                <w:bCs/>
                <w:iCs/>
                <w:sz w:val="24"/>
                <w:szCs w:val="24"/>
              </w:rPr>
              <w:t>。公司通过全资子公司出资成立苏州星钥光子科技有限公司</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lang w:val="en-US" w:eastAsia="zh-CN"/>
              </w:rPr>
              <w:t>简称“星钥光子”</w:t>
            </w:r>
            <w:r>
              <w:rPr>
                <w:rFonts w:hint="eastAsia" w:ascii="宋体" w:hAnsi="宋体" w:eastAsia="宋体" w:cs="Times New Roman"/>
                <w:bCs/>
                <w:iCs/>
                <w:sz w:val="24"/>
                <w:szCs w:val="24"/>
                <w:lang w:eastAsia="zh-CN"/>
              </w:rPr>
              <w:t>）</w:t>
            </w:r>
            <w:r>
              <w:rPr>
                <w:rFonts w:ascii="宋体" w:hAnsi="宋体" w:eastAsia="宋体" w:cs="Times New Roman"/>
                <w:bCs/>
                <w:iCs/>
                <w:sz w:val="24"/>
                <w:szCs w:val="24"/>
              </w:rPr>
              <w:t>，已提前布局这下一代技术路线。</w:t>
            </w:r>
            <w:r>
              <w:rPr>
                <w:rFonts w:hint="eastAsia" w:ascii="宋体" w:hAnsi="宋体" w:eastAsia="宋体" w:cs="Times New Roman"/>
                <w:bCs/>
                <w:iCs/>
                <w:sz w:val="24"/>
                <w:szCs w:val="24"/>
                <w:lang w:val="en-US" w:eastAsia="zh-CN"/>
              </w:rPr>
              <w:t>根据星钥光子的产线建设进度，有望在2026年年底实现工艺通线，2027年正式投入生产。</w:t>
            </w:r>
          </w:p>
        </w:tc>
      </w:tr>
    </w:tbl>
    <w:p w14:paraId="4002DD69">
      <w:pPr>
        <w:spacing w:line="360" w:lineRule="auto"/>
        <w:rPr>
          <w:rFonts w:ascii="宋体" w:hAnsi="宋体" w:eastAsia="宋体"/>
          <w:sz w:val="32"/>
          <w:szCs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AF"/>
    <w:rsid w:val="00000033"/>
    <w:rsid w:val="000026B7"/>
    <w:rsid w:val="00006601"/>
    <w:rsid w:val="0001119B"/>
    <w:rsid w:val="00013199"/>
    <w:rsid w:val="000215C0"/>
    <w:rsid w:val="000221EB"/>
    <w:rsid w:val="00022FBA"/>
    <w:rsid w:val="000267E3"/>
    <w:rsid w:val="00027C12"/>
    <w:rsid w:val="000302F7"/>
    <w:rsid w:val="0003180E"/>
    <w:rsid w:val="0004169E"/>
    <w:rsid w:val="00041D7A"/>
    <w:rsid w:val="00042436"/>
    <w:rsid w:val="000518F0"/>
    <w:rsid w:val="00057C83"/>
    <w:rsid w:val="00063DAA"/>
    <w:rsid w:val="000827A5"/>
    <w:rsid w:val="0008626A"/>
    <w:rsid w:val="00092F33"/>
    <w:rsid w:val="000A04A8"/>
    <w:rsid w:val="000D3B77"/>
    <w:rsid w:val="000D4AC6"/>
    <w:rsid w:val="000D5224"/>
    <w:rsid w:val="000D7725"/>
    <w:rsid w:val="000E6B7C"/>
    <w:rsid w:val="000E7A86"/>
    <w:rsid w:val="000F0B93"/>
    <w:rsid w:val="000F4C41"/>
    <w:rsid w:val="001023B4"/>
    <w:rsid w:val="00104582"/>
    <w:rsid w:val="00104BE3"/>
    <w:rsid w:val="00107A5B"/>
    <w:rsid w:val="00111760"/>
    <w:rsid w:val="001152FC"/>
    <w:rsid w:val="0012092F"/>
    <w:rsid w:val="00127DC0"/>
    <w:rsid w:val="00136E3A"/>
    <w:rsid w:val="00136FFB"/>
    <w:rsid w:val="00141E6E"/>
    <w:rsid w:val="00143270"/>
    <w:rsid w:val="00154137"/>
    <w:rsid w:val="00156C62"/>
    <w:rsid w:val="0015714D"/>
    <w:rsid w:val="00161BFB"/>
    <w:rsid w:val="001648A2"/>
    <w:rsid w:val="00173D95"/>
    <w:rsid w:val="0017598A"/>
    <w:rsid w:val="0018293C"/>
    <w:rsid w:val="00182FB5"/>
    <w:rsid w:val="001842CF"/>
    <w:rsid w:val="00185235"/>
    <w:rsid w:val="001940DD"/>
    <w:rsid w:val="0019580C"/>
    <w:rsid w:val="001A002A"/>
    <w:rsid w:val="001A0225"/>
    <w:rsid w:val="001A3A01"/>
    <w:rsid w:val="001B1CEF"/>
    <w:rsid w:val="001C5C31"/>
    <w:rsid w:val="001D11EC"/>
    <w:rsid w:val="001D3C2D"/>
    <w:rsid w:val="001E0B39"/>
    <w:rsid w:val="001F36E7"/>
    <w:rsid w:val="00202325"/>
    <w:rsid w:val="002114E5"/>
    <w:rsid w:val="002120A8"/>
    <w:rsid w:val="00212E43"/>
    <w:rsid w:val="00216AB2"/>
    <w:rsid w:val="00216F0E"/>
    <w:rsid w:val="00223CF6"/>
    <w:rsid w:val="00236DB9"/>
    <w:rsid w:val="00240FDA"/>
    <w:rsid w:val="00242486"/>
    <w:rsid w:val="00244BC0"/>
    <w:rsid w:val="002463D8"/>
    <w:rsid w:val="002472B1"/>
    <w:rsid w:val="00251F7B"/>
    <w:rsid w:val="0025253A"/>
    <w:rsid w:val="002578F6"/>
    <w:rsid w:val="00266568"/>
    <w:rsid w:val="00266CE5"/>
    <w:rsid w:val="00270272"/>
    <w:rsid w:val="002759B3"/>
    <w:rsid w:val="00282680"/>
    <w:rsid w:val="00293AD8"/>
    <w:rsid w:val="00295A14"/>
    <w:rsid w:val="002A1F28"/>
    <w:rsid w:val="002A62C9"/>
    <w:rsid w:val="002B64EE"/>
    <w:rsid w:val="002C7EFD"/>
    <w:rsid w:val="002D13FE"/>
    <w:rsid w:val="002D2F01"/>
    <w:rsid w:val="002D312F"/>
    <w:rsid w:val="002E1D1E"/>
    <w:rsid w:val="002E2F4B"/>
    <w:rsid w:val="002E6A23"/>
    <w:rsid w:val="002E7B03"/>
    <w:rsid w:val="002F0B5E"/>
    <w:rsid w:val="002F2393"/>
    <w:rsid w:val="002F54BA"/>
    <w:rsid w:val="0030656B"/>
    <w:rsid w:val="003076E2"/>
    <w:rsid w:val="00310757"/>
    <w:rsid w:val="003230E0"/>
    <w:rsid w:val="00325C2A"/>
    <w:rsid w:val="003314B0"/>
    <w:rsid w:val="00342777"/>
    <w:rsid w:val="0034562D"/>
    <w:rsid w:val="00345AC0"/>
    <w:rsid w:val="003573FE"/>
    <w:rsid w:val="00371FA4"/>
    <w:rsid w:val="00373087"/>
    <w:rsid w:val="00382965"/>
    <w:rsid w:val="00386A47"/>
    <w:rsid w:val="0038722F"/>
    <w:rsid w:val="003900A9"/>
    <w:rsid w:val="00397C00"/>
    <w:rsid w:val="003A1EBE"/>
    <w:rsid w:val="003A566C"/>
    <w:rsid w:val="003B2C15"/>
    <w:rsid w:val="003B6AA3"/>
    <w:rsid w:val="003C5B6E"/>
    <w:rsid w:val="003D2B9E"/>
    <w:rsid w:val="003D4DB3"/>
    <w:rsid w:val="003D5921"/>
    <w:rsid w:val="003D7767"/>
    <w:rsid w:val="003D77B7"/>
    <w:rsid w:val="003E0567"/>
    <w:rsid w:val="003E3A9C"/>
    <w:rsid w:val="003E7504"/>
    <w:rsid w:val="00400293"/>
    <w:rsid w:val="00400E6A"/>
    <w:rsid w:val="00401616"/>
    <w:rsid w:val="00413E2B"/>
    <w:rsid w:val="0042221F"/>
    <w:rsid w:val="0042274C"/>
    <w:rsid w:val="00424CAE"/>
    <w:rsid w:val="00441B3E"/>
    <w:rsid w:val="0045477C"/>
    <w:rsid w:val="00463F64"/>
    <w:rsid w:val="0046401A"/>
    <w:rsid w:val="00465244"/>
    <w:rsid w:val="0046534F"/>
    <w:rsid w:val="00465B55"/>
    <w:rsid w:val="00470A2E"/>
    <w:rsid w:val="00475666"/>
    <w:rsid w:val="004801C1"/>
    <w:rsid w:val="0048100F"/>
    <w:rsid w:val="0048306A"/>
    <w:rsid w:val="00484756"/>
    <w:rsid w:val="00487929"/>
    <w:rsid w:val="004907C5"/>
    <w:rsid w:val="004A071B"/>
    <w:rsid w:val="004A1197"/>
    <w:rsid w:val="004A40BB"/>
    <w:rsid w:val="004A70B1"/>
    <w:rsid w:val="004B5F4B"/>
    <w:rsid w:val="004C2B3D"/>
    <w:rsid w:val="004C327A"/>
    <w:rsid w:val="004C4211"/>
    <w:rsid w:val="004E08D7"/>
    <w:rsid w:val="004F1736"/>
    <w:rsid w:val="004F2E85"/>
    <w:rsid w:val="004F7F7B"/>
    <w:rsid w:val="00521A31"/>
    <w:rsid w:val="0052392B"/>
    <w:rsid w:val="005313C8"/>
    <w:rsid w:val="0053201E"/>
    <w:rsid w:val="005400EE"/>
    <w:rsid w:val="00543DD1"/>
    <w:rsid w:val="00546EAC"/>
    <w:rsid w:val="00552861"/>
    <w:rsid w:val="00566D65"/>
    <w:rsid w:val="00567B3D"/>
    <w:rsid w:val="0058218C"/>
    <w:rsid w:val="00587E67"/>
    <w:rsid w:val="00594234"/>
    <w:rsid w:val="0059647C"/>
    <w:rsid w:val="005A07DD"/>
    <w:rsid w:val="005B2541"/>
    <w:rsid w:val="005B7AC0"/>
    <w:rsid w:val="005B7EAC"/>
    <w:rsid w:val="005D1B97"/>
    <w:rsid w:val="005D1C6E"/>
    <w:rsid w:val="005D3541"/>
    <w:rsid w:val="005D42FD"/>
    <w:rsid w:val="005E7ACB"/>
    <w:rsid w:val="005E7B00"/>
    <w:rsid w:val="006011DD"/>
    <w:rsid w:val="0060661D"/>
    <w:rsid w:val="0060686D"/>
    <w:rsid w:val="00606E7D"/>
    <w:rsid w:val="00612007"/>
    <w:rsid w:val="00612BD3"/>
    <w:rsid w:val="00622D78"/>
    <w:rsid w:val="00624C2B"/>
    <w:rsid w:val="00633DE9"/>
    <w:rsid w:val="0063667E"/>
    <w:rsid w:val="00642CDE"/>
    <w:rsid w:val="0064400B"/>
    <w:rsid w:val="0064561F"/>
    <w:rsid w:val="00645E5A"/>
    <w:rsid w:val="00646F4F"/>
    <w:rsid w:val="006567E3"/>
    <w:rsid w:val="006615DC"/>
    <w:rsid w:val="006705FA"/>
    <w:rsid w:val="00671E0F"/>
    <w:rsid w:val="006745B1"/>
    <w:rsid w:val="00674853"/>
    <w:rsid w:val="00682FA3"/>
    <w:rsid w:val="006863A2"/>
    <w:rsid w:val="00694DCB"/>
    <w:rsid w:val="00697ED6"/>
    <w:rsid w:val="006A1122"/>
    <w:rsid w:val="006A7E76"/>
    <w:rsid w:val="006B1611"/>
    <w:rsid w:val="006B2C1E"/>
    <w:rsid w:val="006B32E5"/>
    <w:rsid w:val="006B6731"/>
    <w:rsid w:val="006C45EB"/>
    <w:rsid w:val="006C5C20"/>
    <w:rsid w:val="006D0EE2"/>
    <w:rsid w:val="006D15B5"/>
    <w:rsid w:val="006D61C5"/>
    <w:rsid w:val="006E44C5"/>
    <w:rsid w:val="006F5494"/>
    <w:rsid w:val="00702A58"/>
    <w:rsid w:val="00703E21"/>
    <w:rsid w:val="007051C6"/>
    <w:rsid w:val="00712F92"/>
    <w:rsid w:val="00714EFB"/>
    <w:rsid w:val="007258F3"/>
    <w:rsid w:val="00725A9F"/>
    <w:rsid w:val="00725B9D"/>
    <w:rsid w:val="00730616"/>
    <w:rsid w:val="007342B3"/>
    <w:rsid w:val="00745EBA"/>
    <w:rsid w:val="007468C9"/>
    <w:rsid w:val="00751256"/>
    <w:rsid w:val="00754B28"/>
    <w:rsid w:val="00756047"/>
    <w:rsid w:val="00757E40"/>
    <w:rsid w:val="0076066B"/>
    <w:rsid w:val="007623C3"/>
    <w:rsid w:val="007623DE"/>
    <w:rsid w:val="00763896"/>
    <w:rsid w:val="0077466A"/>
    <w:rsid w:val="0077785A"/>
    <w:rsid w:val="007846EB"/>
    <w:rsid w:val="00791CF6"/>
    <w:rsid w:val="00796E16"/>
    <w:rsid w:val="007A26D4"/>
    <w:rsid w:val="007A4394"/>
    <w:rsid w:val="007A5015"/>
    <w:rsid w:val="007B44FA"/>
    <w:rsid w:val="007D0E35"/>
    <w:rsid w:val="007D58DE"/>
    <w:rsid w:val="007E1A6A"/>
    <w:rsid w:val="007E2BAB"/>
    <w:rsid w:val="007E71BF"/>
    <w:rsid w:val="008164A1"/>
    <w:rsid w:val="00824186"/>
    <w:rsid w:val="00834008"/>
    <w:rsid w:val="008376BA"/>
    <w:rsid w:val="00837D81"/>
    <w:rsid w:val="008418EE"/>
    <w:rsid w:val="00844056"/>
    <w:rsid w:val="0084769E"/>
    <w:rsid w:val="008522AE"/>
    <w:rsid w:val="0085555B"/>
    <w:rsid w:val="0087251E"/>
    <w:rsid w:val="00873724"/>
    <w:rsid w:val="00880D3B"/>
    <w:rsid w:val="00883971"/>
    <w:rsid w:val="00885467"/>
    <w:rsid w:val="008908AF"/>
    <w:rsid w:val="00892C68"/>
    <w:rsid w:val="00896EE1"/>
    <w:rsid w:val="008A0756"/>
    <w:rsid w:val="008A3CC5"/>
    <w:rsid w:val="008A6235"/>
    <w:rsid w:val="008B1E3A"/>
    <w:rsid w:val="008B2986"/>
    <w:rsid w:val="008C157A"/>
    <w:rsid w:val="008C453D"/>
    <w:rsid w:val="008C4CBD"/>
    <w:rsid w:val="008C5F6C"/>
    <w:rsid w:val="008C7272"/>
    <w:rsid w:val="008E74C2"/>
    <w:rsid w:val="008F72D9"/>
    <w:rsid w:val="009035CE"/>
    <w:rsid w:val="009072D0"/>
    <w:rsid w:val="009117BF"/>
    <w:rsid w:val="00914CC2"/>
    <w:rsid w:val="0092508D"/>
    <w:rsid w:val="00936410"/>
    <w:rsid w:val="009441E6"/>
    <w:rsid w:val="009455B7"/>
    <w:rsid w:val="009504B3"/>
    <w:rsid w:val="00956C7E"/>
    <w:rsid w:val="00971F33"/>
    <w:rsid w:val="00982D2B"/>
    <w:rsid w:val="009B28E0"/>
    <w:rsid w:val="009B48C5"/>
    <w:rsid w:val="009C0BAA"/>
    <w:rsid w:val="009C276D"/>
    <w:rsid w:val="009C43F9"/>
    <w:rsid w:val="009C467B"/>
    <w:rsid w:val="009C5846"/>
    <w:rsid w:val="009C6300"/>
    <w:rsid w:val="009D42F9"/>
    <w:rsid w:val="009E0224"/>
    <w:rsid w:val="009E2711"/>
    <w:rsid w:val="009E2B40"/>
    <w:rsid w:val="009E2F4E"/>
    <w:rsid w:val="009F0F64"/>
    <w:rsid w:val="009F4648"/>
    <w:rsid w:val="009F6FAC"/>
    <w:rsid w:val="00A04D12"/>
    <w:rsid w:val="00A1022E"/>
    <w:rsid w:val="00A110BD"/>
    <w:rsid w:val="00A132D6"/>
    <w:rsid w:val="00A26035"/>
    <w:rsid w:val="00A27F4C"/>
    <w:rsid w:val="00A27FBF"/>
    <w:rsid w:val="00A33CBF"/>
    <w:rsid w:val="00A35D8B"/>
    <w:rsid w:val="00A36BB4"/>
    <w:rsid w:val="00A443DF"/>
    <w:rsid w:val="00A57377"/>
    <w:rsid w:val="00A65905"/>
    <w:rsid w:val="00A80F07"/>
    <w:rsid w:val="00A91173"/>
    <w:rsid w:val="00AA082B"/>
    <w:rsid w:val="00AA33E3"/>
    <w:rsid w:val="00AA6BD2"/>
    <w:rsid w:val="00AB1F32"/>
    <w:rsid w:val="00AB29E0"/>
    <w:rsid w:val="00AB6734"/>
    <w:rsid w:val="00AD564E"/>
    <w:rsid w:val="00AE0230"/>
    <w:rsid w:val="00AE73AD"/>
    <w:rsid w:val="00AF0F95"/>
    <w:rsid w:val="00B01720"/>
    <w:rsid w:val="00B0622C"/>
    <w:rsid w:val="00B06997"/>
    <w:rsid w:val="00B14864"/>
    <w:rsid w:val="00B340FA"/>
    <w:rsid w:val="00B367F7"/>
    <w:rsid w:val="00B46B8E"/>
    <w:rsid w:val="00B53E26"/>
    <w:rsid w:val="00B56D81"/>
    <w:rsid w:val="00B6046E"/>
    <w:rsid w:val="00B60640"/>
    <w:rsid w:val="00B62F3A"/>
    <w:rsid w:val="00B66779"/>
    <w:rsid w:val="00B71F30"/>
    <w:rsid w:val="00B91A09"/>
    <w:rsid w:val="00B92172"/>
    <w:rsid w:val="00B928CD"/>
    <w:rsid w:val="00B97D25"/>
    <w:rsid w:val="00BA7067"/>
    <w:rsid w:val="00BB59A7"/>
    <w:rsid w:val="00BB5B48"/>
    <w:rsid w:val="00BB7FD1"/>
    <w:rsid w:val="00BC7AC3"/>
    <w:rsid w:val="00BD083F"/>
    <w:rsid w:val="00BD533D"/>
    <w:rsid w:val="00BD6DF5"/>
    <w:rsid w:val="00BD7F22"/>
    <w:rsid w:val="00BE214A"/>
    <w:rsid w:val="00BE4B69"/>
    <w:rsid w:val="00BE4CC7"/>
    <w:rsid w:val="00BE504C"/>
    <w:rsid w:val="00BF3D0D"/>
    <w:rsid w:val="00C04B75"/>
    <w:rsid w:val="00C062D6"/>
    <w:rsid w:val="00C154C7"/>
    <w:rsid w:val="00C169F4"/>
    <w:rsid w:val="00C173C9"/>
    <w:rsid w:val="00C25FC5"/>
    <w:rsid w:val="00C4043B"/>
    <w:rsid w:val="00C4111C"/>
    <w:rsid w:val="00C457EC"/>
    <w:rsid w:val="00C457FE"/>
    <w:rsid w:val="00C50134"/>
    <w:rsid w:val="00C52727"/>
    <w:rsid w:val="00C61660"/>
    <w:rsid w:val="00C6487E"/>
    <w:rsid w:val="00C72CF6"/>
    <w:rsid w:val="00C74347"/>
    <w:rsid w:val="00C768A1"/>
    <w:rsid w:val="00C76BA9"/>
    <w:rsid w:val="00C94E0F"/>
    <w:rsid w:val="00CA39EF"/>
    <w:rsid w:val="00CC6A6F"/>
    <w:rsid w:val="00CC7293"/>
    <w:rsid w:val="00CD339F"/>
    <w:rsid w:val="00CD35C3"/>
    <w:rsid w:val="00CD3CA1"/>
    <w:rsid w:val="00D11CEB"/>
    <w:rsid w:val="00D14158"/>
    <w:rsid w:val="00D243AB"/>
    <w:rsid w:val="00D25CCB"/>
    <w:rsid w:val="00D273B7"/>
    <w:rsid w:val="00D46082"/>
    <w:rsid w:val="00D5691E"/>
    <w:rsid w:val="00D60633"/>
    <w:rsid w:val="00D62199"/>
    <w:rsid w:val="00D622DE"/>
    <w:rsid w:val="00D70D40"/>
    <w:rsid w:val="00D70FA2"/>
    <w:rsid w:val="00D72E01"/>
    <w:rsid w:val="00D74901"/>
    <w:rsid w:val="00D77001"/>
    <w:rsid w:val="00D814EF"/>
    <w:rsid w:val="00D8532F"/>
    <w:rsid w:val="00D95366"/>
    <w:rsid w:val="00DA1CC5"/>
    <w:rsid w:val="00DA3B70"/>
    <w:rsid w:val="00DA3CBC"/>
    <w:rsid w:val="00DB0944"/>
    <w:rsid w:val="00DB3FBD"/>
    <w:rsid w:val="00DB6483"/>
    <w:rsid w:val="00DB6793"/>
    <w:rsid w:val="00DC77D8"/>
    <w:rsid w:val="00DC7B77"/>
    <w:rsid w:val="00DD53B3"/>
    <w:rsid w:val="00DE4C42"/>
    <w:rsid w:val="00DE7B21"/>
    <w:rsid w:val="00DF2404"/>
    <w:rsid w:val="00DF2C41"/>
    <w:rsid w:val="00E04722"/>
    <w:rsid w:val="00E1153F"/>
    <w:rsid w:val="00E13368"/>
    <w:rsid w:val="00E2431D"/>
    <w:rsid w:val="00E369B4"/>
    <w:rsid w:val="00E42080"/>
    <w:rsid w:val="00E436AF"/>
    <w:rsid w:val="00E53A01"/>
    <w:rsid w:val="00E61E14"/>
    <w:rsid w:val="00E67438"/>
    <w:rsid w:val="00E70B77"/>
    <w:rsid w:val="00E71610"/>
    <w:rsid w:val="00E73F97"/>
    <w:rsid w:val="00E86582"/>
    <w:rsid w:val="00E86D2E"/>
    <w:rsid w:val="00E9012D"/>
    <w:rsid w:val="00EA098D"/>
    <w:rsid w:val="00EB0B63"/>
    <w:rsid w:val="00EB4A5A"/>
    <w:rsid w:val="00EB69D6"/>
    <w:rsid w:val="00EC0C94"/>
    <w:rsid w:val="00ED0A59"/>
    <w:rsid w:val="00ED1FBD"/>
    <w:rsid w:val="00ED6460"/>
    <w:rsid w:val="00EE2693"/>
    <w:rsid w:val="00F02F81"/>
    <w:rsid w:val="00F04041"/>
    <w:rsid w:val="00F36B04"/>
    <w:rsid w:val="00F43626"/>
    <w:rsid w:val="00F87A9C"/>
    <w:rsid w:val="00F91E29"/>
    <w:rsid w:val="00FB3C5E"/>
    <w:rsid w:val="00FC10D9"/>
    <w:rsid w:val="00FE1FD8"/>
    <w:rsid w:val="00FE21DE"/>
    <w:rsid w:val="00FE3FEC"/>
    <w:rsid w:val="00FE57D8"/>
    <w:rsid w:val="00FE5A92"/>
    <w:rsid w:val="00FF4241"/>
    <w:rsid w:val="00FF4E56"/>
    <w:rsid w:val="09962F95"/>
    <w:rsid w:val="103F5AD3"/>
    <w:rsid w:val="11F03528"/>
    <w:rsid w:val="12E52961"/>
    <w:rsid w:val="159D5775"/>
    <w:rsid w:val="277B6B05"/>
    <w:rsid w:val="2A7C7BF7"/>
    <w:rsid w:val="2C362F36"/>
    <w:rsid w:val="355754E9"/>
    <w:rsid w:val="39C62C3D"/>
    <w:rsid w:val="3DBD6105"/>
    <w:rsid w:val="45796DB6"/>
    <w:rsid w:val="45D109A0"/>
    <w:rsid w:val="49114B9A"/>
    <w:rsid w:val="4A1452FF"/>
    <w:rsid w:val="552F56E3"/>
    <w:rsid w:val="571C3A45"/>
    <w:rsid w:val="57511940"/>
    <w:rsid w:val="62925DEB"/>
    <w:rsid w:val="77701517"/>
    <w:rsid w:val="7FB41F4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24"/>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ody Text"/>
    <w:basedOn w:val="1"/>
    <w:link w:val="21"/>
    <w:qFormat/>
    <w:uiPriority w:val="0"/>
    <w:pPr>
      <w:widowControl/>
      <w:spacing w:before="180" w:after="180"/>
      <w:jc w:val="left"/>
    </w:pPr>
    <w:rPr>
      <w:kern w:val="0"/>
      <w:sz w:val="24"/>
      <w:szCs w:val="24"/>
      <w:lang w:eastAsia="en-US"/>
    </w:rPr>
  </w:style>
  <w:style w:type="paragraph" w:styleId="5">
    <w:name w:val="Balloon Text"/>
    <w:basedOn w:val="1"/>
    <w:link w:val="16"/>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link w:val="18"/>
    <w:semiHidden/>
    <w:unhideWhenUsed/>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字符"/>
    <w:basedOn w:val="11"/>
    <w:link w:val="7"/>
    <w:uiPriority w:val="99"/>
    <w:rPr>
      <w:sz w:val="18"/>
      <w:szCs w:val="18"/>
    </w:rPr>
  </w:style>
  <w:style w:type="character" w:customStyle="1" w:styleId="15">
    <w:name w:val="页脚 字符"/>
    <w:basedOn w:val="11"/>
    <w:link w:val="6"/>
    <w:uiPriority w:val="99"/>
    <w:rPr>
      <w:sz w:val="18"/>
      <w:szCs w:val="18"/>
    </w:rPr>
  </w:style>
  <w:style w:type="character" w:customStyle="1" w:styleId="16">
    <w:name w:val="批注框文本 字符"/>
    <w:basedOn w:val="11"/>
    <w:link w:val="5"/>
    <w:semiHidden/>
    <w:uiPriority w:val="99"/>
    <w:rPr>
      <w:sz w:val="18"/>
      <w:szCs w:val="18"/>
    </w:rPr>
  </w:style>
  <w:style w:type="character" w:customStyle="1" w:styleId="17">
    <w:name w:val="批注文字 字符"/>
    <w:basedOn w:val="11"/>
    <w:link w:val="3"/>
    <w:semiHidden/>
    <w:uiPriority w:val="99"/>
  </w:style>
  <w:style w:type="character" w:customStyle="1" w:styleId="18">
    <w:name w:val="批注主题 字符"/>
    <w:basedOn w:val="17"/>
    <w:link w:val="8"/>
    <w:semiHidden/>
    <w:uiPriority w:val="99"/>
    <w:rPr>
      <w:b/>
      <w:bCs/>
    </w:rPr>
  </w:style>
  <w:style w:type="paragraph" w:customStyle="1" w:styleId="19">
    <w:name w:val="Revision"/>
    <w:semiHidden/>
    <w:uiPriority w:val="99"/>
    <w:rPr>
      <w:rFonts w:asciiTheme="minorHAnsi" w:hAnsiTheme="minorHAnsi" w:eastAsiaTheme="minorEastAsia" w:cstheme="minorBidi"/>
      <w:kern w:val="2"/>
      <w:sz w:val="21"/>
      <w:szCs w:val="22"/>
      <w:lang w:val="en-US" w:eastAsia="zh-CN" w:bidi="ar-SA"/>
    </w:rPr>
  </w:style>
  <w:style w:type="character" w:customStyle="1" w:styleId="20">
    <w:name w:val="标题 2 字符"/>
    <w:basedOn w:val="11"/>
    <w:link w:val="2"/>
    <w:uiPriority w:val="9"/>
    <w:rPr>
      <w:rFonts w:asciiTheme="majorHAnsi" w:hAnsiTheme="majorHAnsi" w:eastAsiaTheme="majorEastAsia" w:cstheme="majorBidi"/>
      <w:b/>
      <w:bCs/>
      <w:sz w:val="24"/>
      <w:szCs w:val="32"/>
    </w:rPr>
  </w:style>
  <w:style w:type="character" w:customStyle="1" w:styleId="21">
    <w:name w:val="正文文本 字符"/>
    <w:basedOn w:val="11"/>
    <w:link w:val="4"/>
    <w:uiPriority w:val="0"/>
    <w:rPr>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4E08-0D33-469D-87D7-E1BE188EF4A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2394</Words>
  <Characters>2491</Characters>
  <Lines>95</Lines>
  <Paragraphs>55</Paragraphs>
  <TotalTime>70</TotalTime>
  <ScaleCrop>false</ScaleCrop>
  <LinksUpToDate>false</LinksUpToDate>
  <CharactersWithSpaces>2586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2025-02-12T07:33:00Z</dcterms:created>
  <dc:creator>佳 杜</dc:creator>
  <cp:lastModifiedBy>cmaliujia</cp:lastModifiedBy>
  <dcterms:modified xsi:type="dcterms:W3CDTF">2026-04-23T06:29:54Z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eyJoZGlkIjoiYTQ4ODM0NThlOTBmNzExNGIyODc2YmYzYzhjNTQ2ZWQiLCJ1c2VySWQiOiI1NzU3MTg5NDAifQ==</vt:lpwstr>
  </property>
  <property fmtid="{D5CDD505-2E9C-101B-9397-08002B2CF9AE}" pid="3" name="KSOProductBuildVer">
    <vt:lpwstr>2052-12.1.0.25865</vt:lpwstr>
  </property>
  <property fmtid="{D5CDD505-2E9C-101B-9397-08002B2CF9AE}" pid="4" name="ICV">
    <vt:lpwstr>C8AD164F112346B483221455715E8AE0_12</vt:lpwstr>
  </property>
</Properties>
</file>