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11B4" w14:textId="77777777" w:rsidR="00DF3F5C" w:rsidRDefault="008C2D4C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688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372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科技</w:t>
      </w:r>
      <w:proofErr w:type="gramEnd"/>
    </w:p>
    <w:p w14:paraId="3CA4622F" w14:textId="77777777" w:rsidR="00DF3F5C" w:rsidRDefault="00DF3F5C">
      <w:pPr>
        <w:rPr>
          <w:rFonts w:ascii="Times New Roman" w:eastAsia="宋体" w:hAnsi="Times New Roman"/>
          <w:lang w:val="en-US"/>
        </w:rPr>
      </w:pPr>
    </w:p>
    <w:p w14:paraId="72A217B7" w14:textId="77777777" w:rsidR="00DF3F5C" w:rsidRDefault="008C2D4C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上海伟测半导体科技股份有限公司</w:t>
      </w:r>
    </w:p>
    <w:p w14:paraId="3603D426" w14:textId="77777777" w:rsidR="00DF3F5C" w:rsidRDefault="008C2D4C">
      <w:pPr>
        <w:spacing w:line="360" w:lineRule="auto"/>
        <w:jc w:val="center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投资者关系活动记录表</w:t>
      </w:r>
    </w:p>
    <w:p w14:paraId="177DF8B7" w14:textId="59F39726" w:rsidR="00DF3F5C" w:rsidRDefault="008C2D4C">
      <w:pPr>
        <w:spacing w:before="51" w:after="32"/>
        <w:ind w:right="19"/>
        <w:jc w:val="right"/>
        <w:rPr>
          <w:rFonts w:ascii="Times New Roman" w:eastAsia="宋体" w:hAnsi="Times New Roman" w:cs="宋体"/>
          <w:sz w:val="24"/>
          <w:szCs w:val="24"/>
          <w:lang w:val="en-US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编号：</w:t>
      </w:r>
      <w:r>
        <w:rPr>
          <w:rFonts w:ascii="Times New Roman" w:eastAsia="宋体" w:hAnsi="Times New Roman" w:cs="宋体" w:hint="eastAsia"/>
          <w:sz w:val="24"/>
          <w:szCs w:val="24"/>
          <w:lang w:val="en-US"/>
        </w:rPr>
        <w:t>202</w:t>
      </w:r>
      <w:r w:rsidR="005D6E65">
        <w:rPr>
          <w:rFonts w:ascii="Times New Roman" w:eastAsia="宋体" w:hAnsi="Times New Roman" w:cs="宋体" w:hint="eastAsia"/>
          <w:sz w:val="24"/>
          <w:szCs w:val="24"/>
          <w:lang w:val="en-US"/>
        </w:rPr>
        <w:t>6</w:t>
      </w:r>
      <w:r>
        <w:rPr>
          <w:rFonts w:ascii="Times New Roman" w:eastAsia="宋体" w:hAnsi="Times New Roman" w:cs="宋体" w:hint="eastAsia"/>
          <w:sz w:val="24"/>
          <w:szCs w:val="24"/>
        </w:rPr>
        <w:t>-00</w:t>
      </w:r>
      <w:r w:rsidR="005D6E65">
        <w:rPr>
          <w:rFonts w:ascii="Times New Roman" w:eastAsia="宋体" w:hAnsi="Times New Roman" w:cs="宋体" w:hint="eastAsia"/>
          <w:sz w:val="24"/>
          <w:szCs w:val="24"/>
          <w:lang w:val="en-US"/>
        </w:rPr>
        <w:t>1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7463"/>
      </w:tblGrid>
      <w:tr w:rsidR="00DF3F5C" w14:paraId="459B98A4" w14:textId="77777777">
        <w:trPr>
          <w:trHeight w:val="2801"/>
          <w:jc w:val="center"/>
        </w:trPr>
        <w:tc>
          <w:tcPr>
            <w:tcW w:w="1139" w:type="dxa"/>
            <w:vAlign w:val="center"/>
          </w:tcPr>
          <w:p w14:paraId="11AE9F3E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463" w:type="dxa"/>
          </w:tcPr>
          <w:p w14:paraId="42EEC4CD" w14:textId="77777777" w:rsidR="00DF3F5C" w:rsidRDefault="00DF3F5C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8831D41" w14:textId="77777777" w:rsidR="00DF3F5C" w:rsidRDefault="00583233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19BE919B" w14:textId="77777777" w:rsidR="00DF3F5C" w:rsidRDefault="00DF3F5C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F21A2E7" w14:textId="77777777" w:rsidR="00DF3F5C" w:rsidRDefault="00583233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3E812998" w14:textId="77777777" w:rsidR="00DF3F5C" w:rsidRDefault="00DF3F5C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BFC867" w14:textId="77777777" w:rsidR="00DF3F5C" w:rsidRDefault="00583233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3122382C" w14:textId="77777777" w:rsidR="00DF3F5C" w:rsidRDefault="00DF3F5C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8903ED" w14:textId="77777777" w:rsidR="00DF3F5C" w:rsidRDefault="00583233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 xml:space="preserve">现场访谈         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2044110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14:paraId="59C4796E" w14:textId="77777777" w:rsidR="00DF3F5C" w:rsidRDefault="00DF3F5C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F860F88" w14:textId="77777777" w:rsidR="00DF3F5C" w:rsidRDefault="00583233">
            <w:pPr>
              <w:pStyle w:val="TableParagraph"/>
              <w:ind w:left="107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 xml:space="preserve">其他 </w:t>
            </w:r>
            <w:r w:rsidR="008C2D4C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</w:p>
        </w:tc>
      </w:tr>
      <w:tr w:rsidR="00DF3F5C" w14:paraId="4224B6B1" w14:textId="77777777">
        <w:trPr>
          <w:trHeight w:val="485"/>
          <w:jc w:val="center"/>
        </w:trPr>
        <w:tc>
          <w:tcPr>
            <w:tcW w:w="1139" w:type="dxa"/>
            <w:vAlign w:val="center"/>
          </w:tcPr>
          <w:p w14:paraId="7E0305B3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463" w:type="dxa"/>
            <w:vAlign w:val="center"/>
          </w:tcPr>
          <w:p w14:paraId="2D304ABD" w14:textId="354B9438" w:rsidR="00DF3F5C" w:rsidRDefault="005D6E65" w:rsidP="005D6E65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全天候私募、东吴证券、</w:t>
            </w:r>
            <w:proofErr w:type="gramStart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中信保诚</w:t>
            </w:r>
            <w:proofErr w:type="gramEnd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、银华基金、华福证券、宏利香港、上海国际信托、博远基金、国泰海通、泰康基金、兴业银行、广发基金、华泰柏瑞基金、财</w:t>
            </w:r>
            <w:proofErr w:type="gramStart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通资管</w:t>
            </w:r>
            <w:proofErr w:type="gramEnd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、尚诚资产、富安达基金、交银施罗德基金、天风资管、国泰基金、景顺长城基金、</w:t>
            </w:r>
            <w:proofErr w:type="gramStart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圆信永丰</w:t>
            </w:r>
            <w:proofErr w:type="gramEnd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基金、博时基金、西部利得基金</w:t>
            </w:r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、华安基金、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创金合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信基金、平安基金、新华基金、中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信建投基金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、中金公司、国联安基金、申万菱信基金、华泰资管、金鹰基金、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利位投资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、人保资产、墨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钜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资产、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益恒投资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、</w:t>
            </w:r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UBS</w:t>
            </w:r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、摩根大通、国寿安保基金、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禾其投资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、霸菱投资、融通基金、才华资本、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沣</w:t>
            </w:r>
            <w:proofErr w:type="gramEnd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沛投资、国信证券、德</w:t>
            </w:r>
            <w:proofErr w:type="gramStart"/>
            <w:r w:rsidRPr="005D6E65">
              <w:rPr>
                <w:rFonts w:ascii="Times New Roman" w:eastAsia="宋体" w:hAnsi="Times New Roman" w:cs="宋体"/>
                <w:sz w:val="24"/>
                <w:szCs w:val="24"/>
              </w:rPr>
              <w:t>邦</w:t>
            </w:r>
            <w:proofErr w:type="gramEnd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证券、摩根士丹利基金、招商基金、中信期货、中邮证券、中银国际证券、长城财富保险资管、</w:t>
            </w:r>
            <w:proofErr w:type="gramStart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信达澳亚基</w:t>
            </w:r>
            <w:proofErr w:type="gramEnd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金、富国基金、同</w:t>
            </w:r>
            <w:proofErr w:type="gramStart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犇</w:t>
            </w:r>
            <w:proofErr w:type="gramEnd"/>
            <w:r w:rsidRPr="005D6E65">
              <w:rPr>
                <w:rFonts w:ascii="Times New Roman" w:eastAsia="宋体" w:hAnsi="Times New Roman" w:cs="宋体" w:hint="eastAsia"/>
                <w:sz w:val="24"/>
                <w:szCs w:val="24"/>
              </w:rPr>
              <w:t>投资、平石资产、中信证券、诺安基金、长盛基金</w:t>
            </w:r>
          </w:p>
        </w:tc>
      </w:tr>
      <w:tr w:rsidR="00DF3F5C" w14:paraId="425F98B1" w14:textId="77777777">
        <w:trPr>
          <w:trHeight w:val="558"/>
          <w:jc w:val="center"/>
        </w:trPr>
        <w:tc>
          <w:tcPr>
            <w:tcW w:w="1139" w:type="dxa"/>
            <w:vAlign w:val="center"/>
          </w:tcPr>
          <w:p w14:paraId="3C3F810D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463" w:type="dxa"/>
            <w:vAlign w:val="center"/>
          </w:tcPr>
          <w:p w14:paraId="66BF5A0A" w14:textId="53C018C5" w:rsidR="00DF3F5C" w:rsidRDefault="005D6E65" w:rsidP="005D6E65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2026</w:t>
            </w:r>
            <w:r w:rsidR="008C2D4C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</w:t>
            </w:r>
            <w:r w:rsidR="008C2D4C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="008C2D4C"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  <w:r w:rsidR="008C2D4C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DF3F5C" w14:paraId="15F15593" w14:textId="77777777">
        <w:trPr>
          <w:trHeight w:val="561"/>
          <w:jc w:val="center"/>
        </w:trPr>
        <w:tc>
          <w:tcPr>
            <w:tcW w:w="1139" w:type="dxa"/>
            <w:vAlign w:val="center"/>
          </w:tcPr>
          <w:p w14:paraId="23F08BB9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463" w:type="dxa"/>
            <w:vAlign w:val="center"/>
          </w:tcPr>
          <w:p w14:paraId="2FB4C04C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电话会议</w:t>
            </w:r>
          </w:p>
        </w:tc>
      </w:tr>
      <w:tr w:rsidR="00DF3F5C" w14:paraId="7858F3AA" w14:textId="77777777">
        <w:trPr>
          <w:trHeight w:val="643"/>
          <w:jc w:val="center"/>
        </w:trPr>
        <w:tc>
          <w:tcPr>
            <w:tcW w:w="1139" w:type="dxa"/>
            <w:vAlign w:val="center"/>
          </w:tcPr>
          <w:p w14:paraId="6F3F4F1F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7463" w:type="dxa"/>
            <w:vAlign w:val="center"/>
          </w:tcPr>
          <w:p w14:paraId="36734B09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董事、副总经理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财务总监王沛女士</w:t>
            </w:r>
          </w:p>
        </w:tc>
      </w:tr>
      <w:tr w:rsidR="00DF3F5C" w14:paraId="0DB8D9F1" w14:textId="77777777">
        <w:trPr>
          <w:trHeight w:val="2800"/>
          <w:jc w:val="center"/>
        </w:trPr>
        <w:tc>
          <w:tcPr>
            <w:tcW w:w="1139" w:type="dxa"/>
            <w:vAlign w:val="center"/>
          </w:tcPr>
          <w:p w14:paraId="7A6AFD28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463" w:type="dxa"/>
          </w:tcPr>
          <w:p w14:paraId="0E60D24A" w14:textId="53C38E87" w:rsidR="00DF3F5C" w:rsidRDefault="008C2D4C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一、董事、副总经理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财务总监王沛女士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介绍公司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年</w:t>
            </w:r>
            <w:r w:rsidR="005D6E6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年度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业绩与经营情况</w:t>
            </w:r>
          </w:p>
          <w:p w14:paraId="4CFA86ED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（一）财务状况</w:t>
            </w:r>
          </w:p>
          <w:p w14:paraId="3F5B1B66" w14:textId="41C6BF01" w:rsidR="00AE28B6" w:rsidRPr="00AE28B6" w:rsidRDefault="00AE28B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年受益于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AI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、</w:t>
            </w:r>
            <w:proofErr w:type="gramStart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智驾等</w:t>
            </w:r>
            <w:proofErr w:type="gramEnd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新兴领域的快速发展，半导体行业增长强劲。公司作为</w:t>
            </w:r>
            <w:proofErr w:type="gramStart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独立第三</w:t>
            </w:r>
            <w:proofErr w:type="gramEnd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方集成电路测试服务企业，是半导体制造环节的重要一环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年公司实现营业收入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157,464.24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万元，较上年同期增长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46.22%</w:t>
            </w:r>
            <w:r w:rsid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实现归属于上市公司股东的净利润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30,319.86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万元，较上期增长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136.45%</w:t>
            </w:r>
            <w:r w:rsid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实现归属于上市公司股东的扣除非经常性损益的净利润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22,659.71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万元，较上期增加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110.18%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年因股权激励确认的股份支付费用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3,786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6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</w:t>
            </w:r>
            <w:r w:rsidR="0001523E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元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剔除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股份支付影响</w:t>
            </w:r>
            <w:r w:rsidR="00474A2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后的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净利润约为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3.41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亿元。</w:t>
            </w:r>
          </w:p>
          <w:p w14:paraId="486EE9EA" w14:textId="100DC795" w:rsidR="00AE28B6" w:rsidRPr="00AE28B6" w:rsidRDefault="00AE28B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截止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12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月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31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日，</w:t>
            </w: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公司的总资产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77.26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</w:t>
            </w:r>
            <w:r w:rsidR="002A163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元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增长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57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.07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2A1636" w:rsidRP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归属于上市公司股东的净资产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29.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6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</w:t>
            </w:r>
            <w:r w:rsid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同比增长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13</w:t>
            </w:r>
            <w:r w:rsid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.30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，主</w:t>
            </w:r>
            <w:r w:rsidR="002A1636" w:rsidRPr="002A163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要由于公司于</w:t>
            </w:r>
            <w:r w:rsidR="002A1636" w:rsidRP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="002A1636" w:rsidRPr="002A163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年完成可转债发行，募集资金到账，同时公司处于高速扩张期，为扩大测试产能而购买相关测试设备、建设上海总部基地所致。</w:t>
            </w:r>
          </w:p>
          <w:p w14:paraId="621091A5" w14:textId="009A70FE" w:rsidR="00AE28B6" w:rsidRDefault="002A163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从单季度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看，第四季度的营收</w:t>
            </w:r>
            <w:r w:rsidR="0001523E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4.92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环比增长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9.76%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创出季度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营收的历史新高。</w:t>
            </w:r>
          </w:p>
          <w:p w14:paraId="1A6059EC" w14:textId="1431022D" w:rsidR="00EA2580" w:rsidRPr="00AE28B6" w:rsidRDefault="00EA2580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从各方面拆分下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年营收情况如下：</w:t>
            </w:r>
          </w:p>
          <w:p w14:paraId="7589A0A0" w14:textId="3FED7BC4" w:rsidR="00AE28B6" w:rsidRPr="00AE28B6" w:rsidRDefault="00AE28B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从产品类别上</w:t>
            </w:r>
            <w:r w:rsidR="0030160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划分</w:t>
            </w: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CP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FT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各占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58%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42%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CP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占比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同比有所下降，主要受</w:t>
            </w:r>
            <w:r w:rsidR="0030160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="0030160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年初生效的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BIS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新</w:t>
            </w:r>
            <w:proofErr w:type="gramStart"/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的影响，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而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FT</w:t>
            </w:r>
            <w:r w:rsidR="0030160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不受该影响</w:t>
            </w:r>
            <w:r w:rsidR="005B46BE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，且量有所增加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21064F1B" w14:textId="14B1F097" w:rsidR="00EA2580" w:rsidRDefault="00AE28B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从</w:t>
            </w:r>
            <w:r w:rsidR="00301608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中</w:t>
            </w:r>
            <w:r w:rsidR="0030160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/</w:t>
            </w: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高端</w:t>
            </w:r>
            <w:r w:rsidR="00EA6881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业务</w:t>
            </w:r>
            <w:r w:rsidR="0030160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划分</w:t>
            </w: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30160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年高端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和中端各占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7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1%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29%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3BE417B5" w14:textId="621BD042" w:rsidR="00AE28B6" w:rsidRPr="00AE28B6" w:rsidRDefault="00AE28B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从芯片的类别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划分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，消费电子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类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占比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59%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，工业类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占比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26%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，车</w:t>
            </w:r>
            <w:proofErr w:type="gramStart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类占比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15%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。与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年相比，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消费类占比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下降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了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5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个百分点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，工业类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占比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基本持平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车</w:t>
            </w:r>
            <w:proofErr w:type="gramStart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类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占比上升了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5.5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个百分点。车</w:t>
            </w:r>
            <w:proofErr w:type="gramStart"/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类营业收入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的绝对值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从九千多万元增长至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.2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元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增幅较</w:t>
            </w:r>
            <w:r w:rsidR="005B46BE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可观</w:t>
            </w:r>
            <w:r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2D9908C2" w14:textId="6C1B491A" w:rsidR="00EA2580" w:rsidRDefault="00AE28B6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从</w:t>
            </w:r>
            <w:proofErr w:type="gramStart"/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算力和非算力</w:t>
            </w:r>
            <w:proofErr w:type="gramEnd"/>
            <w:r w:rsidR="00EA6881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类别</w:t>
            </w:r>
            <w:r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划分，</w:t>
            </w:r>
            <w:proofErr w:type="gramStart"/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算力类和非算力类</w:t>
            </w:r>
            <w:proofErr w:type="gramEnd"/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各占</w:t>
            </w:r>
            <w:r w:rsidR="00EA2580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20%</w:t>
            </w:r>
            <w:r w:rsidR="00EA2580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80%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。</w:t>
            </w:r>
            <w:proofErr w:type="gramStart"/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算力类占比较</w:t>
            </w:r>
            <w:proofErr w:type="gramEnd"/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年提升</w:t>
            </w:r>
            <w:r w:rsidR="00EA6881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了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13.6</w:t>
            </w:r>
            <w:r w:rsidR="00EA2580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个百分点。</w:t>
            </w:r>
          </w:p>
          <w:p w14:paraId="66006824" w14:textId="150B03C5" w:rsidR="00AE28B6" w:rsidRPr="00AE28B6" w:rsidRDefault="007C7839" w:rsidP="00AE28B6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费用方面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整体是比较合理正常的。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销售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和管理费用的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增幅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lastRenderedPageBreak/>
              <w:t>都小于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公司营收的增幅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，大概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20%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左右。财务费用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同比增长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75%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增幅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较大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Pr="007C7839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主要</w:t>
            </w:r>
            <w:r w:rsidR="00B6080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由于</w:t>
            </w:r>
            <w:r w:rsidRPr="007C7839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Pr="007C783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5</w:t>
            </w:r>
            <w:r w:rsidRPr="007C783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4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月</w:t>
            </w:r>
            <w:r w:rsidR="00B6080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完成</w:t>
            </w:r>
            <w:r w:rsidRPr="007C783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发行可转换债券</w:t>
            </w:r>
            <w:r w:rsidR="00B6080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Pr="007C783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根据会计准则，采用实际利率法按市场利率确认负债成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分的利息费用，导致本期财务费用显著高于按票面利率计算的应付利息，其次</w:t>
            </w:r>
            <w:r w:rsidRPr="007C7839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公司目前正处于高速扩张期，为满足产能建设、研发投入及市场拓展等资本支出需求，银行借款等有息负债规模有所增加，相应推高了利息支出。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02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年研发</w:t>
            </w:r>
            <w:proofErr w:type="gramStart"/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费用占营收</w:t>
            </w:r>
            <w:proofErr w:type="gramEnd"/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比重为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10.92%</w:t>
            </w:r>
            <w:r w:rsidR="00AE28B6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同比下降了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2.3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个百分点，主要</w:t>
            </w:r>
            <w:r w:rsidR="00B6080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营业收入高速增长带来的结构稀释，未来占比逐年有所下降</w:t>
            </w:r>
            <w:r w:rsidR="00B6080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的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趋势可能持续。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但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研发费用的绝对值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依然增长，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研发费用</w:t>
            </w:r>
            <w:r w:rsidR="00B2686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同比增长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20.81%</w:t>
            </w:r>
            <w:r w:rsidR="00AE28B6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046077ED" w14:textId="79CB2644" w:rsidR="00DF3F5C" w:rsidRDefault="008C2D4C" w:rsidP="00604F3B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（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）业务布局与产能</w:t>
            </w:r>
          </w:p>
          <w:p w14:paraId="524F09BC" w14:textId="0193895A" w:rsidR="00B26867" w:rsidRPr="00AE28B6" w:rsidRDefault="003442FC" w:rsidP="00B26867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各地产能分布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情况：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无锡厂</w:t>
            </w:r>
            <w:r w:rsidR="00B26867" w:rsidRPr="00AE28B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占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比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50%</w:t>
            </w:r>
            <w:r w:rsidR="00B2686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以上，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上海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厂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和南京</w:t>
            </w:r>
            <w:r w:rsidR="00B2686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厂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差不多</w:t>
            </w:r>
            <w:r w:rsidR="00B2686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各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20%</w:t>
            </w:r>
            <w:r w:rsidR="00B2686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以上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剩下</w:t>
            </w:r>
            <w:r w:rsidR="00B2686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="00344E8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B2686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深圳厂</w:t>
            </w:r>
            <w:r w:rsidR="00B26867" w:rsidRPr="00AE28B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34D5CF0B" w14:textId="1C5F9BA2" w:rsidR="003442FC" w:rsidRDefault="003442F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目前上海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总部基地正在建设中，预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计今年年底完工，明年上半年启动从老基地到新总部的搬迁工作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，同时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还将进行设备更新投资。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通过搬迁后的空间优化与设备升级，预计将为公司带来新的增长空间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南京项目已经投入使用，目前仍在爬坡期，逐渐释放产能。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无锡项目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已经投产，一些大客户的业务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陆续在无锡新厂落地。长三角区域的生产空间已基本趋于稳定，未来将根据客户需求和市场动态，灵活调整产能布局。深圳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厂是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租赁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厂房，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目前也在装修并</w:t>
            </w:r>
            <w:r w:rsidRPr="003442F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扩产。</w:t>
            </w:r>
            <w:r w:rsidR="003B4B92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整体而言，</w:t>
            </w:r>
            <w:r w:rsidR="003B4B92" w:rsidRPr="003B4B92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公司将继续聚焦“高端芯片测试”和“高可靠性芯片测试”的新建产能项目建设、持续投入资金来采购与产能配套的关键测试设备、推进项目相关厂房及配套设施的装修建设等投资工作。</w:t>
            </w:r>
          </w:p>
          <w:p w14:paraId="7C00348F" w14:textId="77777777" w:rsidR="00DF3F5C" w:rsidRDefault="008C2D4C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2"/>
                <w:sz w:val="24"/>
                <w:szCs w:val="24"/>
                <w:lang w:val="en-US" w:bidi="ar-SA"/>
              </w:rPr>
              <w:t>二、投资者提问</w:t>
            </w:r>
            <w:bookmarkStart w:id="0" w:name="_GoBack"/>
            <w:bookmarkEnd w:id="0"/>
          </w:p>
          <w:p w14:paraId="621B0230" w14:textId="7341938F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3B4B9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测试的价格会涨嘛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B92D351" w14:textId="629C5DFA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3B4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老产品价格</w:t>
            </w:r>
            <w:r w:rsidR="008F78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比较稳定</w:t>
            </w:r>
            <w:r w:rsidR="003B4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，新产品</w:t>
            </w:r>
            <w:r w:rsidR="00EA68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价格</w:t>
            </w:r>
            <w:r w:rsidR="003B4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根据市场供需关系决定</w:t>
            </w:r>
            <w:r w:rsidR="008F78A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7571F9A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79537E" w14:textId="1225C5DA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3B4B9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高端测试机的交期怎么样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EA695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高端测试机是否会因为产能紧张而涨价？</w:t>
            </w:r>
          </w:p>
          <w:p w14:paraId="40A0F7CF" w14:textId="129475DE" w:rsidR="00EA6954" w:rsidRDefault="008C2D4C" w:rsidP="003B4B9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现在</w:t>
            </w:r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高端设备交期</w:t>
            </w:r>
            <w:r w:rsid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比之前有所延长</w:t>
            </w:r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，但我司采用长单锁定与滚</w:t>
            </w:r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动需求管理</w:t>
            </w:r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，结合较大的采购体量，有效对冲了交期压力，目前拉货节奏基本正常。价格方面影响不大，保持平稳。</w:t>
            </w:r>
          </w:p>
          <w:p w14:paraId="529BB1DE" w14:textId="697562B3" w:rsidR="00DF3F5C" w:rsidRPr="00C80FC9" w:rsidRDefault="00DF3F5C" w:rsidP="00EA6954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7A8DA6" w14:textId="63D6184E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EA695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C41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去年新增</w:t>
            </w:r>
            <w:r w:rsidR="00EA695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设备</w:t>
            </w:r>
            <w:r w:rsidR="000C41D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是否已经全部投产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A649010" w14:textId="05FA4B09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</w:t>
            </w:r>
            <w:r w:rsid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设备按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一台</w:t>
            </w:r>
            <w:proofErr w:type="gramStart"/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套</w:t>
            </w:r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</w:t>
            </w:r>
            <w:proofErr w:type="gramEnd"/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运行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，比如测试机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+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分选机或者测试机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+</w:t>
            </w:r>
            <w:r w:rsidR="000C41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探针台</w:t>
            </w:r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，不像</w:t>
            </w:r>
            <w:proofErr w:type="gramStart"/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产线需要</w:t>
            </w:r>
            <w:proofErr w:type="gramEnd"/>
            <w:r w:rsidR="00EA6954" w:rsidRPr="00EA69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全线调试。去年投入的</w:t>
            </w:r>
            <w:r w:rsidR="000C41DA">
              <w:rPr>
                <w:rFonts w:ascii="Times New Roman" w:eastAsia="宋体" w:hAnsi="Times New Roman" w:cs="Times New Roman"/>
                <w:sz w:val="24"/>
                <w:szCs w:val="24"/>
              </w:rPr>
              <w:t>设备</w:t>
            </w:r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，部分当年</w:t>
            </w:r>
            <w:proofErr w:type="gramStart"/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已转固并产生</w:t>
            </w:r>
            <w:proofErr w:type="gramEnd"/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收入；</w:t>
            </w:r>
            <w:r w:rsidR="000C41DA">
              <w:rPr>
                <w:rFonts w:ascii="Times New Roman" w:eastAsia="宋体" w:hAnsi="Times New Roman" w:cs="Times New Roman"/>
                <w:sz w:val="24"/>
                <w:szCs w:val="24"/>
              </w:rPr>
              <w:t>还有部分</w:t>
            </w:r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还在安装调试</w:t>
            </w:r>
            <w:r w:rsidR="000C41DA">
              <w:rPr>
                <w:rFonts w:ascii="Times New Roman" w:eastAsia="宋体" w:hAnsi="Times New Roman" w:cs="Times New Roman"/>
                <w:sz w:val="24"/>
                <w:szCs w:val="24"/>
              </w:rPr>
              <w:t>阶段</w:t>
            </w:r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，今年</w:t>
            </w:r>
            <w:proofErr w:type="gramStart"/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完成转固后会</w:t>
            </w:r>
            <w:proofErr w:type="gramEnd"/>
            <w:r w:rsidR="00EA6954" w:rsidRPr="00EA6954">
              <w:rPr>
                <w:rFonts w:ascii="Times New Roman" w:eastAsia="宋体" w:hAnsi="Times New Roman" w:cs="Times New Roman"/>
                <w:sz w:val="24"/>
                <w:szCs w:val="24"/>
              </w:rPr>
              <w:t>继续贡献收入。</w:t>
            </w:r>
          </w:p>
          <w:p w14:paraId="7E7893BE" w14:textId="77777777" w:rsidR="00DF3F5C" w:rsidRDefault="00DF3F5C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6BDB31" w14:textId="0DF924C4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1C75B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、去年和今年</w:t>
            </w:r>
            <w:r w:rsidR="001C75B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capex</w:t>
            </w:r>
            <w:r w:rsidR="001C75B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877D3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及资金来源？</w:t>
            </w:r>
          </w:p>
          <w:p w14:paraId="114EC2D8" w14:textId="1635E85A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年，资本性支出为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亿元，其中设备支出为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亿元左右。</w:t>
            </w:r>
            <w:r w:rsidR="001C75BD" w:rsidRP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基于对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智驾新兴</w:t>
            </w:r>
            <w:proofErr w:type="gramEnd"/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</w:t>
            </w:r>
            <w:r w:rsidR="001C75BD" w:rsidRP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未来增长潜力的乐观判断与长期看好，</w:t>
            </w:r>
            <w:r w:rsidR="001C75BD" w:rsidRPr="001C75BD">
              <w:rPr>
                <w:rFonts w:ascii="Times New Roman" w:eastAsia="宋体" w:hAnsi="Times New Roman" w:cs="Times New Roman"/>
                <w:sz w:val="24"/>
                <w:szCs w:val="24"/>
              </w:rPr>
              <w:t>capex</w:t>
            </w:r>
            <w:r w:rsidR="001C75BD">
              <w:rPr>
                <w:rFonts w:ascii="Times New Roman" w:eastAsia="宋体" w:hAnsi="Times New Roman" w:cs="Times New Roman"/>
                <w:sz w:val="24"/>
                <w:szCs w:val="24"/>
              </w:rPr>
              <w:t>依然会</w:t>
            </w:r>
            <w:r w:rsidR="001C75BD" w:rsidRP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保持一个持续、稳定且有规划的递增态势，以确保我们能够抓住市场扩容带来的机遇，巩固竞争优势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877D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目前主要是通过自有资金和</w:t>
            </w:r>
            <w:r w:rsidR="00877D31" w:rsidRPr="00877D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银行贷款的方式</w:t>
            </w:r>
            <w:r w:rsidR="00877D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进行投资。</w:t>
            </w:r>
          </w:p>
          <w:p w14:paraId="57FB5789" w14:textId="77777777" w:rsidR="00DE4DE7" w:rsidRDefault="00DE4DE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D65277" w14:textId="4A3BFAB7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1C75BD" w:rsidRPr="001C75B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产能利用率</w:t>
            </w:r>
            <w:r w:rsidR="001C75B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  <w:r w:rsidR="008C2D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8C2D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089CC60" w14:textId="43ACF9F8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1C75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一季度由于春节及周期性因素影响仍是行业淡季，产能利用率预计依然维持逐季提升的态势。</w:t>
            </w:r>
          </w:p>
          <w:p w14:paraId="6A990F6F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79BB55" w14:textId="1D1919D2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877D3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预计今年折旧费用</w:t>
            </w:r>
            <w:r w:rsidR="008C2D4C" w:rsidRPr="00877D3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44C05B7E" w14:textId="23CE2F9E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877D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77D31">
              <w:rPr>
                <w:rFonts w:ascii="Times New Roman" w:eastAsia="宋体" w:hAnsi="Times New Roman" w:cs="Times New Roman"/>
                <w:sz w:val="24"/>
                <w:szCs w:val="24"/>
              </w:rPr>
              <w:t>折旧费用</w:t>
            </w:r>
            <w:r w:rsidR="00877D31" w:rsidRPr="00B8651C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877D31" w:rsidRPr="00B8651C">
              <w:rPr>
                <w:rFonts w:ascii="Times New Roman" w:eastAsia="宋体" w:hAnsi="Times New Roman" w:cs="Times New Roman"/>
                <w:sz w:val="24"/>
                <w:szCs w:val="24"/>
              </w:rPr>
              <w:t>4.36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亿</w:t>
            </w:r>
            <w:r w:rsidR="00877D31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877D3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02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77D31">
              <w:rPr>
                <w:rFonts w:ascii="Times New Roman" w:eastAsia="宋体" w:hAnsi="Times New Roman" w:cs="Times New Roman"/>
                <w:sz w:val="24"/>
                <w:szCs w:val="24"/>
              </w:rPr>
              <w:t>预估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大概</w:t>
            </w:r>
            <w:r w:rsidR="00F54764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7.7</w:t>
            </w:r>
            <w:r w:rsidR="00877D31" w:rsidRPr="00877D31">
              <w:rPr>
                <w:rFonts w:ascii="Times New Roman" w:eastAsia="宋体" w:hAnsi="Times New Roman" w:cs="Times New Roman"/>
                <w:sz w:val="24"/>
                <w:szCs w:val="24"/>
              </w:rPr>
              <w:t>亿</w:t>
            </w:r>
            <w:r w:rsidR="00877D31">
              <w:rPr>
                <w:rFonts w:ascii="Times New Roman" w:eastAsia="宋体" w:hAnsi="Times New Roman" w:cs="Times New Roman"/>
                <w:sz w:val="24"/>
                <w:szCs w:val="24"/>
              </w:rPr>
              <w:t>元左右。实际情况还要根据投入金额和</w:t>
            </w:r>
            <w:proofErr w:type="gramStart"/>
            <w:r w:rsidR="00877D31">
              <w:rPr>
                <w:rFonts w:ascii="Times New Roman" w:eastAsia="宋体" w:hAnsi="Times New Roman" w:cs="Times New Roman"/>
                <w:sz w:val="24"/>
                <w:szCs w:val="24"/>
              </w:rPr>
              <w:t>后续转固节奏</w:t>
            </w:r>
            <w:proofErr w:type="gramEnd"/>
            <w:r w:rsidR="00877D31">
              <w:rPr>
                <w:rFonts w:ascii="Times New Roman" w:eastAsia="宋体" w:hAnsi="Times New Roman" w:cs="Times New Roman"/>
                <w:sz w:val="24"/>
                <w:szCs w:val="24"/>
              </w:rPr>
              <w:t>确定。</w:t>
            </w:r>
          </w:p>
          <w:p w14:paraId="7C280DA3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C9D9D72" w14:textId="545C705B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A32A5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高端测试机的数量</w:t>
            </w:r>
            <w:proofErr w:type="gramStart"/>
            <w:r w:rsidR="00A32A5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及测什么</w:t>
            </w:r>
            <w:proofErr w:type="gramEnd"/>
            <w:r w:rsidR="00A32A5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类型的芯片？</w:t>
            </w:r>
          </w:p>
          <w:p w14:paraId="21889253" w14:textId="3805742D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公司总</w:t>
            </w:r>
            <w:r w:rsidR="0097232E">
              <w:rPr>
                <w:rFonts w:ascii="Times New Roman" w:eastAsia="宋体" w:hAnsi="Times New Roman" w:cs="Times New Roman"/>
                <w:sz w:val="24"/>
                <w:szCs w:val="24"/>
              </w:rPr>
              <w:t>共有</w:t>
            </w:r>
            <w:r w:rsidR="009723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97232E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="0097232E">
              <w:rPr>
                <w:rFonts w:ascii="Times New Roman" w:eastAsia="宋体" w:hAnsi="Times New Roman" w:cs="Times New Roman"/>
                <w:sz w:val="24"/>
                <w:szCs w:val="24"/>
              </w:rPr>
              <w:t>台以上</w:t>
            </w:r>
            <w:r w:rsidR="00A32A51" w:rsidRP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测试机。</w:t>
            </w:r>
            <w:proofErr w:type="gramStart"/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算力和非算力</w:t>
            </w:r>
            <w:proofErr w:type="gramEnd"/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的类型</w:t>
            </w:r>
            <w:r w:rsidR="009723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都可以</w:t>
            </w:r>
            <w:r w:rsidR="00F547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用高端测试机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</w:t>
            </w:r>
            <w:r w:rsidR="00F547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，用什么型号的机台主要取决于客户的</w:t>
            </w:r>
            <w:proofErr w:type="gramStart"/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考量</w:t>
            </w:r>
            <w:proofErr w:type="gramEnd"/>
            <w:r w:rsidR="009723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和选型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47B65E5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09E438" w14:textId="3BF53145" w:rsidR="00DF3F5C" w:rsidRDefault="00C80FC9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BE502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2025</w:t>
            </w:r>
            <w:r w:rsidR="00BE502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年第四季度毛利率环比下降的原因</w:t>
            </w:r>
            <w:r w:rsidR="008C2D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17FC9AC" w14:textId="1B1AA01A" w:rsidR="00DF3F5C" w:rsidRDefault="008C2D4C" w:rsidP="00BE502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BE50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BE50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年第四季的毛利</w:t>
            </w:r>
            <w:r w:rsidR="00BE502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率</w:t>
            </w:r>
            <w:r w:rsidR="00A32A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环比有所下降的主要</w:t>
            </w:r>
            <w:r w:rsidR="003449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原因是第四季度为客户提供的配套测试业务比如</w:t>
            </w:r>
            <w:r w:rsidR="003449A4">
              <w:rPr>
                <w:rFonts w:ascii="Times New Roman" w:eastAsia="宋体" w:hAnsi="Times New Roman" w:cs="Times New Roman"/>
                <w:sz w:val="24"/>
                <w:szCs w:val="24"/>
              </w:rPr>
              <w:t>老化测试、</w:t>
            </w:r>
            <w:r w:rsidR="003449A4" w:rsidRPr="00A32A51">
              <w:rPr>
                <w:rFonts w:ascii="Times New Roman" w:eastAsia="宋体" w:hAnsi="Times New Roman" w:cs="Times New Roman"/>
                <w:sz w:val="24"/>
                <w:szCs w:val="24"/>
              </w:rPr>
              <w:t>SLT</w:t>
            </w:r>
            <w:r w:rsidR="003449A4">
              <w:rPr>
                <w:rFonts w:ascii="Times New Roman" w:eastAsia="宋体" w:hAnsi="Times New Roman" w:cs="Times New Roman"/>
                <w:sz w:val="24"/>
                <w:szCs w:val="24"/>
              </w:rPr>
              <w:t>测试和</w:t>
            </w:r>
            <w:r w:rsidR="003449A4" w:rsidRPr="003449A4">
              <w:rPr>
                <w:rFonts w:ascii="Times New Roman" w:eastAsia="宋体" w:hAnsi="Times New Roman" w:cs="Times New Roman"/>
                <w:sz w:val="24"/>
                <w:szCs w:val="24"/>
              </w:rPr>
              <w:t>leadscan</w:t>
            </w:r>
            <w:r w:rsidR="003449A4">
              <w:rPr>
                <w:rFonts w:ascii="Times New Roman" w:eastAsia="宋体" w:hAnsi="Times New Roman" w:cs="Times New Roman"/>
                <w:sz w:val="24"/>
                <w:szCs w:val="24"/>
              </w:rPr>
              <w:t>等业务量增幅较大，这一类的</w:t>
            </w:r>
            <w:proofErr w:type="gramStart"/>
            <w:r w:rsidR="003449A4">
              <w:rPr>
                <w:rFonts w:ascii="Times New Roman" w:eastAsia="宋体" w:hAnsi="Times New Roman" w:cs="Times New Roman"/>
                <w:sz w:val="24"/>
                <w:szCs w:val="24"/>
              </w:rPr>
              <w:t>配套业务</w:t>
            </w:r>
            <w:proofErr w:type="gramEnd"/>
            <w:r w:rsidR="003449A4">
              <w:rPr>
                <w:rFonts w:ascii="Times New Roman" w:eastAsia="宋体" w:hAnsi="Times New Roman" w:cs="Times New Roman"/>
                <w:sz w:val="24"/>
                <w:szCs w:val="24"/>
              </w:rPr>
              <w:t>归类为</w:t>
            </w:r>
            <w:r w:rsidR="00BE50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中端业务，导致去年第四季度中</w:t>
            </w:r>
            <w:proofErr w:type="gramStart"/>
            <w:r w:rsidR="00BE50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端业务</w:t>
            </w:r>
            <w:proofErr w:type="gramEnd"/>
            <w:r w:rsidR="00BE50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占比有所提升并拉低了第四季度的毛利</w:t>
            </w:r>
            <w:r w:rsidR="00BE502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率</w:t>
            </w:r>
            <w:r w:rsidR="003449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408B14F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B23426" w14:textId="1DE14FCA" w:rsidR="00DF3F5C" w:rsidRPr="007B35E2" w:rsidRDefault="00C80FC9" w:rsidP="007B35E2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8C2D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 w:rsidR="007B35E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需要</w:t>
            </w:r>
            <w:proofErr w:type="gramStart"/>
            <w:r w:rsidR="007B35E2" w:rsidRPr="007B35E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测试全</w:t>
            </w:r>
            <w:proofErr w:type="gramEnd"/>
            <w:r w:rsidR="007B35E2" w:rsidRPr="007B35E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链条</w:t>
            </w:r>
            <w:r w:rsidR="007B35E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服务的客户主要是哪种类型</w:t>
            </w:r>
            <w:r w:rsidR="008C2D4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？</w:t>
            </w:r>
          </w:p>
          <w:p w14:paraId="3752FF5F" w14:textId="48DC7202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7B35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主要是</w:t>
            </w:r>
            <w:proofErr w:type="gramStart"/>
            <w:r w:rsidR="007B35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算力类、智驾类</w:t>
            </w:r>
            <w:proofErr w:type="gramEnd"/>
            <w:r w:rsidR="009723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以及工业类</w:t>
            </w:r>
            <w:r w:rsidR="007B35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客户</w:t>
            </w:r>
            <w:r w:rsidR="00652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536B2AE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94513F" w14:textId="43E34FAE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C80FC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 w:rsidR="00BF1A6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今年</w:t>
            </w:r>
            <w:r w:rsidR="007B35E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存储</w:t>
            </w:r>
            <w:r w:rsidR="00BF1A6E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类是否有所提升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？</w:t>
            </w:r>
          </w:p>
          <w:p w14:paraId="7BA527BB" w14:textId="5623CDA4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BF1A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公司目前主要测试的存储类产品为</w:t>
            </w:r>
            <w:r w:rsidR="00BF1A6E" w:rsidRPr="00BF1A6E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="00BF1A6E">
              <w:rPr>
                <w:rFonts w:ascii="Times New Roman" w:eastAsia="宋体" w:hAnsi="Times New Roman" w:cs="Times New Roman"/>
                <w:sz w:val="24"/>
                <w:szCs w:val="24"/>
              </w:rPr>
              <w:t>or</w:t>
            </w:r>
            <w:r w:rsidR="00BF1A6E" w:rsidRPr="00BF1A6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Flash</w:t>
            </w:r>
            <w:r w:rsidR="00BF1A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，预计今年该类业务同比去年有所增长</w:t>
            </w:r>
            <w:r w:rsidR="007B35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093DA63" w14:textId="247755DA" w:rsidR="00E00DEC" w:rsidRDefault="00E00DEC" w:rsidP="00BF1A6E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3F5C" w14:paraId="6C7F4666" w14:textId="77777777">
        <w:trPr>
          <w:trHeight w:val="1433"/>
          <w:jc w:val="center"/>
        </w:trPr>
        <w:tc>
          <w:tcPr>
            <w:tcW w:w="1139" w:type="dxa"/>
            <w:vAlign w:val="center"/>
          </w:tcPr>
          <w:p w14:paraId="7E8B0EAF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7463" w:type="dxa"/>
          </w:tcPr>
          <w:p w14:paraId="530EDC9E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以上如涉及对行业的预测、公司发展规划等相关内容，不代表公司或公司管理层对行业、公司发展或业绩的盈利预测和承诺，不构成公司对投资者的实质性承诺，敬请广大投资者注意投资风险。</w:t>
            </w:r>
          </w:p>
        </w:tc>
      </w:tr>
      <w:tr w:rsidR="00DF3F5C" w14:paraId="4225B1AD" w14:textId="77777777">
        <w:trPr>
          <w:trHeight w:val="599"/>
          <w:jc w:val="center"/>
        </w:trPr>
        <w:tc>
          <w:tcPr>
            <w:tcW w:w="1139" w:type="dxa"/>
            <w:vAlign w:val="center"/>
          </w:tcPr>
          <w:p w14:paraId="21A6E327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463" w:type="dxa"/>
            <w:vAlign w:val="center"/>
          </w:tcPr>
          <w:p w14:paraId="7EE7F072" w14:textId="77777777" w:rsidR="00DF3F5C" w:rsidRDefault="008C2D4C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4"/>
                <w:szCs w:val="24"/>
                <w:lang w:val="en-US" w:eastAsia="zh-Hans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无</w:t>
            </w:r>
          </w:p>
        </w:tc>
      </w:tr>
    </w:tbl>
    <w:p w14:paraId="655743AE" w14:textId="77777777" w:rsidR="00DF3F5C" w:rsidRDefault="00DF3F5C">
      <w:pPr>
        <w:pStyle w:val="paragraph"/>
        <w:spacing w:before="0" w:beforeAutospacing="0" w:afterLines="100" w:after="240" w:afterAutospacing="0"/>
        <w:jc w:val="both"/>
        <w:rPr>
          <w:rFonts w:ascii="Times New Roman" w:eastAsia="宋体" w:hAnsi="Times New Roman"/>
          <w:color w:val="000000"/>
        </w:rPr>
      </w:pPr>
    </w:p>
    <w:sectPr w:rsidR="00DF3F5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74F5C" w14:textId="77777777" w:rsidR="00583233" w:rsidRDefault="00583233" w:rsidP="00097FCB">
      <w:r>
        <w:separator/>
      </w:r>
    </w:p>
  </w:endnote>
  <w:endnote w:type="continuationSeparator" w:id="0">
    <w:p w14:paraId="66652FE8" w14:textId="77777777" w:rsidR="00583233" w:rsidRDefault="00583233" w:rsidP="000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3828D" w14:textId="77777777" w:rsidR="00583233" w:rsidRDefault="00583233" w:rsidP="00097FCB">
      <w:r>
        <w:separator/>
      </w:r>
    </w:p>
  </w:footnote>
  <w:footnote w:type="continuationSeparator" w:id="0">
    <w:p w14:paraId="05EA84D9" w14:textId="77777777" w:rsidR="00583233" w:rsidRDefault="00583233" w:rsidP="00097FC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Pei">
    <w15:presenceInfo w15:providerId="AD" w15:userId="S-1-5-21-3292799169-1765499166-59751486-1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1523E"/>
    <w:rsid w:val="00026CC3"/>
    <w:rsid w:val="00036089"/>
    <w:rsid w:val="00053CFA"/>
    <w:rsid w:val="000577F8"/>
    <w:rsid w:val="000633EC"/>
    <w:rsid w:val="00063804"/>
    <w:rsid w:val="000665A2"/>
    <w:rsid w:val="00070D81"/>
    <w:rsid w:val="000759D7"/>
    <w:rsid w:val="00082944"/>
    <w:rsid w:val="000857A4"/>
    <w:rsid w:val="000877AB"/>
    <w:rsid w:val="0009126F"/>
    <w:rsid w:val="00097FCB"/>
    <w:rsid w:val="000A2828"/>
    <w:rsid w:val="000A44DE"/>
    <w:rsid w:val="000B75BA"/>
    <w:rsid w:val="000B7C08"/>
    <w:rsid w:val="000C41DA"/>
    <w:rsid w:val="000D12CF"/>
    <w:rsid w:val="000D2D88"/>
    <w:rsid w:val="000D658C"/>
    <w:rsid w:val="000E4B20"/>
    <w:rsid w:val="000E4FCF"/>
    <w:rsid w:val="000F5CFF"/>
    <w:rsid w:val="000F7B52"/>
    <w:rsid w:val="0011418F"/>
    <w:rsid w:val="00117B1D"/>
    <w:rsid w:val="0012250D"/>
    <w:rsid w:val="0013206B"/>
    <w:rsid w:val="00150BC8"/>
    <w:rsid w:val="00172C24"/>
    <w:rsid w:val="00173C36"/>
    <w:rsid w:val="00173DE7"/>
    <w:rsid w:val="001778F6"/>
    <w:rsid w:val="001818AD"/>
    <w:rsid w:val="00190FE3"/>
    <w:rsid w:val="001918C4"/>
    <w:rsid w:val="001A57E3"/>
    <w:rsid w:val="001B4711"/>
    <w:rsid w:val="001B559B"/>
    <w:rsid w:val="001C1D90"/>
    <w:rsid w:val="001C7260"/>
    <w:rsid w:val="001C75BD"/>
    <w:rsid w:val="001D2D55"/>
    <w:rsid w:val="001E1886"/>
    <w:rsid w:val="001E59D1"/>
    <w:rsid w:val="001E5EA4"/>
    <w:rsid w:val="001F1EE1"/>
    <w:rsid w:val="001F7884"/>
    <w:rsid w:val="002042A7"/>
    <w:rsid w:val="002051AE"/>
    <w:rsid w:val="00205911"/>
    <w:rsid w:val="002146AD"/>
    <w:rsid w:val="002348D1"/>
    <w:rsid w:val="0024262E"/>
    <w:rsid w:val="002618DB"/>
    <w:rsid w:val="002676DB"/>
    <w:rsid w:val="00275CB6"/>
    <w:rsid w:val="002800B5"/>
    <w:rsid w:val="00285CD0"/>
    <w:rsid w:val="00290116"/>
    <w:rsid w:val="00293238"/>
    <w:rsid w:val="00295331"/>
    <w:rsid w:val="00295B29"/>
    <w:rsid w:val="0029704C"/>
    <w:rsid w:val="00297501"/>
    <w:rsid w:val="002A1636"/>
    <w:rsid w:val="002B45D2"/>
    <w:rsid w:val="002B62C3"/>
    <w:rsid w:val="002C13E4"/>
    <w:rsid w:val="002C4055"/>
    <w:rsid w:val="002C549B"/>
    <w:rsid w:val="002C6F3D"/>
    <w:rsid w:val="002D1A46"/>
    <w:rsid w:val="002D2CE3"/>
    <w:rsid w:val="002D355E"/>
    <w:rsid w:val="002D4073"/>
    <w:rsid w:val="002E7098"/>
    <w:rsid w:val="002F5191"/>
    <w:rsid w:val="002F63BE"/>
    <w:rsid w:val="00301608"/>
    <w:rsid w:val="00301D32"/>
    <w:rsid w:val="0030456B"/>
    <w:rsid w:val="00306A62"/>
    <w:rsid w:val="00307E23"/>
    <w:rsid w:val="0031357A"/>
    <w:rsid w:val="00322733"/>
    <w:rsid w:val="003442FC"/>
    <w:rsid w:val="003449A4"/>
    <w:rsid w:val="00344E88"/>
    <w:rsid w:val="00347CB6"/>
    <w:rsid w:val="00351E4A"/>
    <w:rsid w:val="0035561C"/>
    <w:rsid w:val="00357807"/>
    <w:rsid w:val="003578E8"/>
    <w:rsid w:val="00366FAD"/>
    <w:rsid w:val="0036713B"/>
    <w:rsid w:val="0037105B"/>
    <w:rsid w:val="0038006C"/>
    <w:rsid w:val="0039316F"/>
    <w:rsid w:val="003975BA"/>
    <w:rsid w:val="003A2B26"/>
    <w:rsid w:val="003A74E6"/>
    <w:rsid w:val="003B4B92"/>
    <w:rsid w:val="003B73DD"/>
    <w:rsid w:val="003C7C2F"/>
    <w:rsid w:val="003D011C"/>
    <w:rsid w:val="003F6D3C"/>
    <w:rsid w:val="00401496"/>
    <w:rsid w:val="00403B08"/>
    <w:rsid w:val="004108C7"/>
    <w:rsid w:val="00412DC2"/>
    <w:rsid w:val="004146AD"/>
    <w:rsid w:val="004350A0"/>
    <w:rsid w:val="004368FF"/>
    <w:rsid w:val="00440041"/>
    <w:rsid w:val="00443FE5"/>
    <w:rsid w:val="00451268"/>
    <w:rsid w:val="004515AD"/>
    <w:rsid w:val="00451857"/>
    <w:rsid w:val="00453516"/>
    <w:rsid w:val="0045629D"/>
    <w:rsid w:val="00457548"/>
    <w:rsid w:val="00461796"/>
    <w:rsid w:val="0046309A"/>
    <w:rsid w:val="004632DA"/>
    <w:rsid w:val="00463650"/>
    <w:rsid w:val="00470DB2"/>
    <w:rsid w:val="00474A28"/>
    <w:rsid w:val="00480ACA"/>
    <w:rsid w:val="00482DDD"/>
    <w:rsid w:val="00483B65"/>
    <w:rsid w:val="0048425F"/>
    <w:rsid w:val="00485A3F"/>
    <w:rsid w:val="004925E7"/>
    <w:rsid w:val="00495B11"/>
    <w:rsid w:val="004B0DE7"/>
    <w:rsid w:val="004C4F91"/>
    <w:rsid w:val="004D414E"/>
    <w:rsid w:val="004D503C"/>
    <w:rsid w:val="004E286B"/>
    <w:rsid w:val="004E3894"/>
    <w:rsid w:val="004E4304"/>
    <w:rsid w:val="004E43C1"/>
    <w:rsid w:val="004E4491"/>
    <w:rsid w:val="004F0F72"/>
    <w:rsid w:val="004F1B91"/>
    <w:rsid w:val="004F6FF3"/>
    <w:rsid w:val="00500908"/>
    <w:rsid w:val="00507A0D"/>
    <w:rsid w:val="0051181D"/>
    <w:rsid w:val="00522E31"/>
    <w:rsid w:val="00524AC9"/>
    <w:rsid w:val="00525CFE"/>
    <w:rsid w:val="00533E07"/>
    <w:rsid w:val="00544AD9"/>
    <w:rsid w:val="005458CF"/>
    <w:rsid w:val="005540AA"/>
    <w:rsid w:val="00571B49"/>
    <w:rsid w:val="005743AE"/>
    <w:rsid w:val="005762CD"/>
    <w:rsid w:val="00583233"/>
    <w:rsid w:val="005869A1"/>
    <w:rsid w:val="005934B2"/>
    <w:rsid w:val="0059477D"/>
    <w:rsid w:val="005972A6"/>
    <w:rsid w:val="005A3F66"/>
    <w:rsid w:val="005B313C"/>
    <w:rsid w:val="005B46BE"/>
    <w:rsid w:val="005B482C"/>
    <w:rsid w:val="005D0DCE"/>
    <w:rsid w:val="005D30A7"/>
    <w:rsid w:val="005D64CA"/>
    <w:rsid w:val="005D6E65"/>
    <w:rsid w:val="005E2FC7"/>
    <w:rsid w:val="005E5717"/>
    <w:rsid w:val="005E6DB2"/>
    <w:rsid w:val="005F44BD"/>
    <w:rsid w:val="005F709A"/>
    <w:rsid w:val="00604F3B"/>
    <w:rsid w:val="00611393"/>
    <w:rsid w:val="00611E0E"/>
    <w:rsid w:val="0061433E"/>
    <w:rsid w:val="006159E3"/>
    <w:rsid w:val="00616F76"/>
    <w:rsid w:val="00616FDF"/>
    <w:rsid w:val="0062246F"/>
    <w:rsid w:val="0062751D"/>
    <w:rsid w:val="00627BB3"/>
    <w:rsid w:val="0063059B"/>
    <w:rsid w:val="00631087"/>
    <w:rsid w:val="006354AA"/>
    <w:rsid w:val="00642556"/>
    <w:rsid w:val="0064351C"/>
    <w:rsid w:val="00652735"/>
    <w:rsid w:val="00661AFA"/>
    <w:rsid w:val="0066788C"/>
    <w:rsid w:val="006726BF"/>
    <w:rsid w:val="00675B49"/>
    <w:rsid w:val="00677B77"/>
    <w:rsid w:val="0068718A"/>
    <w:rsid w:val="0069089C"/>
    <w:rsid w:val="006960E7"/>
    <w:rsid w:val="00696FCC"/>
    <w:rsid w:val="006A2286"/>
    <w:rsid w:val="006A2739"/>
    <w:rsid w:val="006A57E2"/>
    <w:rsid w:val="006B5C95"/>
    <w:rsid w:val="006B7293"/>
    <w:rsid w:val="006C0CED"/>
    <w:rsid w:val="006D1AD0"/>
    <w:rsid w:val="006D44A3"/>
    <w:rsid w:val="006D544A"/>
    <w:rsid w:val="006D737E"/>
    <w:rsid w:val="006E14B0"/>
    <w:rsid w:val="006E66E1"/>
    <w:rsid w:val="006F0108"/>
    <w:rsid w:val="006F4275"/>
    <w:rsid w:val="006F4608"/>
    <w:rsid w:val="006F672A"/>
    <w:rsid w:val="00704AE6"/>
    <w:rsid w:val="00711DB3"/>
    <w:rsid w:val="007153A2"/>
    <w:rsid w:val="007205DC"/>
    <w:rsid w:val="00724A68"/>
    <w:rsid w:val="007271BF"/>
    <w:rsid w:val="00727DDE"/>
    <w:rsid w:val="00730DD3"/>
    <w:rsid w:val="00733224"/>
    <w:rsid w:val="00733C9A"/>
    <w:rsid w:val="00741E7A"/>
    <w:rsid w:val="00744BA0"/>
    <w:rsid w:val="00755F0F"/>
    <w:rsid w:val="00756904"/>
    <w:rsid w:val="00763EA3"/>
    <w:rsid w:val="00764128"/>
    <w:rsid w:val="00767AE4"/>
    <w:rsid w:val="007817AF"/>
    <w:rsid w:val="007824B8"/>
    <w:rsid w:val="00785B39"/>
    <w:rsid w:val="007910DD"/>
    <w:rsid w:val="00795B68"/>
    <w:rsid w:val="007A3EC1"/>
    <w:rsid w:val="007B3368"/>
    <w:rsid w:val="007B35E2"/>
    <w:rsid w:val="007C10BC"/>
    <w:rsid w:val="007C1D25"/>
    <w:rsid w:val="007C37B9"/>
    <w:rsid w:val="007C3CA9"/>
    <w:rsid w:val="007C68E1"/>
    <w:rsid w:val="007C7017"/>
    <w:rsid w:val="007C7839"/>
    <w:rsid w:val="007D0A69"/>
    <w:rsid w:val="007D64BB"/>
    <w:rsid w:val="007D6DC4"/>
    <w:rsid w:val="007F529A"/>
    <w:rsid w:val="00807FCD"/>
    <w:rsid w:val="00810505"/>
    <w:rsid w:val="00812425"/>
    <w:rsid w:val="00812598"/>
    <w:rsid w:val="008160A0"/>
    <w:rsid w:val="00830491"/>
    <w:rsid w:val="00831107"/>
    <w:rsid w:val="00832BF4"/>
    <w:rsid w:val="0083536E"/>
    <w:rsid w:val="00840B10"/>
    <w:rsid w:val="00840FC0"/>
    <w:rsid w:val="008467EA"/>
    <w:rsid w:val="0085308D"/>
    <w:rsid w:val="00853463"/>
    <w:rsid w:val="00856D25"/>
    <w:rsid w:val="008615C6"/>
    <w:rsid w:val="00870A23"/>
    <w:rsid w:val="00876634"/>
    <w:rsid w:val="00877D31"/>
    <w:rsid w:val="00890268"/>
    <w:rsid w:val="00893F25"/>
    <w:rsid w:val="008949B2"/>
    <w:rsid w:val="00895035"/>
    <w:rsid w:val="008977AF"/>
    <w:rsid w:val="008A1E07"/>
    <w:rsid w:val="008B2B14"/>
    <w:rsid w:val="008B57AA"/>
    <w:rsid w:val="008B6464"/>
    <w:rsid w:val="008C1BE0"/>
    <w:rsid w:val="008C2D4C"/>
    <w:rsid w:val="008C6AED"/>
    <w:rsid w:val="008C7604"/>
    <w:rsid w:val="008D2EAF"/>
    <w:rsid w:val="008E0A51"/>
    <w:rsid w:val="008E1B27"/>
    <w:rsid w:val="008E2C4E"/>
    <w:rsid w:val="008E61B0"/>
    <w:rsid w:val="008F7496"/>
    <w:rsid w:val="008F78A3"/>
    <w:rsid w:val="00903379"/>
    <w:rsid w:val="00906975"/>
    <w:rsid w:val="009171C5"/>
    <w:rsid w:val="00917F0B"/>
    <w:rsid w:val="00917F8B"/>
    <w:rsid w:val="00932338"/>
    <w:rsid w:val="00951CD8"/>
    <w:rsid w:val="00954332"/>
    <w:rsid w:val="009564E0"/>
    <w:rsid w:val="009605F6"/>
    <w:rsid w:val="00960698"/>
    <w:rsid w:val="00960964"/>
    <w:rsid w:val="00965E4D"/>
    <w:rsid w:val="0097232E"/>
    <w:rsid w:val="009760BD"/>
    <w:rsid w:val="00977143"/>
    <w:rsid w:val="00986110"/>
    <w:rsid w:val="0099154E"/>
    <w:rsid w:val="009922B0"/>
    <w:rsid w:val="009A0E1F"/>
    <w:rsid w:val="009A20C4"/>
    <w:rsid w:val="009B1D5C"/>
    <w:rsid w:val="009B4901"/>
    <w:rsid w:val="009C080B"/>
    <w:rsid w:val="009C2464"/>
    <w:rsid w:val="009C2E31"/>
    <w:rsid w:val="009C3234"/>
    <w:rsid w:val="009D0316"/>
    <w:rsid w:val="009D4301"/>
    <w:rsid w:val="009E0D5D"/>
    <w:rsid w:val="009E1955"/>
    <w:rsid w:val="009E7ED5"/>
    <w:rsid w:val="00A061BF"/>
    <w:rsid w:val="00A10245"/>
    <w:rsid w:val="00A26325"/>
    <w:rsid w:val="00A32A51"/>
    <w:rsid w:val="00A330C0"/>
    <w:rsid w:val="00A33784"/>
    <w:rsid w:val="00A3445D"/>
    <w:rsid w:val="00A416C4"/>
    <w:rsid w:val="00A43140"/>
    <w:rsid w:val="00A52607"/>
    <w:rsid w:val="00A527AA"/>
    <w:rsid w:val="00A56784"/>
    <w:rsid w:val="00A5684D"/>
    <w:rsid w:val="00A63B43"/>
    <w:rsid w:val="00A75C61"/>
    <w:rsid w:val="00A76316"/>
    <w:rsid w:val="00A7758F"/>
    <w:rsid w:val="00A955CE"/>
    <w:rsid w:val="00A9601B"/>
    <w:rsid w:val="00A9642C"/>
    <w:rsid w:val="00AA02FC"/>
    <w:rsid w:val="00AA0910"/>
    <w:rsid w:val="00AA4348"/>
    <w:rsid w:val="00AB2DDC"/>
    <w:rsid w:val="00AD100E"/>
    <w:rsid w:val="00AD3FFF"/>
    <w:rsid w:val="00AE1E36"/>
    <w:rsid w:val="00AE28B6"/>
    <w:rsid w:val="00AF74AA"/>
    <w:rsid w:val="00B03C2F"/>
    <w:rsid w:val="00B05CAA"/>
    <w:rsid w:val="00B07DE9"/>
    <w:rsid w:val="00B15064"/>
    <w:rsid w:val="00B219F7"/>
    <w:rsid w:val="00B26867"/>
    <w:rsid w:val="00B27754"/>
    <w:rsid w:val="00B3167B"/>
    <w:rsid w:val="00B340A3"/>
    <w:rsid w:val="00B36D66"/>
    <w:rsid w:val="00B375AD"/>
    <w:rsid w:val="00B40BD5"/>
    <w:rsid w:val="00B410F5"/>
    <w:rsid w:val="00B44242"/>
    <w:rsid w:val="00B546CF"/>
    <w:rsid w:val="00B60803"/>
    <w:rsid w:val="00B6280C"/>
    <w:rsid w:val="00B6415C"/>
    <w:rsid w:val="00B671A4"/>
    <w:rsid w:val="00B72CD4"/>
    <w:rsid w:val="00B83832"/>
    <w:rsid w:val="00B85B00"/>
    <w:rsid w:val="00B8651C"/>
    <w:rsid w:val="00BA4159"/>
    <w:rsid w:val="00BA5BB7"/>
    <w:rsid w:val="00BB40A8"/>
    <w:rsid w:val="00BB56F7"/>
    <w:rsid w:val="00BC0C7F"/>
    <w:rsid w:val="00BC1591"/>
    <w:rsid w:val="00BC41EC"/>
    <w:rsid w:val="00BD5195"/>
    <w:rsid w:val="00BD66FE"/>
    <w:rsid w:val="00BE0A7D"/>
    <w:rsid w:val="00BE502E"/>
    <w:rsid w:val="00BE74F3"/>
    <w:rsid w:val="00BF132F"/>
    <w:rsid w:val="00BF1A6E"/>
    <w:rsid w:val="00BF3270"/>
    <w:rsid w:val="00BF392F"/>
    <w:rsid w:val="00BF5955"/>
    <w:rsid w:val="00C04289"/>
    <w:rsid w:val="00C06081"/>
    <w:rsid w:val="00C13878"/>
    <w:rsid w:val="00C15DBD"/>
    <w:rsid w:val="00C31284"/>
    <w:rsid w:val="00C40110"/>
    <w:rsid w:val="00C40873"/>
    <w:rsid w:val="00C60BE0"/>
    <w:rsid w:val="00C634E9"/>
    <w:rsid w:val="00C80FC9"/>
    <w:rsid w:val="00C94E06"/>
    <w:rsid w:val="00C9551B"/>
    <w:rsid w:val="00CA1705"/>
    <w:rsid w:val="00CB787F"/>
    <w:rsid w:val="00CC2F08"/>
    <w:rsid w:val="00CC322F"/>
    <w:rsid w:val="00CE1A54"/>
    <w:rsid w:val="00CE3B27"/>
    <w:rsid w:val="00CF1332"/>
    <w:rsid w:val="00CF18F2"/>
    <w:rsid w:val="00CF4A48"/>
    <w:rsid w:val="00CF5FB6"/>
    <w:rsid w:val="00CF629B"/>
    <w:rsid w:val="00CF7697"/>
    <w:rsid w:val="00D02518"/>
    <w:rsid w:val="00D02BF7"/>
    <w:rsid w:val="00D05354"/>
    <w:rsid w:val="00D17454"/>
    <w:rsid w:val="00D242D6"/>
    <w:rsid w:val="00D33FBC"/>
    <w:rsid w:val="00D4153D"/>
    <w:rsid w:val="00D55629"/>
    <w:rsid w:val="00D65CF6"/>
    <w:rsid w:val="00D67CC9"/>
    <w:rsid w:val="00D7535C"/>
    <w:rsid w:val="00D76302"/>
    <w:rsid w:val="00D920F6"/>
    <w:rsid w:val="00DA5CE2"/>
    <w:rsid w:val="00DB32A8"/>
    <w:rsid w:val="00DB37BC"/>
    <w:rsid w:val="00DC17B4"/>
    <w:rsid w:val="00DC5238"/>
    <w:rsid w:val="00DD4AAF"/>
    <w:rsid w:val="00DD77DA"/>
    <w:rsid w:val="00DE10E8"/>
    <w:rsid w:val="00DE4A17"/>
    <w:rsid w:val="00DE4DE7"/>
    <w:rsid w:val="00DF3F5C"/>
    <w:rsid w:val="00DF432F"/>
    <w:rsid w:val="00DF5B93"/>
    <w:rsid w:val="00DF6703"/>
    <w:rsid w:val="00E00DEC"/>
    <w:rsid w:val="00E06DBC"/>
    <w:rsid w:val="00E12C2C"/>
    <w:rsid w:val="00E16FDA"/>
    <w:rsid w:val="00E22383"/>
    <w:rsid w:val="00E24110"/>
    <w:rsid w:val="00E32F5A"/>
    <w:rsid w:val="00E3505B"/>
    <w:rsid w:val="00E35F58"/>
    <w:rsid w:val="00E36B27"/>
    <w:rsid w:val="00E40CAC"/>
    <w:rsid w:val="00E41F88"/>
    <w:rsid w:val="00E42644"/>
    <w:rsid w:val="00E42989"/>
    <w:rsid w:val="00E45BD9"/>
    <w:rsid w:val="00E46A6A"/>
    <w:rsid w:val="00E5290D"/>
    <w:rsid w:val="00E54418"/>
    <w:rsid w:val="00E5761F"/>
    <w:rsid w:val="00E66FFC"/>
    <w:rsid w:val="00E7556B"/>
    <w:rsid w:val="00E759D6"/>
    <w:rsid w:val="00E75D35"/>
    <w:rsid w:val="00E82523"/>
    <w:rsid w:val="00E84A8C"/>
    <w:rsid w:val="00E91D05"/>
    <w:rsid w:val="00E97626"/>
    <w:rsid w:val="00E976DE"/>
    <w:rsid w:val="00EA06FF"/>
    <w:rsid w:val="00EA2580"/>
    <w:rsid w:val="00EA3568"/>
    <w:rsid w:val="00EA6881"/>
    <w:rsid w:val="00EA6954"/>
    <w:rsid w:val="00EB1A79"/>
    <w:rsid w:val="00EC0A5A"/>
    <w:rsid w:val="00EC0F83"/>
    <w:rsid w:val="00EC2F21"/>
    <w:rsid w:val="00ED45DB"/>
    <w:rsid w:val="00EE3187"/>
    <w:rsid w:val="00EE5EE9"/>
    <w:rsid w:val="00EE617E"/>
    <w:rsid w:val="00EF4407"/>
    <w:rsid w:val="00EF499B"/>
    <w:rsid w:val="00F12205"/>
    <w:rsid w:val="00F13757"/>
    <w:rsid w:val="00F14977"/>
    <w:rsid w:val="00F23035"/>
    <w:rsid w:val="00F252DF"/>
    <w:rsid w:val="00F3343A"/>
    <w:rsid w:val="00F4504F"/>
    <w:rsid w:val="00F52668"/>
    <w:rsid w:val="00F54764"/>
    <w:rsid w:val="00F772C5"/>
    <w:rsid w:val="00FA7F70"/>
    <w:rsid w:val="00FB4A08"/>
    <w:rsid w:val="00FB597F"/>
    <w:rsid w:val="00FC0C2A"/>
    <w:rsid w:val="00FC3C57"/>
    <w:rsid w:val="00FC6286"/>
    <w:rsid w:val="00FD4B9B"/>
    <w:rsid w:val="00FD7F8E"/>
    <w:rsid w:val="00FE13FC"/>
    <w:rsid w:val="00FE2093"/>
    <w:rsid w:val="00FF11E4"/>
    <w:rsid w:val="00FF7C19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A950E9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  <w:rsid w:val="7FA7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character" w:styleId="ab">
    <w:name w:val="Strong"/>
    <w:basedOn w:val="a0"/>
    <w:uiPriority w:val="22"/>
    <w:qFormat/>
    <w:rsid w:val="008F7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character" w:styleId="ab">
    <w:name w:val="Strong"/>
    <w:basedOn w:val="a0"/>
    <w:uiPriority w:val="22"/>
    <w:qFormat/>
    <w:rsid w:val="008F7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462</Words>
  <Characters>2637</Characters>
  <Application>Microsoft Office Word</Application>
  <DocSecurity>0</DocSecurity>
  <Lines>21</Lines>
  <Paragraphs>6</Paragraphs>
  <ScaleCrop>false</ScaleCrop>
  <Company>P R C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Dan Liu</cp:lastModifiedBy>
  <cp:revision>32</cp:revision>
  <dcterms:created xsi:type="dcterms:W3CDTF">2025-08-22T06:37:00Z</dcterms:created>
  <dcterms:modified xsi:type="dcterms:W3CDTF">2026-04-22T15:10:00Z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eyJoZGlkIjoiYmQ0NjBhOGUzYTQyMGFkMGJhOTU5ZTA0NTU4YWViMWUifQ==</vt:lpwstr>
  </property>
</Properties>
</file>