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ind w:right="240"/>
        <w:jc w:val="right"/>
        <w:rPr>
          <w:rFonts w:hint="default" w:ascii="Times New Roman" w:hAnsi="Times New Roman" w:cs="Times New Roman"/>
          <w:bCs/>
          <w:iCs/>
          <w:color w:val="000000"/>
          <w:sz w:val="24"/>
        </w:rPr>
      </w:pPr>
      <w:r>
        <w:rPr>
          <w:rFonts w:hint="default" w:ascii="Times New Roman" w:hAnsi="Times New Roman" w:cs="Times New Roman"/>
          <w:bCs/>
          <w:iCs/>
          <w:color w:val="000000"/>
          <w:sz w:val="24"/>
        </w:rPr>
        <w:t xml:space="preserve">证券代码：688362                                 证券简称：甬矽电子    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iCs/>
          <w:color w:val="000000"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t>甬矽电子（宁波）</w:t>
      </w:r>
      <w:r>
        <w:rPr>
          <w:rFonts w:hint="default" w:ascii="Times New Roman" w:hAnsi="Times New Roman" w:cs="Times New Roman"/>
          <w:b/>
          <w:bCs/>
          <w:iCs/>
          <w:color w:val="000000"/>
          <w:sz w:val="28"/>
        </w:rPr>
        <w:t>股份有限公司投资者关系活动记录表</w:t>
      </w:r>
    </w:p>
    <w:p>
      <w:pPr>
        <w:spacing w:line="400" w:lineRule="exact"/>
        <w:jc w:val="right"/>
        <w:rPr>
          <w:rFonts w:hint="default" w:ascii="Times New Roman" w:hAnsi="Times New Roman" w:eastAsia="宋体" w:cs="Times New Roman"/>
          <w:bCs/>
          <w:iCs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/>
          <w:bCs/>
          <w:iCs/>
          <w:color w:val="000000"/>
          <w:sz w:val="24"/>
        </w:rPr>
        <w:t>编号：202</w:t>
      </w:r>
      <w:r>
        <w:rPr>
          <w:rFonts w:hint="eastAsia" w:cs="Times New Roman"/>
          <w:bCs/>
          <w:iCs/>
          <w:color w:val="000000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iCs/>
          <w:color w:val="000000"/>
          <w:sz w:val="24"/>
        </w:rPr>
        <w:t>-0</w:t>
      </w:r>
      <w:r>
        <w:rPr>
          <w:rFonts w:hint="eastAsia" w:cs="Times New Roman"/>
          <w:bCs/>
          <w:iCs/>
          <w:color w:val="000000"/>
          <w:sz w:val="24"/>
          <w:lang w:val="en-US" w:eastAsia="zh-CN"/>
        </w:rPr>
        <w:t>03</w:t>
      </w:r>
    </w:p>
    <w:tbl>
      <w:tblPr>
        <w:tblStyle w:val="8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6"/>
        <w:gridCol w:w="6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投资者关系活动类别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t xml:space="preserve">特定对象调研        </w:t>
            </w:r>
            <w:r>
              <w:rPr>
                <w:rFonts w:hint="eastAsia" w:cs="Times New Roman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>分析师会议</w:t>
            </w:r>
          </w:p>
          <w:p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cs="Times New Roman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媒体采访  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 w:val="24"/>
              </w:rPr>
              <w:t>业绩说明会</w:t>
            </w:r>
          </w:p>
          <w:p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cs="Times New Roman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t>现场参观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 w:val="24"/>
              </w:rPr>
              <w:t>其他 （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>电话会议）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cs="Times New Roman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cs="Times New Roman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财务总监、副总经理金良凯先生</w:t>
            </w:r>
          </w:p>
          <w:p>
            <w:pPr>
              <w:spacing w:line="360" w:lineRule="auto"/>
              <w:rPr>
                <w:rFonts w:hint="eastAsia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董事会秘书、副总经理</w:t>
            </w:r>
            <w:r>
              <w:rPr>
                <w:bCs/>
                <w:iCs/>
                <w:color w:val="000000"/>
                <w:sz w:val="24"/>
              </w:rPr>
              <w:t>李大林先生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研发总监钟磊先生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2025年度及2026年第一季度公司经营情况介绍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2025年全球半导体销售额达到7,917亿美元，同比增长25.6%，创历史新高。从细分领域来看，行业整体发展出现结构性分化，呈现出AI相关需求高速增长、传统应用领域平稳复苏的格局。2025年，公司营业收入逐季环比保持增长，全年实现营业收入439,836.62万元，再创历史新高，同比增长21.87%；实现归属于母公司所有者的净利润8,172.86万元，较上年同期增长23.22%，整体毛利率达到16.64%。2026年第一季度实现营业收入117,215.22万元，同比增长23.97%，环比略有下降，营收规模明显提升；Q1毛利率达到17.51%，同比增长3.32个百分点；期间费用率合计为17.65%，总费用率同比降低2.81个百分点，环比下降0.2个百分点，去年全年是18.87%。毛利率改善叠加费用率下降，综合使得利润总额方面，本季度利润总额2,070.42万元，同比增加142.46%；归属于上市公司股东的扣除非经常性损益的净利润由亏转盈，相比上年同期增加2,945.67万元；自公司二期项目启动以来，公司营收增长与盈利能力持续向好，规模效应逐步体现，目前营业规模已经初步跨过盈亏平衡点，主营业务盈利能力持续增强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产品结构方面，2025年度各产品的营收均呈现不同程度的增长，其中晶圆级产品的营收和毛利率都大幅增加，先进封装发展势头良好。SiP类产品营收占比约39.88%，QFN营收占比约为38.74%，FC产品营收占比约16.38%，晶圆级封装营收占比约4.52%，二者合计占比接近21%。从应用领域来看，AIoT占比超过六成，增速超过20%，PA和安防各占比约一成，运算和车规产品合计占比10%左右，其中车规产品增速较快，同比增长达到121.59%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客户结构方面，公司坚持客户导向，抢抓战略机遇，2025年度共有24家客户销售额超过5,000万元，客户结构进一步优化。受地缘环境影响，全球龙头设计公司基于China for China等多方面战略考量，在中国大陆进行产能布局的意愿明显提升，公司抢抓战略机遇，在深耕中国台湾地区客户的基础上，积极拓展欧美客户群体，海外客户营收占比持续提升，达到23.29%，同比增长61.40%；从应用领域分析，公司现有核心AIoT客户群基本盘稳固，在汽车电子、射频模组等领域的持续布局也实现稳步成长。通过多产品线及多领域布局，公司已经形成了多个业务增长极，为持续发展奠定坚实基础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480" w:firstLineChars="200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/>
                <w:sz w:val="24"/>
              </w:rPr>
              <w:t>新产品布局方面，公司持续加大先进封装投入，打造甬矽特有的FH-BSAP先进封装平台，围绕客户提供全方位服务。2025年公司新增获得授权的发明专利61项，实用新型专利96项，软件著作权3项。公司先进封装产品线客户群稳步扩大，公司重点打造的“Bumping+CP+FC+FT”的一站式交付能力不断提升，2025 年公司晶圆级封测产品贡献营业收入 19,548.42 万元，同比增长 84.22%，有效客户群持续扩大，量产规模稳步爬升，贡献了新的营收增长点。扇出式封装（Fan-out）及2.5D/3D封装工艺，相关产品线均已实现通线，基于硅转接板和硅桥方案的2.5D产品均实现客户送样，目前正在与部分客户进行产品验证。公司自身技术水平和客户服务能力得到显著提升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2026年主要业务增长点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首先是现有核心客户的成长，公司身为国内头部端侧SoC客户的核心供应商，承接了较多的新品开发项目，会伴随其业务量一同成长；其次是海外客户持续拓展，海外客户一方面基于China for China战略，产能向大陆溢出意愿明显，另一方面中国台湾地区头部封测企业因AI相关需求持续旺盛，将消费类封装产能转向AI/HPC等产品，导致消费类电子订单外溢，预计未来海外客户营收增速将高于公司整体平均水平；最后是AI相关先进封装的突破，公司已完成2.5D封装产品线通线，相关产品正在客户送样验证中，整体进展顺利，公司后续会根据客户需求及国产先进制程产能释放节奏进行扩产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公司整体毛利率持续上升的原因是什么？是源于涨价还是折旧影响减小？今年是否有继续涨价的可能？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毛利率上升主要源于规模效应。上游材料涨价通过顺价方式传导给下游客户，对毛利率影响相对平衡；同时</w:t>
            </w:r>
            <w:r>
              <w:rPr>
                <w:rFonts w:hint="eastAsia"/>
                <w:sz w:val="24"/>
              </w:rPr>
              <w:t>公司产能稼动率维持在较高水平，部分客户也会出于保证产能、缩短交期等目的主动溢价</w:t>
            </w:r>
            <w:r>
              <w:rPr>
                <w:rFonts w:hint="eastAsia" w:cs="Times New Roman"/>
                <w:sz w:val="24"/>
                <w:lang w:val="en-US" w:eastAsia="zh-CN"/>
              </w:rPr>
              <w:t>，预计对毛利率有正向贡献。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公司对于端侧AI发展前景的看法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坚定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看好端侧AI市场，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公司主要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客户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积极布局端侧AI产品，随着下游消费电子公司探索硬件落地形式，预计未来增长空间较大。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left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2.5D封装行业竞争格局</w:t>
            </w:r>
            <w:r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  <w:t xml:space="preserve">? </w:t>
            </w:r>
            <w:r>
              <w:rPr>
                <w:rFonts w:hint="default" w:ascii="Times New Roman" w:hAnsi="Times New Roman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在硅转接板方案上，目前部分大陆友商已有成熟量产经验；在硅桥方案上，目前大陆行业内还处于同一起跑线。</w:t>
            </w:r>
            <w:r>
              <w:rPr>
                <w:rFonts w:hint="eastAsia"/>
                <w:sz w:val="24"/>
              </w:rPr>
              <w:t>公司坚定践行技术创新战略，以前瞻性布局切入先进封装领域，基于自有的Chiplet技术推出了FH-BSAP（Forehope-Brick-Style</w:t>
            </w:r>
            <w:r>
              <w:rPr>
                <w:sz w:val="24"/>
              </w:rPr>
              <w:t xml:space="preserve"> Advanced </w:t>
            </w:r>
            <w:r>
              <w:rPr>
                <w:rFonts w:hint="eastAsia"/>
                <w:sz w:val="24"/>
              </w:rPr>
              <w:t>Package）积木式先进封装技术平台。涵盖RWLP系列（晶圆级重构封装，Fan-out扇出封装）、HCOS系列（2.5D晶圆级/基板上异构封装）、Vertical系列（晶圆级垂直芯片堆栈封装）等，精准适配Fan-out（FO）、2.5D/3D先进晶圆级封装等多元化先进封装技术需求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。</w:t>
            </w:r>
            <w:r>
              <w:rPr>
                <w:rFonts w:hint="eastAsia"/>
                <w:sz w:val="24"/>
                <w:lang w:val="en-US" w:eastAsia="zh-CN"/>
              </w:rPr>
              <w:t>目前公司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已完成2.5D封装产线通线，相关产品正在客户送样验证中，整体进展顺利。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left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2.5D产能规划情况？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公司前期已经发布了可转债的募集说明书，募投项目规划的相关产能为5000片/月，后续会根据客户需求及国产先进制程产能释放节奏进行扩产。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2026年公司资本开支规划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2026年资本开支规划约40亿元，主要投向成熟封装扩产、先进封装产品线等。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Bumping现有产能情况及扩产规划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目前产能约3万片，计划年底提升至4.5万片左右。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left"/>
              <w:rPr>
                <w:rFonts w:hint="eastAsia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公司未来再融资规划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公司资本运作请</w:t>
            </w:r>
            <w:r>
              <w:rPr>
                <w:rFonts w:hint="default" w:cs="Times New Roman"/>
                <w:sz w:val="24"/>
                <w:lang w:val="en-US" w:eastAsia="zh-CN"/>
              </w:rPr>
              <w:t>以后续公告为准。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公司车规类产品主要有哪些？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车规领域以车载CIS、激光雷达、MCU等产品为主。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公司对于PA产品的规划？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目前公司在PA产品方面整体控制产能节奏，</w:t>
            </w:r>
            <w:r>
              <w:rPr>
                <w:rFonts w:hint="default" w:cs="Times New Roman"/>
                <w:b w:val="0"/>
                <w:bCs w:val="0"/>
                <w:sz w:val="24"/>
                <w:lang w:val="en-US" w:eastAsia="zh-CN"/>
              </w:rPr>
              <w:t>后续重心以</w:t>
            </w: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高端</w:t>
            </w:r>
            <w:r>
              <w:rPr>
                <w:rFonts w:hint="default" w:cs="Times New Roman"/>
                <w:b w:val="0"/>
                <w:bCs w:val="0"/>
                <w:sz w:val="24"/>
                <w:lang w:val="en-US" w:eastAsia="zh-CN"/>
              </w:rPr>
              <w:t>模组类产品为主</w:t>
            </w: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left"/>
              <w:rPr>
                <w:rFonts w:hint="default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2026年二期产能释放进度预期如何？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  <w:t>二期产能将持续爬坡，预计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val="en-US" w:eastAsia="zh-CN"/>
              </w:rPr>
              <w:t>营业</w:t>
            </w:r>
            <w:r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  <w:t>收入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val="en-US" w:eastAsia="zh-CN"/>
              </w:rPr>
              <w:t>将</w:t>
            </w:r>
            <w:r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  <w:t>保持逐季增长。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left"/>
              <w:rPr>
                <w:rFonts w:hint="default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可转债即将重新触发赎回，公司后续有何打算？是否会选择赎回？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val="en-US" w:eastAsia="zh-CN"/>
              </w:rPr>
              <w:t>甬矽转债</w:t>
            </w:r>
            <w:r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  <w:t>将于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val="en-US" w:eastAsia="zh-CN"/>
              </w:rPr>
              <w:t>4月28日为首个交易日重新计算</w:t>
            </w:r>
            <w:r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  <w:t>，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val="en-US" w:eastAsia="zh-CN"/>
              </w:rPr>
              <w:t>公司股票</w:t>
            </w:r>
            <w:r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  <w:t>需满足未来30个交易日中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val="en-US" w:eastAsia="zh-CN"/>
              </w:rPr>
              <w:t>有</w:t>
            </w:r>
            <w:r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  <w:t>15个交易日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val="en-US" w:eastAsia="zh-CN"/>
              </w:rPr>
              <w:t>收盘价</w:t>
            </w:r>
            <w:r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  <w:t>不低于转股价130%才能触发赎回，请关注后续公告。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00" w:firstLineChars="0"/>
              <w:jc w:val="left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二期产能今年利用率预计达到多少？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  <w:t>成熟封装产能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val="en-US" w:eastAsia="zh-CN"/>
              </w:rPr>
              <w:t>稼动率</w:t>
            </w:r>
            <w:r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  <w:t>保持高位；晶圆级封装产能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val="en-US" w:eastAsia="zh-CN"/>
              </w:rPr>
              <w:t>稼动率持续</w:t>
            </w:r>
            <w:r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  <w:t>爬坡；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val="en-US" w:eastAsia="zh-CN"/>
              </w:rPr>
              <w:t>2.5D</w:t>
            </w:r>
            <w:r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  <w:t>先进封装正与客户验证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val="en-US" w:eastAsia="zh-CN"/>
              </w:rPr>
              <w:t>中</w:t>
            </w:r>
            <w:r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cs="Times New Roman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cs="Times New Roman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cs="Times New Roman"/>
                <w:bCs/>
                <w:iCs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注:公司严格遵守信息披露相关规则与投资者进行交流</w:t>
      </w:r>
      <w:r>
        <w:rPr>
          <w:rFonts w:hint="eastAsia" w:cs="Times New Roman"/>
          <w:sz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</w:rPr>
        <w:t>如涉及公司战略规划等意向性目标</w:t>
      </w:r>
      <w:r>
        <w:rPr>
          <w:rFonts w:hint="eastAsia" w:cs="Times New Roman"/>
          <w:sz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</w:rPr>
        <w:t>不能视为公司或管理层对公司业绩的保证或承诺</w:t>
      </w:r>
      <w:r>
        <w:rPr>
          <w:rFonts w:hint="eastAsia" w:cs="Times New Roman"/>
          <w:sz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</w:rPr>
        <w:t>敬请广大投资者注意投资风险。</w:t>
      </w: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4FEA54"/>
    <w:multiLevelType w:val="singleLevel"/>
    <w:tmpl w:val="C14FEA5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MTIyMGY2MDRhNzYwY2ViNWVhMGY4NmU3Zjc0Y2EifQ=="/>
  </w:docVars>
  <w:rsids>
    <w:rsidRoot w:val="00000000"/>
    <w:rsid w:val="036068E4"/>
    <w:rsid w:val="05475AFD"/>
    <w:rsid w:val="08AF52D0"/>
    <w:rsid w:val="0B657F3E"/>
    <w:rsid w:val="0CB11F5E"/>
    <w:rsid w:val="126B4221"/>
    <w:rsid w:val="16E41182"/>
    <w:rsid w:val="17E21B65"/>
    <w:rsid w:val="1CAC44F0"/>
    <w:rsid w:val="1F0E121F"/>
    <w:rsid w:val="2270134E"/>
    <w:rsid w:val="22E41864"/>
    <w:rsid w:val="23F95D47"/>
    <w:rsid w:val="26F826B4"/>
    <w:rsid w:val="28414686"/>
    <w:rsid w:val="2A9867EC"/>
    <w:rsid w:val="37875627"/>
    <w:rsid w:val="38877E93"/>
    <w:rsid w:val="3EEE7FBE"/>
    <w:rsid w:val="43E67EFD"/>
    <w:rsid w:val="448406DC"/>
    <w:rsid w:val="45EE1552"/>
    <w:rsid w:val="4BC14069"/>
    <w:rsid w:val="4D9A031C"/>
    <w:rsid w:val="4DF81ED1"/>
    <w:rsid w:val="4FFD419A"/>
    <w:rsid w:val="54F21CA7"/>
    <w:rsid w:val="553A61C5"/>
    <w:rsid w:val="5727016D"/>
    <w:rsid w:val="58564E0F"/>
    <w:rsid w:val="59F606D4"/>
    <w:rsid w:val="5CE96783"/>
    <w:rsid w:val="5DA123A4"/>
    <w:rsid w:val="5EB757F1"/>
    <w:rsid w:val="5F677B8F"/>
    <w:rsid w:val="66B81CDD"/>
    <w:rsid w:val="6A290F60"/>
    <w:rsid w:val="6FA66085"/>
    <w:rsid w:val="732E5CC1"/>
    <w:rsid w:val="78AC0E9F"/>
    <w:rsid w:val="79102D89"/>
    <w:rsid w:val="7CEF1753"/>
    <w:rsid w:val="7EE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3">
    <w:name w:val="annotation text"/>
    <w:basedOn w:val="1"/>
    <w:link w:val="15"/>
    <w:qFormat/>
    <w:uiPriority w:val="99"/>
    <w:pPr>
      <w:jc w:val="left"/>
    </w:pPr>
  </w:style>
  <w:style w:type="paragraph" w:styleId="4">
    <w:name w:val="Balloon Text"/>
    <w:basedOn w:val="1"/>
    <w:link w:val="17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99"/>
    <w:rPr>
      <w:b/>
      <w:bCs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annotation reference"/>
    <w:basedOn w:val="9"/>
    <w:qFormat/>
    <w:uiPriority w:val="99"/>
    <w:rPr>
      <w:sz w:val="21"/>
      <w:szCs w:val="21"/>
    </w:rPr>
  </w:style>
  <w:style w:type="paragraph" w:customStyle="1" w:styleId="12">
    <w:name w:val="Normal Indent1"/>
    <w:next w:val="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字符"/>
    <w:basedOn w:val="15"/>
    <w:link w:val="7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7">
    <w:name w:val="批注框文本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0"/>
    <w:pPr>
      <w:ind w:firstLine="420" w:firstLineChars="200"/>
    </w:pPr>
  </w:style>
  <w:style w:type="paragraph" w:customStyle="1" w:styleId="20">
    <w:name w:val="修订2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修订3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4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5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2564</Words>
  <Characters>2978</Characters>
  <Paragraphs>74</Paragraphs>
  <TotalTime>41</TotalTime>
  <ScaleCrop>false</ScaleCrop>
  <LinksUpToDate>false</LinksUpToDate>
  <CharactersWithSpaces>3059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2023-12-05T09:44:00Z</dcterms:created>
  <dc:creator>周钡钡</dc:creator>
  <cp:lastModifiedBy>甬矽证券部</cp:lastModifiedBy>
  <dcterms:modified xsi:type="dcterms:W3CDTF">2026-04-24T03:10:54Z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E3F22154AA754F278C1626261FF926CA_13</vt:lpwstr>
  </property>
  <property fmtid="{D5CDD505-2E9C-101B-9397-08002B2CF9AE}" pid="4" name="KSOTemplateDocerSaveRecord">
    <vt:lpwstr>eyJoZGlkIjoiOWNkMTc1NDYzZGE2MTJkMGQyZjNkZTE5MWE2MDc1NTciLCJ1c2VySWQiOiI0MTY4NTQ4ODEifQ==</vt:lpwstr>
  </property>
</Properties>
</file>