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896" w:rsidRDefault="00AF28A3">
      <w:pPr>
        <w:ind w:firstLineChars="100" w:firstLine="241"/>
        <w:rPr>
          <w:rFonts w:ascii="Times New Roman" w:hAnsi="Times New Roman"/>
          <w:b/>
          <w:kern w:val="0"/>
          <w:sz w:val="30"/>
          <w:szCs w:val="30"/>
          <w:lang w:val="zh-CN" w:bidi="zh-CN"/>
        </w:rPr>
      </w:pPr>
      <w:r>
        <w:rPr>
          <w:rFonts w:ascii="Times New Roman" w:hAnsi="Times New Roman"/>
          <w:b/>
          <w:kern w:val="0"/>
          <w:sz w:val="24"/>
          <w:szCs w:val="24"/>
          <w:lang w:val="zh-CN" w:bidi="zh-CN"/>
        </w:rPr>
        <w:t>证券代码：</w:t>
      </w:r>
      <w:r>
        <w:rPr>
          <w:rFonts w:ascii="Times New Roman" w:hAnsi="Times New Roman"/>
          <w:b/>
          <w:kern w:val="0"/>
          <w:sz w:val="24"/>
          <w:szCs w:val="24"/>
          <w:lang w:val="zh-CN" w:bidi="zh-CN"/>
        </w:rPr>
        <w:t>688</w:t>
      </w:r>
      <w:r>
        <w:rPr>
          <w:rFonts w:ascii="Times New Roman" w:hAnsi="Times New Roman" w:hint="eastAsia"/>
          <w:b/>
          <w:kern w:val="0"/>
          <w:sz w:val="24"/>
          <w:szCs w:val="24"/>
          <w:lang w:bidi="zh-CN"/>
        </w:rPr>
        <w:t>120</w:t>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hint="eastAsia"/>
          <w:b/>
          <w:kern w:val="0"/>
          <w:sz w:val="24"/>
          <w:szCs w:val="24"/>
          <w:lang w:bidi="zh-CN"/>
        </w:rPr>
        <w:t xml:space="preserve">                   </w:t>
      </w:r>
      <w:r>
        <w:rPr>
          <w:rFonts w:ascii="Times New Roman" w:hAnsi="Times New Roman"/>
          <w:b/>
          <w:kern w:val="0"/>
          <w:sz w:val="24"/>
          <w:szCs w:val="24"/>
          <w:lang w:val="zh-CN" w:bidi="zh-CN"/>
        </w:rPr>
        <w:t>证券简称：</w:t>
      </w:r>
      <w:r>
        <w:rPr>
          <w:rFonts w:ascii="Times New Roman" w:hAnsi="Times New Roman" w:hint="eastAsia"/>
          <w:b/>
          <w:kern w:val="0"/>
          <w:sz w:val="24"/>
          <w:szCs w:val="24"/>
          <w:lang w:bidi="zh-CN"/>
        </w:rPr>
        <w:t>华海清科</w:t>
      </w:r>
    </w:p>
    <w:p w:rsidR="00093896" w:rsidRDefault="00AF28A3">
      <w:pPr>
        <w:spacing w:beforeLines="100" w:before="312" w:afterLines="50" w:after="156" w:line="360" w:lineRule="auto"/>
        <w:ind w:firstLineChars="200" w:firstLine="602"/>
        <w:jc w:val="center"/>
        <w:rPr>
          <w:rFonts w:ascii="Times New Roman" w:hAnsi="Times New Roman"/>
          <w:b/>
          <w:kern w:val="0"/>
          <w:sz w:val="30"/>
          <w:szCs w:val="30"/>
          <w:lang w:val="zh-CN" w:bidi="zh-CN"/>
        </w:rPr>
      </w:pPr>
      <w:r>
        <w:rPr>
          <w:rFonts w:ascii="Times New Roman" w:hAnsi="Times New Roman" w:hint="eastAsia"/>
          <w:b/>
          <w:kern w:val="0"/>
          <w:sz w:val="30"/>
          <w:szCs w:val="30"/>
          <w:lang w:bidi="zh-CN"/>
        </w:rPr>
        <w:t>华海清科</w:t>
      </w:r>
      <w:r>
        <w:rPr>
          <w:rFonts w:ascii="Times New Roman" w:hAnsi="Times New Roman"/>
          <w:b/>
          <w:kern w:val="0"/>
          <w:sz w:val="30"/>
          <w:szCs w:val="30"/>
          <w:lang w:val="zh-CN" w:bidi="zh-CN"/>
        </w:rPr>
        <w:t>股份有限公司投资者关系活动记录表</w:t>
      </w:r>
    </w:p>
    <w:p w:rsidR="00093896" w:rsidRDefault="00AF28A3">
      <w:pPr>
        <w:spacing w:beforeLines="100" w:before="312" w:afterLines="50" w:after="156" w:line="360" w:lineRule="auto"/>
        <w:ind w:firstLineChars="200" w:firstLine="480"/>
        <w:jc w:val="right"/>
        <w:rPr>
          <w:rFonts w:ascii="Times New Roman" w:hAnsi="Times New Roman"/>
          <w:bCs/>
          <w:kern w:val="0"/>
          <w:sz w:val="24"/>
          <w:szCs w:val="24"/>
          <w:lang w:bidi="zh-CN"/>
        </w:rPr>
      </w:pPr>
      <w:r>
        <w:rPr>
          <w:rFonts w:ascii="Times New Roman" w:hAnsi="Times New Roman" w:hint="eastAsia"/>
          <w:bCs/>
          <w:kern w:val="0"/>
          <w:sz w:val="24"/>
          <w:szCs w:val="24"/>
          <w:lang w:val="zh-CN" w:bidi="zh-CN"/>
        </w:rPr>
        <w:t>编号：</w:t>
      </w:r>
      <w:r>
        <w:rPr>
          <w:rFonts w:ascii="Times New Roman" w:hAnsi="Times New Roman" w:hint="eastAsia"/>
          <w:bCs/>
          <w:kern w:val="0"/>
          <w:sz w:val="24"/>
          <w:szCs w:val="24"/>
          <w:lang w:val="zh-CN" w:bidi="zh-CN"/>
        </w:rPr>
        <w:t>202</w:t>
      </w:r>
      <w:r w:rsidR="00EF384B">
        <w:rPr>
          <w:rFonts w:ascii="Times New Roman" w:hAnsi="Times New Roman"/>
          <w:bCs/>
          <w:kern w:val="0"/>
          <w:sz w:val="24"/>
          <w:szCs w:val="24"/>
          <w:lang w:val="zh-CN" w:bidi="zh-CN"/>
        </w:rPr>
        <w:t>6</w:t>
      </w:r>
      <w:r>
        <w:rPr>
          <w:rFonts w:ascii="Times New Roman" w:hAnsi="Times New Roman" w:hint="eastAsia"/>
          <w:bCs/>
          <w:kern w:val="0"/>
          <w:sz w:val="24"/>
          <w:szCs w:val="24"/>
          <w:lang w:val="zh-CN" w:bidi="zh-CN"/>
        </w:rPr>
        <w:t>-0</w:t>
      </w:r>
      <w:r w:rsidR="00EF384B">
        <w:rPr>
          <w:rFonts w:ascii="Times New Roman" w:hAnsi="Times New Roman"/>
          <w:bCs/>
          <w:kern w:val="0"/>
          <w:sz w:val="24"/>
          <w:szCs w:val="24"/>
          <w:lang w:bidi="zh-CN"/>
        </w:rPr>
        <w:t>1</w:t>
      </w:r>
    </w:p>
    <w:tbl>
      <w:tblPr>
        <w:tblW w:w="8276" w:type="dxa"/>
        <w:tblInd w:w="17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9"/>
        <w:gridCol w:w="6687"/>
      </w:tblGrid>
      <w:tr w:rsidR="00093896">
        <w:trPr>
          <w:trHeight w:val="1396"/>
        </w:trPr>
        <w:tc>
          <w:tcPr>
            <w:tcW w:w="1589" w:type="dxa"/>
            <w:vAlign w:val="center"/>
          </w:tcPr>
          <w:p w:rsidR="00093896" w:rsidRDefault="00AF28A3">
            <w:pPr>
              <w:pStyle w:val="TableParagraph"/>
              <w:jc w:val="center"/>
              <w:rPr>
                <w:sz w:val="24"/>
                <w:szCs w:val="24"/>
                <w:lang w:eastAsia="en-US"/>
              </w:rPr>
            </w:pPr>
            <w:r>
              <w:rPr>
                <w:rFonts w:hint="eastAsia"/>
                <w:b/>
                <w:sz w:val="24"/>
                <w:szCs w:val="24"/>
                <w:lang w:eastAsia="en-US"/>
              </w:rPr>
              <w:t>投资者关系活动类别</w:t>
            </w:r>
          </w:p>
        </w:tc>
        <w:tc>
          <w:tcPr>
            <w:tcW w:w="6687" w:type="dxa"/>
            <w:vAlign w:val="center"/>
          </w:tcPr>
          <w:p w:rsidR="00093896" w:rsidRDefault="00AF28A3">
            <w:pPr>
              <w:pStyle w:val="TableParagraph"/>
              <w:autoSpaceDE/>
              <w:autoSpaceDN/>
              <w:ind w:leftChars="50" w:left="105" w:rightChars="50" w:right="105"/>
              <w:jc w:val="both"/>
              <w:rPr>
                <w:sz w:val="24"/>
                <w:szCs w:val="24"/>
                <w:lang w:val="en-US"/>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特定对象调研</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分析师会议</w:t>
            </w:r>
            <w:r>
              <w:rPr>
                <w:rFonts w:hint="eastAsia"/>
                <w:sz w:val="24"/>
                <w:szCs w:val="24"/>
                <w:lang w:val="en-US"/>
              </w:rPr>
              <w:t xml:space="preserve">  </w:t>
            </w:r>
          </w:p>
          <w:p w:rsidR="00093896" w:rsidRDefault="00AF28A3">
            <w:pPr>
              <w:pStyle w:val="TableParagraph"/>
              <w:autoSpaceDE/>
              <w:autoSpaceDN/>
              <w:ind w:leftChars="50" w:left="105" w:rightChars="50" w:right="105"/>
              <w:jc w:val="both"/>
              <w:rPr>
                <w:sz w:val="24"/>
                <w:szCs w:val="24"/>
                <w:lang w:val="en-US"/>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媒体采访</w:t>
            </w:r>
            <w:r>
              <w:rPr>
                <w:rFonts w:hint="eastAsia"/>
                <w:sz w:val="24"/>
                <w:szCs w:val="24"/>
                <w:lang w:val="en-US"/>
              </w:rPr>
              <w:t xml:space="preserve">          </w:t>
            </w:r>
            <w:r w:rsidR="00EC6E7B">
              <w:rPr>
                <w:rFonts w:hint="eastAsia"/>
                <w:bCs/>
                <w:iCs/>
                <w:color w:val="000000"/>
                <w:sz w:val="24"/>
                <w:szCs w:val="24"/>
              </w:rPr>
              <w:sym w:font="Wingdings 2" w:char="F052"/>
            </w:r>
            <w:r>
              <w:rPr>
                <w:bCs/>
                <w:iCs/>
                <w:color w:val="000000"/>
                <w:sz w:val="24"/>
                <w:szCs w:val="24"/>
              </w:rPr>
              <w:t xml:space="preserve"> </w:t>
            </w:r>
            <w:r>
              <w:rPr>
                <w:rFonts w:hint="eastAsia"/>
                <w:sz w:val="24"/>
                <w:szCs w:val="24"/>
              </w:rPr>
              <w:t>业绩说明会</w:t>
            </w:r>
            <w:r>
              <w:rPr>
                <w:rFonts w:hint="eastAsia"/>
                <w:sz w:val="24"/>
                <w:szCs w:val="24"/>
                <w:lang w:val="en-US"/>
              </w:rPr>
              <w:t xml:space="preserve">   </w:t>
            </w:r>
          </w:p>
          <w:p w:rsidR="00093896" w:rsidRDefault="00AF28A3">
            <w:pPr>
              <w:pStyle w:val="TableParagraph"/>
              <w:autoSpaceDE/>
              <w:autoSpaceDN/>
              <w:ind w:leftChars="50" w:left="105" w:rightChars="50" w:right="105"/>
              <w:jc w:val="both"/>
              <w:rPr>
                <w:sz w:val="24"/>
                <w:szCs w:val="24"/>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新闻发布会</w:t>
            </w:r>
            <w:r>
              <w:rPr>
                <w:rFonts w:hint="eastAsia"/>
                <w:sz w:val="24"/>
                <w:szCs w:val="24"/>
                <w:lang w:val="en-US"/>
              </w:rPr>
              <w:t xml:space="preserve">        </w:t>
            </w:r>
            <w:r w:rsidR="00EC6E7B">
              <w:rPr>
                <w:rFonts w:hint="eastAsia"/>
                <w:bCs/>
                <w:iCs/>
                <w:color w:val="000000"/>
                <w:sz w:val="24"/>
                <w:szCs w:val="24"/>
              </w:rPr>
              <w:sym w:font="Wingdings 2" w:char="00A3"/>
            </w:r>
            <w:r>
              <w:rPr>
                <w:bCs/>
                <w:iCs/>
                <w:color w:val="000000"/>
                <w:sz w:val="24"/>
                <w:szCs w:val="24"/>
              </w:rPr>
              <w:t xml:space="preserve"> </w:t>
            </w:r>
            <w:r>
              <w:rPr>
                <w:rFonts w:hint="eastAsia"/>
                <w:sz w:val="24"/>
                <w:szCs w:val="24"/>
              </w:rPr>
              <w:t>路演活动</w:t>
            </w:r>
          </w:p>
          <w:p w:rsidR="00093896" w:rsidRDefault="00AF28A3">
            <w:pPr>
              <w:pStyle w:val="TableParagraph"/>
              <w:autoSpaceDE/>
              <w:autoSpaceDN/>
              <w:ind w:left="465" w:rightChars="50" w:right="105" w:hanging="360"/>
              <w:jc w:val="both"/>
              <w:rPr>
                <w:sz w:val="24"/>
                <w:szCs w:val="24"/>
              </w:rPr>
            </w:pPr>
            <w:r>
              <w:rPr>
                <w:rFonts w:ascii="Wingdings 2" w:hAnsi="Wingdings 2"/>
                <w:color w:val="000000"/>
                <w:sz w:val="24"/>
                <w:szCs w:val="24"/>
              </w:rPr>
              <w:sym w:font="Wingdings 2" w:char="00A3"/>
            </w:r>
            <w:r>
              <w:rPr>
                <w:bCs/>
                <w:iCs/>
                <w:color w:val="000000"/>
                <w:sz w:val="24"/>
                <w:szCs w:val="24"/>
              </w:rPr>
              <w:t xml:space="preserve"> </w:t>
            </w:r>
            <w:r>
              <w:rPr>
                <w:rFonts w:hint="eastAsia"/>
                <w:sz w:val="24"/>
                <w:szCs w:val="24"/>
              </w:rPr>
              <w:t>现场参观</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其他</w:t>
            </w:r>
          </w:p>
        </w:tc>
      </w:tr>
      <w:tr w:rsidR="00093896">
        <w:trPr>
          <w:trHeight w:val="439"/>
        </w:trPr>
        <w:tc>
          <w:tcPr>
            <w:tcW w:w="1589" w:type="dxa"/>
            <w:vAlign w:val="center"/>
          </w:tcPr>
          <w:p w:rsidR="00093896" w:rsidRDefault="00AF28A3">
            <w:pPr>
              <w:pStyle w:val="TableParagraph"/>
              <w:jc w:val="center"/>
              <w:rPr>
                <w:b/>
                <w:sz w:val="24"/>
                <w:szCs w:val="24"/>
              </w:rPr>
            </w:pPr>
            <w:r>
              <w:rPr>
                <w:rFonts w:hint="eastAsia"/>
                <w:b/>
                <w:sz w:val="24"/>
                <w:szCs w:val="24"/>
              </w:rPr>
              <w:t>参与单位名称</w:t>
            </w:r>
          </w:p>
        </w:tc>
        <w:tc>
          <w:tcPr>
            <w:tcW w:w="6687" w:type="dxa"/>
            <w:vAlign w:val="center"/>
          </w:tcPr>
          <w:p w:rsidR="00093896" w:rsidRDefault="005E014F" w:rsidP="00EF384B">
            <w:pPr>
              <w:pStyle w:val="TableParagraph"/>
              <w:autoSpaceDE/>
              <w:autoSpaceDN/>
              <w:spacing w:line="480" w:lineRule="exact"/>
              <w:rPr>
                <w:sz w:val="24"/>
                <w:szCs w:val="24"/>
                <w:lang w:val="en-US"/>
              </w:rPr>
            </w:pPr>
            <w:r>
              <w:rPr>
                <w:rFonts w:hint="eastAsia"/>
                <w:sz w:val="24"/>
                <w:szCs w:val="24"/>
                <w:lang w:val="en-US"/>
              </w:rPr>
              <w:t>线上参加公司2</w:t>
            </w:r>
            <w:r>
              <w:rPr>
                <w:sz w:val="24"/>
                <w:szCs w:val="24"/>
                <w:lang w:val="en-US"/>
              </w:rPr>
              <w:t>02</w:t>
            </w:r>
            <w:r w:rsidR="00EF384B">
              <w:rPr>
                <w:sz w:val="24"/>
                <w:szCs w:val="24"/>
                <w:lang w:val="en-US"/>
              </w:rPr>
              <w:t>5</w:t>
            </w:r>
            <w:r>
              <w:rPr>
                <w:rFonts w:hint="eastAsia"/>
                <w:sz w:val="24"/>
                <w:szCs w:val="24"/>
                <w:lang w:val="en-US"/>
              </w:rPr>
              <w:t>年</w:t>
            </w:r>
            <w:r w:rsidR="00EF384B">
              <w:rPr>
                <w:rFonts w:hint="eastAsia"/>
                <w:sz w:val="24"/>
                <w:szCs w:val="24"/>
                <w:lang w:val="en-US"/>
              </w:rPr>
              <w:t>年度暨2</w:t>
            </w:r>
            <w:r w:rsidR="00EF384B">
              <w:rPr>
                <w:sz w:val="24"/>
                <w:szCs w:val="24"/>
                <w:lang w:val="en-US"/>
              </w:rPr>
              <w:t>026</w:t>
            </w:r>
            <w:r w:rsidR="00EF384B">
              <w:rPr>
                <w:rFonts w:hint="eastAsia"/>
                <w:sz w:val="24"/>
                <w:szCs w:val="24"/>
                <w:lang w:val="en-US"/>
              </w:rPr>
              <w:t>年第一</w:t>
            </w:r>
            <w:r>
              <w:rPr>
                <w:rFonts w:hint="eastAsia"/>
                <w:sz w:val="24"/>
                <w:szCs w:val="24"/>
                <w:lang w:val="en-US"/>
              </w:rPr>
              <w:t>季度业绩说明会的投资者，详见附件参会机构清单</w:t>
            </w:r>
          </w:p>
        </w:tc>
      </w:tr>
      <w:tr w:rsidR="00093896">
        <w:trPr>
          <w:trHeight w:val="469"/>
        </w:trPr>
        <w:tc>
          <w:tcPr>
            <w:tcW w:w="1589" w:type="dxa"/>
            <w:vAlign w:val="center"/>
          </w:tcPr>
          <w:p w:rsidR="00093896" w:rsidRDefault="00AF28A3">
            <w:pPr>
              <w:pStyle w:val="TableParagraph"/>
              <w:jc w:val="center"/>
              <w:rPr>
                <w:b/>
                <w:sz w:val="24"/>
                <w:szCs w:val="24"/>
                <w:lang w:eastAsia="en-US"/>
              </w:rPr>
            </w:pPr>
            <w:r>
              <w:rPr>
                <w:rFonts w:hint="eastAsia"/>
                <w:b/>
                <w:sz w:val="24"/>
                <w:szCs w:val="24"/>
                <w:lang w:eastAsia="en-US"/>
              </w:rPr>
              <w:t>时间</w:t>
            </w:r>
          </w:p>
        </w:tc>
        <w:tc>
          <w:tcPr>
            <w:tcW w:w="6687" w:type="dxa"/>
            <w:vAlign w:val="center"/>
          </w:tcPr>
          <w:p w:rsidR="00093896" w:rsidRDefault="00AF28A3" w:rsidP="00EF384B">
            <w:pPr>
              <w:pStyle w:val="TableParagraph"/>
              <w:jc w:val="center"/>
              <w:rPr>
                <w:b/>
                <w:sz w:val="24"/>
                <w:szCs w:val="24"/>
                <w:lang w:val="en-US"/>
              </w:rPr>
            </w:pPr>
            <w:r>
              <w:rPr>
                <w:rFonts w:hint="eastAsia"/>
                <w:bCs/>
                <w:sz w:val="24"/>
                <w:szCs w:val="24"/>
                <w:lang w:eastAsia="en-US"/>
              </w:rPr>
              <w:t>202</w:t>
            </w:r>
            <w:r w:rsidR="00EF384B">
              <w:rPr>
                <w:bCs/>
                <w:sz w:val="24"/>
                <w:szCs w:val="24"/>
                <w:lang w:eastAsia="en-US"/>
              </w:rPr>
              <w:t>6</w:t>
            </w:r>
            <w:r>
              <w:rPr>
                <w:rFonts w:hint="eastAsia"/>
                <w:bCs/>
                <w:sz w:val="24"/>
                <w:szCs w:val="24"/>
                <w:lang w:eastAsia="en-US"/>
              </w:rPr>
              <w:t>年</w:t>
            </w:r>
            <w:r w:rsidR="00EF384B">
              <w:rPr>
                <w:bCs/>
                <w:sz w:val="24"/>
                <w:szCs w:val="24"/>
                <w:lang w:eastAsia="en-US"/>
              </w:rPr>
              <w:t>4</w:t>
            </w:r>
            <w:r>
              <w:rPr>
                <w:rFonts w:hint="eastAsia"/>
                <w:bCs/>
                <w:sz w:val="24"/>
                <w:szCs w:val="24"/>
                <w:lang w:eastAsia="en-US"/>
              </w:rPr>
              <w:t>月</w:t>
            </w:r>
            <w:r w:rsidR="00EF384B">
              <w:rPr>
                <w:bCs/>
                <w:sz w:val="24"/>
                <w:szCs w:val="24"/>
                <w:lang w:val="en-US"/>
              </w:rPr>
              <w:t>23</w:t>
            </w:r>
            <w:r w:rsidR="002B60BB">
              <w:rPr>
                <w:rFonts w:hint="eastAsia"/>
                <w:bCs/>
                <w:sz w:val="24"/>
                <w:szCs w:val="24"/>
                <w:lang w:val="en-US"/>
              </w:rPr>
              <w:t>日</w:t>
            </w:r>
          </w:p>
        </w:tc>
      </w:tr>
      <w:tr w:rsidR="00093896">
        <w:trPr>
          <w:trHeight w:val="632"/>
        </w:trPr>
        <w:tc>
          <w:tcPr>
            <w:tcW w:w="1589" w:type="dxa"/>
            <w:vAlign w:val="center"/>
          </w:tcPr>
          <w:p w:rsidR="00093896" w:rsidRDefault="00AF28A3">
            <w:pPr>
              <w:pStyle w:val="TableParagraph"/>
              <w:jc w:val="center"/>
              <w:rPr>
                <w:b/>
                <w:sz w:val="24"/>
                <w:szCs w:val="24"/>
                <w:lang w:eastAsia="en-US"/>
              </w:rPr>
            </w:pPr>
            <w:r>
              <w:rPr>
                <w:rFonts w:hint="eastAsia"/>
                <w:b/>
                <w:sz w:val="24"/>
                <w:szCs w:val="24"/>
                <w:lang w:eastAsia="en-US"/>
              </w:rPr>
              <w:t>地点</w:t>
            </w:r>
          </w:p>
        </w:tc>
        <w:tc>
          <w:tcPr>
            <w:tcW w:w="6687" w:type="dxa"/>
            <w:vAlign w:val="center"/>
          </w:tcPr>
          <w:p w:rsidR="00093896" w:rsidRDefault="005E014F" w:rsidP="00F6706E">
            <w:pPr>
              <w:pStyle w:val="TableParagraph"/>
              <w:autoSpaceDE/>
              <w:autoSpaceDN/>
              <w:spacing w:line="480" w:lineRule="exact"/>
              <w:jc w:val="center"/>
              <w:rPr>
                <w:sz w:val="24"/>
                <w:szCs w:val="24"/>
                <w:lang w:val="en-US"/>
              </w:rPr>
            </w:pPr>
            <w:r>
              <w:rPr>
                <w:rFonts w:hint="eastAsia"/>
                <w:sz w:val="24"/>
                <w:szCs w:val="24"/>
                <w:lang w:val="en-US"/>
              </w:rPr>
              <w:t>电话会议及</w:t>
            </w:r>
            <w:r w:rsidRPr="00007F5B">
              <w:rPr>
                <w:rFonts w:hint="eastAsia"/>
                <w:sz w:val="24"/>
                <w:szCs w:val="24"/>
                <w:lang w:val="en-US"/>
              </w:rPr>
              <w:t>上证路演中心</w:t>
            </w:r>
            <w:r>
              <w:rPr>
                <w:rFonts w:hint="eastAsia"/>
                <w:sz w:val="24"/>
                <w:szCs w:val="24"/>
                <w:lang w:val="en-US"/>
              </w:rPr>
              <w:t>（</w:t>
            </w:r>
            <w:r w:rsidRPr="00007F5B">
              <w:rPr>
                <w:sz w:val="24"/>
                <w:szCs w:val="24"/>
                <w:lang w:val="en-US"/>
              </w:rPr>
              <w:t>http</w:t>
            </w:r>
            <w:r>
              <w:rPr>
                <w:sz w:val="24"/>
                <w:szCs w:val="24"/>
                <w:lang w:val="en-US"/>
              </w:rPr>
              <w:t>s</w:t>
            </w:r>
            <w:r w:rsidRPr="00007F5B">
              <w:rPr>
                <w:sz w:val="24"/>
                <w:szCs w:val="24"/>
                <w:lang w:val="en-US"/>
              </w:rPr>
              <w:t>://roadshow.sseinfo.com/</w:t>
            </w:r>
            <w:r>
              <w:rPr>
                <w:rFonts w:hint="eastAsia"/>
                <w:sz w:val="24"/>
                <w:szCs w:val="24"/>
                <w:lang w:val="en-US"/>
              </w:rPr>
              <w:t>）</w:t>
            </w:r>
          </w:p>
        </w:tc>
      </w:tr>
      <w:tr w:rsidR="00093896">
        <w:trPr>
          <w:trHeight w:val="798"/>
        </w:trPr>
        <w:tc>
          <w:tcPr>
            <w:tcW w:w="1589" w:type="dxa"/>
            <w:vAlign w:val="center"/>
          </w:tcPr>
          <w:p w:rsidR="00093896" w:rsidRDefault="00AF28A3">
            <w:pPr>
              <w:pStyle w:val="TableParagraph"/>
              <w:jc w:val="center"/>
              <w:rPr>
                <w:b/>
                <w:sz w:val="24"/>
                <w:szCs w:val="24"/>
              </w:rPr>
            </w:pPr>
            <w:r>
              <w:rPr>
                <w:rFonts w:hint="eastAsia"/>
                <w:b/>
                <w:sz w:val="24"/>
                <w:szCs w:val="24"/>
              </w:rPr>
              <w:t>上市公司接待人员姓名</w:t>
            </w:r>
          </w:p>
        </w:tc>
        <w:tc>
          <w:tcPr>
            <w:tcW w:w="6687" w:type="dxa"/>
            <w:vAlign w:val="center"/>
          </w:tcPr>
          <w:p w:rsidR="005E014F" w:rsidRDefault="005E014F" w:rsidP="005E014F">
            <w:pPr>
              <w:pStyle w:val="TableParagraph"/>
              <w:autoSpaceDE/>
              <w:autoSpaceDN/>
              <w:spacing w:line="500" w:lineRule="exact"/>
              <w:ind w:leftChars="50" w:left="105" w:rightChars="50" w:right="105"/>
              <w:jc w:val="both"/>
              <w:rPr>
                <w:sz w:val="24"/>
                <w:szCs w:val="24"/>
                <w:lang w:val="en-US"/>
              </w:rPr>
            </w:pPr>
            <w:r>
              <w:rPr>
                <w:rFonts w:hint="eastAsia"/>
                <w:sz w:val="24"/>
                <w:szCs w:val="24"/>
                <w:lang w:val="en-US"/>
              </w:rPr>
              <w:t>董事长、</w:t>
            </w:r>
            <w:r w:rsidR="00EF384B">
              <w:rPr>
                <w:rFonts w:hint="eastAsia"/>
                <w:sz w:val="24"/>
                <w:szCs w:val="24"/>
                <w:lang w:val="en-US"/>
              </w:rPr>
              <w:t>总经理</w:t>
            </w:r>
            <w:r>
              <w:rPr>
                <w:rFonts w:hint="eastAsia"/>
                <w:sz w:val="24"/>
                <w:szCs w:val="24"/>
                <w:lang w:val="en-US"/>
              </w:rPr>
              <w:t xml:space="preserve"> </w:t>
            </w:r>
            <w:r>
              <w:rPr>
                <w:sz w:val="24"/>
                <w:szCs w:val="24"/>
                <w:lang w:val="en-US"/>
              </w:rPr>
              <w:t xml:space="preserve">         </w:t>
            </w:r>
            <w:r w:rsidR="00EF384B">
              <w:rPr>
                <w:sz w:val="24"/>
                <w:szCs w:val="24"/>
                <w:lang w:val="en-US"/>
              </w:rPr>
              <w:t xml:space="preserve">    </w:t>
            </w:r>
            <w:r>
              <w:rPr>
                <w:sz w:val="24"/>
                <w:szCs w:val="24"/>
                <w:lang w:val="en-US"/>
              </w:rPr>
              <w:t xml:space="preserve">  </w:t>
            </w:r>
            <w:r w:rsidR="00EF384B">
              <w:rPr>
                <w:rFonts w:hint="eastAsia"/>
                <w:sz w:val="24"/>
                <w:szCs w:val="24"/>
                <w:lang w:val="en-US"/>
              </w:rPr>
              <w:t>王同庆</w:t>
            </w:r>
          </w:p>
          <w:p w:rsidR="005E014F" w:rsidRDefault="005E014F" w:rsidP="005E014F">
            <w:pPr>
              <w:pStyle w:val="TableParagraph"/>
              <w:autoSpaceDE/>
              <w:autoSpaceDN/>
              <w:spacing w:line="500" w:lineRule="exact"/>
              <w:ind w:leftChars="50" w:left="105" w:rightChars="50" w:right="105"/>
              <w:jc w:val="both"/>
              <w:rPr>
                <w:sz w:val="24"/>
                <w:szCs w:val="24"/>
                <w:lang w:val="en-US"/>
              </w:rPr>
            </w:pPr>
            <w:r>
              <w:rPr>
                <w:rFonts w:hint="eastAsia"/>
                <w:sz w:val="24"/>
                <w:szCs w:val="24"/>
                <w:lang w:val="en-US"/>
              </w:rPr>
              <w:t>董事、</w:t>
            </w:r>
            <w:r w:rsidR="00EF384B">
              <w:rPr>
                <w:rFonts w:hint="eastAsia"/>
                <w:sz w:val="24"/>
                <w:szCs w:val="24"/>
                <w:lang w:val="en-US"/>
              </w:rPr>
              <w:t>财务总监</w:t>
            </w:r>
            <w:r>
              <w:rPr>
                <w:rFonts w:hint="eastAsia"/>
                <w:sz w:val="24"/>
                <w:szCs w:val="24"/>
                <w:lang w:val="en-US"/>
              </w:rPr>
              <w:t xml:space="preserve"> </w:t>
            </w:r>
            <w:r>
              <w:rPr>
                <w:sz w:val="24"/>
                <w:szCs w:val="24"/>
                <w:lang w:val="en-US"/>
              </w:rPr>
              <w:t xml:space="preserve">               </w:t>
            </w:r>
            <w:r w:rsidR="00EF384B">
              <w:rPr>
                <w:rFonts w:hint="eastAsia"/>
                <w:sz w:val="24"/>
                <w:szCs w:val="24"/>
                <w:lang w:val="en-US"/>
              </w:rPr>
              <w:t>王怀需</w:t>
            </w:r>
          </w:p>
          <w:p w:rsidR="005E014F" w:rsidRDefault="005E014F" w:rsidP="005E014F">
            <w:pPr>
              <w:pStyle w:val="TableParagraph"/>
              <w:autoSpaceDE/>
              <w:autoSpaceDN/>
              <w:spacing w:line="500" w:lineRule="exact"/>
              <w:ind w:leftChars="50" w:left="105" w:rightChars="50" w:right="105"/>
              <w:jc w:val="both"/>
              <w:rPr>
                <w:sz w:val="24"/>
                <w:szCs w:val="24"/>
                <w:lang w:val="en-US"/>
              </w:rPr>
            </w:pPr>
            <w:r>
              <w:rPr>
                <w:rFonts w:hint="eastAsia"/>
                <w:sz w:val="24"/>
                <w:szCs w:val="24"/>
                <w:lang w:val="en-US"/>
              </w:rPr>
              <w:t xml:space="preserve">独立董事 </w:t>
            </w:r>
            <w:r>
              <w:rPr>
                <w:sz w:val="24"/>
                <w:szCs w:val="24"/>
                <w:lang w:val="en-US"/>
              </w:rPr>
              <w:t xml:space="preserve">                     </w:t>
            </w:r>
            <w:r w:rsidR="00EF384B">
              <w:rPr>
                <w:rFonts w:hint="eastAsia"/>
                <w:sz w:val="24"/>
                <w:szCs w:val="24"/>
                <w:lang w:val="en-US"/>
              </w:rPr>
              <w:t>马德芳</w:t>
            </w:r>
          </w:p>
          <w:p w:rsidR="00363E3E" w:rsidRDefault="005E014F" w:rsidP="00EF384B">
            <w:pPr>
              <w:pStyle w:val="TableParagraph"/>
              <w:autoSpaceDE/>
              <w:autoSpaceDN/>
              <w:spacing w:line="500" w:lineRule="exact"/>
              <w:ind w:leftChars="50" w:left="105" w:rightChars="50" w:right="105"/>
              <w:jc w:val="both"/>
              <w:rPr>
                <w:rFonts w:hint="eastAsia"/>
                <w:sz w:val="24"/>
                <w:szCs w:val="24"/>
                <w:lang w:val="en-US"/>
              </w:rPr>
            </w:pPr>
            <w:r>
              <w:rPr>
                <w:rFonts w:hint="eastAsia"/>
                <w:sz w:val="24"/>
                <w:szCs w:val="24"/>
                <w:lang w:val="en-US"/>
              </w:rPr>
              <w:t>董事会秘书</w:t>
            </w:r>
            <w:r>
              <w:rPr>
                <w:sz w:val="24"/>
                <w:szCs w:val="24"/>
                <w:lang w:val="en-US"/>
              </w:rPr>
              <w:t xml:space="preserve">  </w:t>
            </w:r>
            <w:r w:rsidR="00EF384B">
              <w:rPr>
                <w:sz w:val="24"/>
                <w:szCs w:val="24"/>
                <w:lang w:val="en-US"/>
              </w:rPr>
              <w:t xml:space="preserve">                </w:t>
            </w:r>
            <w:r>
              <w:rPr>
                <w:sz w:val="24"/>
                <w:szCs w:val="24"/>
                <w:lang w:val="en-US"/>
              </w:rPr>
              <w:t xml:space="preserve">  </w:t>
            </w:r>
            <w:r w:rsidR="00EF384B">
              <w:rPr>
                <w:rFonts w:hint="eastAsia"/>
                <w:sz w:val="24"/>
                <w:szCs w:val="24"/>
                <w:lang w:val="en-US"/>
              </w:rPr>
              <w:t>陈圳寅</w:t>
            </w:r>
          </w:p>
        </w:tc>
      </w:tr>
      <w:tr w:rsidR="00093896">
        <w:trPr>
          <w:trHeight w:val="2541"/>
        </w:trPr>
        <w:tc>
          <w:tcPr>
            <w:tcW w:w="1589" w:type="dxa"/>
            <w:vAlign w:val="center"/>
          </w:tcPr>
          <w:p w:rsidR="00093896" w:rsidRDefault="00AF28A3">
            <w:pPr>
              <w:pStyle w:val="TableParagraph"/>
              <w:jc w:val="center"/>
              <w:rPr>
                <w:b/>
                <w:sz w:val="24"/>
                <w:szCs w:val="24"/>
              </w:rPr>
            </w:pPr>
            <w:bookmarkStart w:id="0" w:name="_Hlk113177506"/>
            <w:r>
              <w:rPr>
                <w:rFonts w:hint="eastAsia"/>
                <w:b/>
                <w:sz w:val="24"/>
                <w:szCs w:val="24"/>
              </w:rPr>
              <w:t>投资者关系活动主要内容介绍</w:t>
            </w:r>
          </w:p>
        </w:tc>
        <w:tc>
          <w:tcPr>
            <w:tcW w:w="6687" w:type="dxa"/>
            <w:shd w:val="clear" w:color="auto" w:fill="auto"/>
            <w:vAlign w:val="center"/>
          </w:tcPr>
          <w:p w:rsidR="004A4DC1" w:rsidRPr="00F31800" w:rsidRDefault="004A4DC1" w:rsidP="004A4DC1">
            <w:pPr>
              <w:spacing w:line="360" w:lineRule="auto"/>
              <w:ind w:firstLineChars="200" w:firstLine="482"/>
              <w:rPr>
                <w:rFonts w:ascii="宋体" w:hAnsi="宋体"/>
                <w:b/>
                <w:sz w:val="24"/>
                <w:szCs w:val="24"/>
              </w:rPr>
            </w:pPr>
            <w:r w:rsidRPr="00F31800">
              <w:rPr>
                <w:rFonts w:ascii="宋体" w:hAnsi="宋体" w:hint="eastAsia"/>
                <w:b/>
                <w:sz w:val="24"/>
                <w:szCs w:val="24"/>
              </w:rPr>
              <w:t>一、公司董事会秘书介绍公司经营业绩主要情况：</w:t>
            </w:r>
          </w:p>
          <w:p w:rsidR="00150658" w:rsidRPr="00150658" w:rsidRDefault="00150658" w:rsidP="00150658">
            <w:pPr>
              <w:spacing w:line="360" w:lineRule="auto"/>
              <w:ind w:firstLineChars="200" w:firstLine="480"/>
              <w:rPr>
                <w:rFonts w:ascii="宋体" w:hAnsi="宋体" w:hint="eastAsia"/>
                <w:sz w:val="24"/>
                <w:szCs w:val="24"/>
              </w:rPr>
            </w:pPr>
            <w:r w:rsidRPr="00150658">
              <w:rPr>
                <w:rFonts w:ascii="宋体" w:hAnsi="宋体" w:hint="eastAsia"/>
                <w:sz w:val="24"/>
                <w:szCs w:val="24"/>
              </w:rPr>
              <w:t>2025年，公司凭借产品技术优势，成功把握市场机遇，CMP装备在先进逻辑、先进存储及先进封装等领域开始批量应用，市场占有率和销售规模持续提高，有效保障了经营业绩的稳步增长；同时公司持续加大研发投入和生产能力建设，增强企业核心竞争力，新产品研发和销售进展顺利，减薄装备、离子注入装备、清洗装备、晶圆再生、关键耗材与维保服务等业务产业化效果显著，构建起“装备+服务”的平台化发展格局，各业务板块间整体协同效应逐步凸显，为公司持续高质量发展提供了强劲动力。</w:t>
            </w:r>
          </w:p>
          <w:p w:rsidR="00150658" w:rsidRPr="00150658" w:rsidRDefault="00150658" w:rsidP="00150658">
            <w:pPr>
              <w:spacing w:line="360" w:lineRule="auto"/>
              <w:ind w:firstLineChars="200" w:firstLine="480"/>
              <w:rPr>
                <w:rFonts w:ascii="宋体" w:hAnsi="宋体" w:hint="eastAsia"/>
                <w:sz w:val="24"/>
                <w:szCs w:val="24"/>
              </w:rPr>
            </w:pPr>
            <w:r w:rsidRPr="00150658">
              <w:rPr>
                <w:rFonts w:ascii="宋体" w:hAnsi="宋体" w:hint="eastAsia"/>
                <w:sz w:val="24"/>
                <w:szCs w:val="24"/>
              </w:rPr>
              <w:t>2025年度公司实现营业收入46.48亿元，同比增长36.46%；实现归母净利润10.84亿元，同比增长5.89%；实现归母扣非净利润9.65亿元，同比增长达12.69%，整体经营业绩保持稳健向</w:t>
            </w:r>
            <w:r w:rsidRPr="00150658">
              <w:rPr>
                <w:rFonts w:ascii="宋体" w:hAnsi="宋体" w:hint="eastAsia"/>
                <w:sz w:val="24"/>
                <w:szCs w:val="24"/>
              </w:rPr>
              <w:lastRenderedPageBreak/>
              <w:t>好态势。2026年第一季度公司实现营业收入12.01亿元，同比增长31.66%；实现归母净利润2.47亿元，同比增长5.95%；实现归母扣非净利润2.25亿元，同比增长达5.97%，继续保持增长趋势。</w:t>
            </w:r>
          </w:p>
          <w:p w:rsidR="00F31800" w:rsidRPr="00F31800" w:rsidRDefault="00150658" w:rsidP="00150658">
            <w:pPr>
              <w:spacing w:line="360" w:lineRule="auto"/>
              <w:ind w:firstLineChars="200" w:firstLine="480"/>
              <w:rPr>
                <w:rFonts w:ascii="宋体" w:hAnsi="宋体"/>
                <w:sz w:val="24"/>
                <w:szCs w:val="24"/>
              </w:rPr>
            </w:pPr>
            <w:r w:rsidRPr="00150658">
              <w:rPr>
                <w:rFonts w:ascii="宋体" w:hAnsi="宋体" w:hint="eastAsia"/>
                <w:sz w:val="24"/>
                <w:szCs w:val="24"/>
              </w:rPr>
              <w:t>同时鉴于公司正处于快速发展的重要阶段，需投入大量资金用于新产品研发以及产能扩张，以进一步提升公司的经营规模和产品竞争力。公司充分考虑现阶段经营与长期发展，2025年度拟以实施权益分派股权登记日登记的总股本扣减公司回购专用证券账户中的股份为基数，每10股派发现金红利4.00元(含税)，以资本公积金向全体股东每10股转增4.00股，本次利润分配及资本公积转增股本预案尚需提交公司2025年年度股东会审议通过后方可实施。</w:t>
            </w:r>
          </w:p>
          <w:p w:rsidR="00F31800" w:rsidRPr="00007F5B" w:rsidRDefault="00F31800" w:rsidP="00F31800">
            <w:pPr>
              <w:spacing w:line="360" w:lineRule="auto"/>
              <w:ind w:firstLineChars="200" w:firstLine="482"/>
              <w:rPr>
                <w:rFonts w:ascii="宋体" w:hAnsi="宋体"/>
                <w:b/>
                <w:sz w:val="24"/>
                <w:szCs w:val="24"/>
              </w:rPr>
            </w:pPr>
            <w:r w:rsidRPr="00007F5B">
              <w:rPr>
                <w:rFonts w:ascii="宋体" w:hAnsi="宋体" w:hint="eastAsia"/>
                <w:b/>
                <w:sz w:val="24"/>
                <w:szCs w:val="24"/>
              </w:rPr>
              <w:t>二、问答环节</w:t>
            </w:r>
          </w:p>
          <w:p w:rsidR="00044EA7" w:rsidRDefault="00322A74" w:rsidP="00007F5B">
            <w:pPr>
              <w:spacing w:line="360" w:lineRule="auto"/>
              <w:ind w:firstLineChars="200" w:firstLine="482"/>
              <w:rPr>
                <w:rFonts w:ascii="宋体" w:hAnsi="宋体"/>
                <w:b/>
                <w:sz w:val="24"/>
                <w:szCs w:val="24"/>
              </w:rPr>
            </w:pPr>
            <w:r w:rsidRPr="00DB4438">
              <w:rPr>
                <w:rFonts w:ascii="宋体" w:hAnsi="宋体" w:hint="eastAsia"/>
                <w:b/>
                <w:sz w:val="24"/>
                <w:szCs w:val="24"/>
              </w:rPr>
              <w:t>Q</w:t>
            </w:r>
            <w:r w:rsidRPr="00DB4438">
              <w:rPr>
                <w:rFonts w:ascii="宋体" w:hAnsi="宋体"/>
                <w:b/>
                <w:sz w:val="24"/>
                <w:szCs w:val="24"/>
              </w:rPr>
              <w:t>1</w:t>
            </w:r>
            <w:r w:rsidRPr="00DB4438">
              <w:rPr>
                <w:rFonts w:ascii="宋体" w:hAnsi="宋体" w:hint="eastAsia"/>
                <w:b/>
                <w:sz w:val="24"/>
                <w:szCs w:val="24"/>
              </w:rPr>
              <w:t>：</w:t>
            </w:r>
            <w:r w:rsidR="00B6261D">
              <w:rPr>
                <w:rFonts w:ascii="宋体" w:hAnsi="宋体" w:hint="eastAsia"/>
                <w:b/>
                <w:sz w:val="24"/>
                <w:szCs w:val="24"/>
              </w:rPr>
              <w:t>请介绍一下公司整体业务发展情况</w:t>
            </w:r>
            <w:r w:rsidR="00AA7CB6">
              <w:rPr>
                <w:rFonts w:ascii="宋体" w:hAnsi="宋体" w:hint="eastAsia"/>
                <w:b/>
                <w:sz w:val="24"/>
                <w:szCs w:val="24"/>
              </w:rPr>
              <w:t>？</w:t>
            </w:r>
          </w:p>
          <w:p w:rsidR="00B6261D" w:rsidRDefault="001E5A06" w:rsidP="00AA7CB6">
            <w:pPr>
              <w:spacing w:line="360" w:lineRule="auto"/>
              <w:ind w:firstLineChars="200" w:firstLine="480"/>
              <w:rPr>
                <w:rFonts w:ascii="宋体" w:hAnsi="宋体"/>
                <w:sz w:val="24"/>
                <w:szCs w:val="24"/>
              </w:rPr>
            </w:pPr>
            <w:r w:rsidRPr="00AA7CB6">
              <w:rPr>
                <w:rFonts w:ascii="宋体" w:hAnsi="宋体" w:hint="eastAsia"/>
                <w:sz w:val="24"/>
                <w:szCs w:val="24"/>
              </w:rPr>
              <w:t>A：</w:t>
            </w:r>
            <w:r w:rsidR="00B6261D" w:rsidRPr="00B6261D">
              <w:rPr>
                <w:rFonts w:ascii="宋体" w:hAnsi="宋体" w:hint="eastAsia"/>
                <w:sz w:val="24"/>
                <w:szCs w:val="24"/>
              </w:rPr>
              <w:t>公司主要产品包括CMP装备、减薄装备、离子注入装备、划切装备、边抛装备等集成电路专用装备及相关技术服务，产品应用覆盖集成电路前道晶圆制造、先进封装等核心环节。</w:t>
            </w:r>
          </w:p>
          <w:p w:rsidR="00B6261D" w:rsidRPr="00B6261D" w:rsidRDefault="00B6261D" w:rsidP="00B6261D">
            <w:pPr>
              <w:spacing w:line="360" w:lineRule="auto"/>
              <w:ind w:firstLineChars="200" w:firstLine="480"/>
              <w:rPr>
                <w:rFonts w:ascii="宋体" w:hAnsi="宋体"/>
                <w:sz w:val="24"/>
                <w:szCs w:val="24"/>
              </w:rPr>
            </w:pPr>
            <w:r w:rsidRPr="00B6261D">
              <w:rPr>
                <w:rFonts w:ascii="宋体" w:hAnsi="宋体" w:hint="eastAsia"/>
                <w:sz w:val="24"/>
                <w:szCs w:val="24"/>
              </w:rPr>
              <w:t>在前道晶圆制造环节，公司CMP装备已打破国际厂商垄断，产品广泛应用于逻辑、3D</w:t>
            </w:r>
            <w:r w:rsidRPr="00B6261D">
              <w:rPr>
                <w:rFonts w:ascii="宋体" w:hAnsi="宋体"/>
                <w:sz w:val="24"/>
                <w:szCs w:val="24"/>
              </w:rPr>
              <w:t xml:space="preserve"> </w:t>
            </w:r>
            <w:r w:rsidRPr="00B6261D">
              <w:rPr>
                <w:rFonts w:ascii="宋体" w:hAnsi="宋体" w:hint="eastAsia"/>
                <w:sz w:val="24"/>
                <w:szCs w:val="24"/>
              </w:rPr>
              <w:t>NAND、DRAM等主流工艺平台；先进制程机型出货量增长显著，已通过多家头部晶圆厂全流程工艺验证，量产能力持续提升，在国内12英寸先进生产线的覆盖率与市场占有率持续提升，占据国产CMP装备销售9</w:t>
            </w:r>
            <w:r w:rsidRPr="00B6261D">
              <w:rPr>
                <w:rFonts w:ascii="宋体" w:hAnsi="宋体"/>
                <w:sz w:val="24"/>
                <w:szCs w:val="24"/>
              </w:rPr>
              <w:t>0%</w:t>
            </w:r>
            <w:r w:rsidRPr="00B6261D">
              <w:rPr>
                <w:rFonts w:ascii="宋体" w:hAnsi="宋体" w:hint="eastAsia"/>
                <w:sz w:val="24"/>
                <w:szCs w:val="24"/>
              </w:rPr>
              <w:t>以上份额。离子注入装备产业化加速推进，出货量快速增长，规模化应用成效显著，营业收入和新签订单均同比大幅增长；湿法清洗装备顺利通过客户验证并实现批量销售，形成具有差异化优势的国产替代解决方案。</w:t>
            </w:r>
          </w:p>
          <w:p w:rsidR="00B6261D" w:rsidRPr="00B6261D" w:rsidRDefault="00B6261D" w:rsidP="00B6261D">
            <w:pPr>
              <w:spacing w:line="360" w:lineRule="auto"/>
              <w:ind w:firstLineChars="200" w:firstLine="480"/>
              <w:rPr>
                <w:rFonts w:ascii="宋体" w:hAnsi="宋体"/>
                <w:sz w:val="24"/>
                <w:szCs w:val="24"/>
              </w:rPr>
            </w:pPr>
            <w:r w:rsidRPr="00B6261D">
              <w:rPr>
                <w:rFonts w:ascii="宋体" w:hAnsi="宋体" w:hint="eastAsia"/>
                <w:sz w:val="24"/>
                <w:szCs w:val="24"/>
              </w:rPr>
              <w:t>在先进封装领域，公司CMP</w:t>
            </w:r>
            <w:r w:rsidR="00440DC0">
              <w:rPr>
                <w:rFonts w:ascii="宋体" w:hAnsi="宋体" w:hint="eastAsia"/>
                <w:sz w:val="24"/>
                <w:szCs w:val="24"/>
              </w:rPr>
              <w:t>装备</w:t>
            </w:r>
            <w:r w:rsidRPr="00B6261D">
              <w:rPr>
                <w:rFonts w:ascii="宋体" w:hAnsi="宋体" w:hint="eastAsia"/>
                <w:sz w:val="24"/>
                <w:szCs w:val="24"/>
              </w:rPr>
              <w:t>、减薄装备、划切装备、边抛装备市场需求快速提升并实现批量交付，在3D</w:t>
            </w:r>
            <w:r w:rsidRPr="00B6261D">
              <w:rPr>
                <w:rFonts w:ascii="宋体" w:hAnsi="宋体"/>
                <w:sz w:val="24"/>
                <w:szCs w:val="24"/>
              </w:rPr>
              <w:t xml:space="preserve"> </w:t>
            </w:r>
            <w:r w:rsidRPr="00B6261D">
              <w:rPr>
                <w:rFonts w:ascii="宋体" w:hAnsi="宋体" w:hint="eastAsia"/>
                <w:sz w:val="24"/>
                <w:szCs w:val="24"/>
              </w:rPr>
              <w:t>IC等关键工艺环节完成从技术突破到规模化应用的跨越，构建起覆盖切、</w:t>
            </w:r>
            <w:r w:rsidRPr="00B6261D">
              <w:rPr>
                <w:rFonts w:ascii="宋体" w:hAnsi="宋体" w:hint="eastAsia"/>
                <w:sz w:val="24"/>
                <w:szCs w:val="24"/>
              </w:rPr>
              <w:lastRenderedPageBreak/>
              <w:t>磨、抛全流程的成套工艺解决方案，为国内先进封装产业提供了关键高端装备支撑。公司部分先进制程C</w:t>
            </w:r>
            <w:r w:rsidRPr="00B6261D">
              <w:rPr>
                <w:rFonts w:ascii="宋体" w:hAnsi="宋体"/>
                <w:sz w:val="24"/>
                <w:szCs w:val="24"/>
              </w:rPr>
              <w:t>MP</w:t>
            </w:r>
            <w:r w:rsidRPr="00B6261D">
              <w:rPr>
                <w:rFonts w:ascii="宋体" w:hAnsi="宋体" w:hint="eastAsia"/>
                <w:sz w:val="24"/>
                <w:szCs w:val="24"/>
              </w:rPr>
              <w:t>装备进入头部存储厂商HBM产线作为基线设备；公司全球独创的减薄抛光一体机荣获好设计金奖，累计出货量超过2</w:t>
            </w:r>
            <w:r w:rsidRPr="00B6261D">
              <w:rPr>
                <w:rFonts w:ascii="宋体" w:hAnsi="宋体"/>
                <w:sz w:val="24"/>
                <w:szCs w:val="24"/>
              </w:rPr>
              <w:t>0</w:t>
            </w:r>
            <w:r w:rsidRPr="00B6261D">
              <w:rPr>
                <w:rFonts w:ascii="宋体" w:hAnsi="宋体" w:hint="eastAsia"/>
                <w:sz w:val="24"/>
                <w:szCs w:val="24"/>
              </w:rPr>
              <w:t>台，在客户端表现优异，获得多家头部企业的重复订单。</w:t>
            </w:r>
          </w:p>
          <w:p w:rsidR="00B6261D" w:rsidRDefault="00B6261D" w:rsidP="00B6261D">
            <w:pPr>
              <w:spacing w:line="360" w:lineRule="auto"/>
              <w:ind w:firstLineChars="200" w:firstLine="480"/>
              <w:rPr>
                <w:rFonts w:ascii="宋体" w:hAnsi="宋体"/>
                <w:sz w:val="24"/>
                <w:szCs w:val="24"/>
              </w:rPr>
            </w:pPr>
            <w:r w:rsidRPr="00B6261D">
              <w:rPr>
                <w:rFonts w:ascii="宋体" w:hAnsi="宋体" w:hint="eastAsia"/>
                <w:sz w:val="24"/>
                <w:szCs w:val="24"/>
              </w:rPr>
              <w:t>在其他业务领域，公司晶圆再生业务依托技术实力与稳定服务能力，获得多家头部晶圆厂批量长期订单并实现稳定供货，客户合作粘性持续增强；天津厂区20万片/月已满产，并启动建设产能40万片/月的昆山厂区，进一步巩固国内市场领先地位。随着下游需求持续回暖、产线利用率保持高位，叠加公司CMP等核心装备在客户端的保有量稳步提升，关键耗材及维保服务业务需求持续释放，市场空间不断拓展。</w:t>
            </w:r>
          </w:p>
          <w:p w:rsidR="00B6261D" w:rsidRDefault="00B6261D" w:rsidP="00B6261D">
            <w:pPr>
              <w:spacing w:line="360" w:lineRule="auto"/>
              <w:ind w:firstLineChars="200" w:firstLine="482"/>
              <w:rPr>
                <w:rFonts w:ascii="宋体" w:hAnsi="宋体"/>
                <w:b/>
                <w:sz w:val="24"/>
                <w:szCs w:val="24"/>
              </w:rPr>
            </w:pPr>
            <w:r w:rsidRPr="00DB4438">
              <w:rPr>
                <w:rFonts w:ascii="宋体" w:hAnsi="宋体" w:hint="eastAsia"/>
                <w:b/>
                <w:sz w:val="24"/>
                <w:szCs w:val="24"/>
              </w:rPr>
              <w:t>Q</w:t>
            </w:r>
            <w:r>
              <w:rPr>
                <w:rFonts w:ascii="宋体" w:hAnsi="宋体"/>
                <w:b/>
                <w:sz w:val="24"/>
                <w:szCs w:val="24"/>
              </w:rPr>
              <w:t>2</w:t>
            </w:r>
            <w:r w:rsidRPr="00DB4438">
              <w:rPr>
                <w:rFonts w:ascii="宋体" w:hAnsi="宋体" w:hint="eastAsia"/>
                <w:b/>
                <w:sz w:val="24"/>
                <w:szCs w:val="24"/>
              </w:rPr>
              <w:t>：</w:t>
            </w:r>
            <w:r>
              <w:rPr>
                <w:rFonts w:ascii="宋体" w:hAnsi="宋体" w:hint="eastAsia"/>
                <w:b/>
                <w:sz w:val="24"/>
                <w:szCs w:val="24"/>
              </w:rPr>
              <w:t>请介绍下离子注入业务情况。</w:t>
            </w:r>
          </w:p>
          <w:p w:rsidR="00B6261D" w:rsidRDefault="00B6261D" w:rsidP="00B6261D">
            <w:pPr>
              <w:spacing w:line="360" w:lineRule="auto"/>
              <w:ind w:firstLineChars="200" w:firstLine="480"/>
              <w:rPr>
                <w:rFonts w:ascii="宋体" w:hAnsi="宋体"/>
                <w:b/>
                <w:sz w:val="24"/>
                <w:szCs w:val="24"/>
              </w:rPr>
            </w:pPr>
            <w:r>
              <w:rPr>
                <w:rFonts w:ascii="宋体" w:hAnsi="宋体" w:hint="eastAsia"/>
                <w:sz w:val="24"/>
                <w:szCs w:val="24"/>
              </w:rPr>
              <w:t>A：</w:t>
            </w:r>
            <w:r w:rsidRPr="00B6261D">
              <w:rPr>
                <w:rFonts w:ascii="宋体" w:hAnsi="宋体" w:hint="eastAsia"/>
                <w:sz w:val="24"/>
                <w:szCs w:val="24"/>
              </w:rPr>
              <w:t>离子注入机作为半导体制造核心装备，其中大束流类型的份额占比最高，基于对市场需求的精准判断，公司将大束流离子注入机作为核心突破点，持续加大研发投入。</w:t>
            </w:r>
            <w:r w:rsidRPr="00B6261D">
              <w:rPr>
                <w:rFonts w:ascii="宋体" w:hAnsi="宋体" w:hint="eastAsia"/>
                <w:sz w:val="24"/>
                <w:szCs w:val="24"/>
              </w:rPr>
              <w:t>公司加速离子注入装备产业化进程，产品出货数量快速增长，规模化应用成效显著，12英寸大束流离子注入机已实现批量交付国内多家集成电路制造头部企业，关键性能指标达到国际先进水平；首台12英寸低温离子注入机iPUMA-LT顺利出机，公司</w:t>
            </w:r>
            <w:r w:rsidR="00AA59EF">
              <w:rPr>
                <w:rFonts w:ascii="宋体" w:hAnsi="宋体" w:hint="eastAsia"/>
                <w:sz w:val="24"/>
                <w:szCs w:val="24"/>
              </w:rPr>
              <w:t>已</w:t>
            </w:r>
            <w:r w:rsidRPr="00B6261D">
              <w:rPr>
                <w:rFonts w:ascii="宋体" w:hAnsi="宋体" w:hint="eastAsia"/>
                <w:sz w:val="24"/>
                <w:szCs w:val="24"/>
              </w:rPr>
              <w:t>实现大束流离子注入机各型号全覆盖。</w:t>
            </w:r>
            <w:r>
              <w:rPr>
                <w:rFonts w:ascii="宋体" w:hAnsi="宋体" w:hint="eastAsia"/>
                <w:sz w:val="24"/>
                <w:szCs w:val="24"/>
              </w:rPr>
              <w:t>2</w:t>
            </w:r>
            <w:r>
              <w:rPr>
                <w:rFonts w:ascii="宋体" w:hAnsi="宋体"/>
                <w:sz w:val="24"/>
                <w:szCs w:val="24"/>
              </w:rPr>
              <w:t>025</w:t>
            </w:r>
            <w:r>
              <w:rPr>
                <w:rFonts w:ascii="宋体" w:hAnsi="宋体" w:hint="eastAsia"/>
                <w:sz w:val="24"/>
                <w:szCs w:val="24"/>
              </w:rPr>
              <w:t>年度，</w:t>
            </w:r>
            <w:r w:rsidR="00440DC0">
              <w:rPr>
                <w:rFonts w:ascii="宋体" w:hAnsi="宋体" w:hint="eastAsia"/>
                <w:sz w:val="24"/>
                <w:szCs w:val="24"/>
              </w:rPr>
              <w:t>公司</w:t>
            </w:r>
            <w:r w:rsidRPr="00B6261D">
              <w:rPr>
                <w:rFonts w:ascii="宋体" w:hAnsi="宋体" w:hint="eastAsia"/>
                <w:sz w:val="24"/>
                <w:szCs w:val="24"/>
              </w:rPr>
              <w:t>已有多台离子注入装备顺利通过客户验收并实现稳定交付</w:t>
            </w:r>
            <w:r w:rsidR="00AA59EF">
              <w:rPr>
                <w:rFonts w:ascii="宋体" w:hAnsi="宋体" w:hint="eastAsia"/>
                <w:sz w:val="24"/>
                <w:szCs w:val="24"/>
              </w:rPr>
              <w:t>，</w:t>
            </w:r>
            <w:r w:rsidRPr="00B6261D">
              <w:rPr>
                <w:rFonts w:ascii="宋体" w:hAnsi="宋体" w:hint="eastAsia"/>
                <w:sz w:val="24"/>
                <w:szCs w:val="24"/>
              </w:rPr>
              <w:t>同时持续获得重复批量订单，客户群体涵盖国内头部集成电路制造企业，成功进入规模化应用提速阶段，销售业绩大幅增长。未来，公司将持续推进多型号离子注入机研发，进一步拓展多领域应用场景，扩大客户覆盖范围，提升市场占有率。</w:t>
            </w:r>
          </w:p>
          <w:p w:rsidR="006B7541" w:rsidRDefault="00AA59EF" w:rsidP="00B6261D">
            <w:pPr>
              <w:spacing w:line="360" w:lineRule="auto"/>
              <w:ind w:firstLineChars="200" w:firstLine="482"/>
              <w:rPr>
                <w:rFonts w:ascii="宋体" w:hAnsi="宋体"/>
                <w:b/>
                <w:sz w:val="24"/>
                <w:szCs w:val="24"/>
              </w:rPr>
            </w:pPr>
            <w:r w:rsidRPr="00DB4438">
              <w:rPr>
                <w:rFonts w:ascii="宋体" w:hAnsi="宋体" w:hint="eastAsia"/>
                <w:b/>
                <w:sz w:val="24"/>
                <w:szCs w:val="24"/>
              </w:rPr>
              <w:t>Q</w:t>
            </w:r>
            <w:r>
              <w:rPr>
                <w:rFonts w:ascii="宋体" w:hAnsi="宋体"/>
                <w:b/>
                <w:sz w:val="24"/>
                <w:szCs w:val="24"/>
              </w:rPr>
              <w:t>3</w:t>
            </w:r>
            <w:r w:rsidRPr="00DB4438">
              <w:rPr>
                <w:rFonts w:ascii="宋体" w:hAnsi="宋体" w:hint="eastAsia"/>
                <w:b/>
                <w:sz w:val="24"/>
                <w:szCs w:val="24"/>
              </w:rPr>
              <w:t>：</w:t>
            </w:r>
            <w:r w:rsidR="006B7541">
              <w:rPr>
                <w:rFonts w:ascii="宋体" w:hAnsi="宋体" w:hint="eastAsia"/>
                <w:b/>
                <w:sz w:val="24"/>
                <w:szCs w:val="24"/>
              </w:rPr>
              <w:t>公司所处半导体行业发展前景如何？</w:t>
            </w:r>
          </w:p>
          <w:p w:rsidR="006B7541" w:rsidRDefault="006B7541" w:rsidP="00B6261D">
            <w:pPr>
              <w:spacing w:line="360" w:lineRule="auto"/>
              <w:ind w:firstLineChars="200" w:firstLine="480"/>
              <w:rPr>
                <w:rFonts w:ascii="宋体" w:hAnsi="宋体" w:hint="eastAsia"/>
                <w:b/>
                <w:sz w:val="24"/>
                <w:szCs w:val="24"/>
              </w:rPr>
            </w:pPr>
            <w:r>
              <w:rPr>
                <w:rFonts w:ascii="宋体" w:hAnsi="宋体" w:hint="eastAsia"/>
                <w:sz w:val="24"/>
                <w:szCs w:val="24"/>
              </w:rPr>
              <w:t>A：</w:t>
            </w:r>
            <w:r w:rsidRPr="006B7541">
              <w:rPr>
                <w:rFonts w:ascii="宋体" w:hAnsi="宋体" w:hint="eastAsia"/>
                <w:sz w:val="24"/>
                <w:szCs w:val="24"/>
              </w:rPr>
              <w:t>近年来，全球半导体产业全面迈入强劲复苏与技术迭代共振的高景气周期，AI算力基建的战略性投入、消费电子市场</w:t>
            </w:r>
            <w:r w:rsidRPr="006B7541">
              <w:rPr>
                <w:rFonts w:ascii="宋体" w:hAnsi="宋体" w:hint="eastAsia"/>
                <w:sz w:val="24"/>
                <w:szCs w:val="24"/>
              </w:rPr>
              <w:lastRenderedPageBreak/>
              <w:t>持续回暖与存储需求爆发式增长推动行业进入新一轮高速发展阶段。</w:t>
            </w:r>
            <w:r w:rsidR="00A1673B" w:rsidRPr="00A1673B">
              <w:rPr>
                <w:rFonts w:ascii="宋体" w:hAnsi="宋体" w:hint="eastAsia"/>
                <w:sz w:val="24"/>
                <w:szCs w:val="24"/>
              </w:rPr>
              <w:t>半导体产业成熟工艺与先进工艺同步发展、增长空间持续扩大，成熟制程在汽车电子、物联网、工业控制等领域的刚性需求支撑下稳步扩容，28nm及以上节点大产线的产能利用率维持高位；先进工艺加速落地渗透，先进制程进入发展迅速，Chiplet、HBM等异构集成技术快速普及，多重趋势共同推动半导体设备市场迎来结构性扩容，前道制造与先进封装环节的核心装备需求均实现显著增长，适配高精密制造、高效量产及复杂工艺要求的设备成为市场刚需。公司主打产品CMP装备、减薄装备、离子注入装备、划切装备、边抛装备等，作为半导体制造全流程关键核心装备，深度适配AI算力、高端存储、车规级半导体及功率器件等领域的增长需求</w:t>
            </w:r>
            <w:r w:rsidR="00A1673B">
              <w:rPr>
                <w:rFonts w:ascii="宋体" w:hAnsi="宋体" w:hint="eastAsia"/>
                <w:sz w:val="24"/>
                <w:szCs w:val="24"/>
              </w:rPr>
              <w:t>。</w:t>
            </w:r>
          </w:p>
          <w:p w:rsidR="00B6261D" w:rsidRPr="00DB4438" w:rsidRDefault="00A1673B" w:rsidP="00B6261D">
            <w:pPr>
              <w:spacing w:line="360" w:lineRule="auto"/>
              <w:ind w:firstLineChars="200" w:firstLine="482"/>
              <w:rPr>
                <w:rFonts w:ascii="宋体" w:hAnsi="宋体"/>
                <w:b/>
                <w:sz w:val="24"/>
                <w:szCs w:val="24"/>
              </w:rPr>
            </w:pPr>
            <w:r w:rsidRPr="00DB4438">
              <w:rPr>
                <w:rFonts w:ascii="宋体" w:hAnsi="宋体" w:hint="eastAsia"/>
                <w:b/>
                <w:sz w:val="24"/>
                <w:szCs w:val="24"/>
              </w:rPr>
              <w:t>Q</w:t>
            </w:r>
            <w:r>
              <w:rPr>
                <w:rFonts w:ascii="宋体" w:hAnsi="宋体"/>
                <w:b/>
                <w:sz w:val="24"/>
                <w:szCs w:val="24"/>
              </w:rPr>
              <w:t>4</w:t>
            </w:r>
            <w:r w:rsidRPr="00DB4438">
              <w:rPr>
                <w:rFonts w:ascii="宋体" w:hAnsi="宋体" w:hint="eastAsia"/>
                <w:b/>
                <w:sz w:val="24"/>
                <w:szCs w:val="24"/>
              </w:rPr>
              <w:t>：</w:t>
            </w:r>
            <w:r w:rsidR="00B6261D">
              <w:rPr>
                <w:rFonts w:ascii="宋体" w:hAnsi="宋体" w:hint="eastAsia"/>
                <w:b/>
                <w:sz w:val="24"/>
                <w:szCs w:val="24"/>
              </w:rPr>
              <w:t>公司订单情况</w:t>
            </w:r>
            <w:r w:rsidR="00B6261D">
              <w:rPr>
                <w:rFonts w:ascii="宋体" w:hAnsi="宋体" w:hint="eastAsia"/>
                <w:b/>
                <w:sz w:val="24"/>
                <w:szCs w:val="24"/>
              </w:rPr>
              <w:t>如何</w:t>
            </w:r>
            <w:r w:rsidR="00B6261D">
              <w:rPr>
                <w:rFonts w:ascii="宋体" w:hAnsi="宋体" w:hint="eastAsia"/>
                <w:b/>
                <w:sz w:val="24"/>
                <w:szCs w:val="24"/>
              </w:rPr>
              <w:t>？</w:t>
            </w:r>
          </w:p>
          <w:p w:rsidR="001E5A06" w:rsidRDefault="00B6261D" w:rsidP="00B6261D">
            <w:pPr>
              <w:spacing w:line="360" w:lineRule="auto"/>
              <w:ind w:firstLineChars="200" w:firstLine="480"/>
              <w:rPr>
                <w:rFonts w:ascii="宋体" w:hAnsi="宋体" w:hint="eastAsia"/>
                <w:sz w:val="24"/>
                <w:szCs w:val="24"/>
              </w:rPr>
            </w:pPr>
            <w:r>
              <w:rPr>
                <w:rFonts w:ascii="宋体" w:hAnsi="宋体" w:hint="eastAsia"/>
                <w:sz w:val="24"/>
                <w:szCs w:val="24"/>
              </w:rPr>
              <w:t>A：</w:t>
            </w:r>
            <w:r w:rsidRPr="00B71BF6">
              <w:rPr>
                <w:rFonts w:ascii="宋体" w:hAnsi="宋体" w:hint="eastAsia"/>
                <w:sz w:val="24"/>
                <w:szCs w:val="24"/>
              </w:rPr>
              <w:t>公司CMP装备订单持续保持增长，</w:t>
            </w:r>
            <w:r w:rsidR="00DD35D5" w:rsidRPr="00DD35D5">
              <w:rPr>
                <w:rFonts w:ascii="宋体" w:hAnsi="宋体" w:hint="eastAsia"/>
                <w:sz w:val="24"/>
                <w:szCs w:val="24"/>
              </w:rPr>
              <w:t>先进制程机型</w:t>
            </w:r>
            <w:r w:rsidR="00DD35D5">
              <w:rPr>
                <w:rFonts w:ascii="宋体" w:hAnsi="宋体" w:hint="eastAsia"/>
                <w:sz w:val="24"/>
                <w:szCs w:val="24"/>
              </w:rPr>
              <w:t>订单量</w:t>
            </w:r>
            <w:r w:rsidR="00DD35D5" w:rsidRPr="00DD35D5">
              <w:rPr>
                <w:rFonts w:ascii="宋体" w:hAnsi="宋体" w:hint="eastAsia"/>
                <w:sz w:val="24"/>
                <w:szCs w:val="24"/>
              </w:rPr>
              <w:t>增长显著</w:t>
            </w:r>
            <w:r w:rsidR="00DD35D5">
              <w:rPr>
                <w:rFonts w:ascii="宋体" w:hAnsi="宋体" w:hint="eastAsia"/>
                <w:sz w:val="24"/>
                <w:szCs w:val="24"/>
              </w:rPr>
              <w:t>；</w:t>
            </w:r>
            <w:r w:rsidRPr="00B71BF6">
              <w:rPr>
                <w:rFonts w:ascii="宋体" w:hAnsi="宋体" w:hint="eastAsia"/>
                <w:sz w:val="24"/>
                <w:szCs w:val="24"/>
              </w:rPr>
              <w:t>减薄装备、离子注入装备、湿法装备、晶圆再生及耗材维保等订单放量明显，划切及边抛装备也取得多家客户订单，公司平台化布局扎实稳步推进；从订单客户结构来看，存储及逻辑订单占比较大，先进封装订单占比提升明显。公司目前在</w:t>
            </w:r>
            <w:r>
              <w:rPr>
                <w:rFonts w:ascii="宋体" w:hAnsi="宋体" w:hint="eastAsia"/>
                <w:sz w:val="24"/>
                <w:szCs w:val="24"/>
              </w:rPr>
              <w:t>手订单充足，也将积极跟进客户的扩产计划，争取更多订单和市场份额</w:t>
            </w:r>
            <w:r w:rsidRPr="00DB4438">
              <w:rPr>
                <w:rFonts w:ascii="宋体" w:hAnsi="宋体" w:hint="eastAsia"/>
                <w:sz w:val="24"/>
                <w:szCs w:val="24"/>
              </w:rPr>
              <w:t>。</w:t>
            </w:r>
          </w:p>
          <w:p w:rsidR="00AA59EF" w:rsidRDefault="00CA1EF4" w:rsidP="00AA59EF">
            <w:pPr>
              <w:spacing w:line="360" w:lineRule="auto"/>
              <w:ind w:firstLineChars="200" w:firstLine="482"/>
              <w:rPr>
                <w:rFonts w:ascii="宋体" w:hAnsi="宋体"/>
                <w:sz w:val="24"/>
                <w:szCs w:val="24"/>
              </w:rPr>
            </w:pPr>
            <w:r w:rsidRPr="00DB4438">
              <w:rPr>
                <w:rFonts w:ascii="宋体" w:hAnsi="宋体" w:hint="eastAsia"/>
                <w:b/>
                <w:sz w:val="24"/>
                <w:szCs w:val="24"/>
              </w:rPr>
              <w:t>Q</w:t>
            </w:r>
            <w:r w:rsidR="00A1673B">
              <w:rPr>
                <w:rFonts w:ascii="宋体" w:hAnsi="宋体"/>
                <w:b/>
                <w:sz w:val="24"/>
                <w:szCs w:val="24"/>
              </w:rPr>
              <w:t>5</w:t>
            </w:r>
            <w:r w:rsidRPr="00DB4438">
              <w:rPr>
                <w:rFonts w:ascii="宋体" w:hAnsi="宋体" w:hint="eastAsia"/>
                <w:b/>
                <w:sz w:val="24"/>
                <w:szCs w:val="24"/>
              </w:rPr>
              <w:t>：</w:t>
            </w:r>
            <w:r w:rsidR="00AA59EF">
              <w:rPr>
                <w:rFonts w:ascii="宋体" w:hAnsi="宋体" w:hint="eastAsia"/>
                <w:b/>
                <w:sz w:val="24"/>
                <w:szCs w:val="24"/>
              </w:rPr>
              <w:t>公司</w:t>
            </w:r>
            <w:r w:rsidR="00AA59EF" w:rsidRPr="00D407BB">
              <w:rPr>
                <w:rFonts w:ascii="宋体" w:hAnsi="宋体" w:hint="eastAsia"/>
                <w:b/>
                <w:sz w:val="24"/>
                <w:szCs w:val="24"/>
              </w:rPr>
              <w:t>毛利率连续三年出现微弱的下降，原因是</w:t>
            </w:r>
            <w:r w:rsidR="00AA59EF">
              <w:rPr>
                <w:rFonts w:ascii="宋体" w:hAnsi="宋体" w:hint="eastAsia"/>
                <w:b/>
                <w:sz w:val="24"/>
                <w:szCs w:val="24"/>
              </w:rPr>
              <w:t>什么</w:t>
            </w:r>
            <w:r w:rsidR="00AA59EF" w:rsidRPr="00D407BB">
              <w:rPr>
                <w:rFonts w:ascii="宋体" w:hAnsi="宋体" w:hint="eastAsia"/>
                <w:b/>
                <w:sz w:val="24"/>
                <w:szCs w:val="24"/>
              </w:rPr>
              <w:t>？是不是公司产品下游市场议价能力不够？</w:t>
            </w:r>
          </w:p>
          <w:p w:rsidR="00AA59EF" w:rsidRDefault="00AA59EF" w:rsidP="00AA59EF">
            <w:pPr>
              <w:spacing w:line="360" w:lineRule="auto"/>
              <w:ind w:firstLineChars="200" w:firstLine="480"/>
              <w:rPr>
                <w:rFonts w:ascii="宋体" w:hAnsi="宋体"/>
                <w:sz w:val="24"/>
                <w:szCs w:val="24"/>
              </w:rPr>
            </w:pPr>
            <w:r>
              <w:rPr>
                <w:rFonts w:ascii="宋体" w:hAnsi="宋体" w:hint="eastAsia"/>
                <w:sz w:val="24"/>
                <w:szCs w:val="24"/>
              </w:rPr>
              <w:t>A：</w:t>
            </w:r>
            <w:r w:rsidRPr="00D407BB">
              <w:rPr>
                <w:rFonts w:ascii="宋体" w:hAnsi="宋体" w:hint="eastAsia"/>
                <w:sz w:val="24"/>
                <w:szCs w:val="24"/>
              </w:rPr>
              <w:t>公司新产品研发和销售进展顺利，但由于公司确认收入的部分产品处于仍市场开拓阶段，毛利率较低，导致公司整体毛利率略有下降。公司基本实现了“装备+服务”的平台化战略布局，各业务板块间整体协同效应逐步凸显，核心产品的技术优势、市场竞争力以及下游长期需求趋势均未发生改变。后续公司将通过持续开发新客户新产品、优化生产工艺、降本增效等措施保持公司毛利率在一个相对合理的水平</w:t>
            </w:r>
            <w:r>
              <w:rPr>
                <w:rFonts w:ascii="宋体" w:hAnsi="宋体" w:hint="eastAsia"/>
                <w:sz w:val="24"/>
                <w:szCs w:val="24"/>
              </w:rPr>
              <w:t>。</w:t>
            </w:r>
          </w:p>
          <w:p w:rsidR="00AA59EF" w:rsidRPr="00817FFE" w:rsidRDefault="00E905B0" w:rsidP="00AA59EF">
            <w:pPr>
              <w:spacing w:line="360" w:lineRule="auto"/>
              <w:ind w:firstLineChars="200" w:firstLine="482"/>
              <w:rPr>
                <w:rFonts w:ascii="宋体" w:hAnsi="宋体"/>
                <w:b/>
                <w:sz w:val="24"/>
                <w:szCs w:val="24"/>
              </w:rPr>
            </w:pPr>
            <w:r w:rsidRPr="00DB4438">
              <w:rPr>
                <w:rFonts w:ascii="宋体" w:hAnsi="宋体" w:hint="eastAsia"/>
                <w:b/>
                <w:sz w:val="24"/>
                <w:szCs w:val="24"/>
              </w:rPr>
              <w:lastRenderedPageBreak/>
              <w:t>Q</w:t>
            </w:r>
            <w:r w:rsidR="00A1673B">
              <w:rPr>
                <w:rFonts w:ascii="宋体" w:hAnsi="宋体"/>
                <w:b/>
                <w:sz w:val="24"/>
                <w:szCs w:val="24"/>
              </w:rPr>
              <w:t>6</w:t>
            </w:r>
            <w:r w:rsidRPr="00DB4438">
              <w:rPr>
                <w:rFonts w:ascii="宋体" w:hAnsi="宋体" w:hint="eastAsia"/>
                <w:b/>
                <w:sz w:val="24"/>
                <w:szCs w:val="24"/>
              </w:rPr>
              <w:t>：</w:t>
            </w:r>
            <w:r w:rsidR="00AA59EF" w:rsidRPr="00D407BB">
              <w:rPr>
                <w:rFonts w:ascii="宋体" w:hAnsi="宋体" w:hint="eastAsia"/>
                <w:b/>
                <w:sz w:val="24"/>
                <w:szCs w:val="24"/>
              </w:rPr>
              <w:t>公司净利润增速落后营收增速的原因是</w:t>
            </w:r>
            <w:r w:rsidR="00AA59EF" w:rsidRPr="00817FFE">
              <w:rPr>
                <w:rFonts w:ascii="宋体" w:hAnsi="宋体" w:hint="eastAsia"/>
                <w:b/>
                <w:sz w:val="24"/>
                <w:szCs w:val="24"/>
              </w:rPr>
              <w:t>？</w:t>
            </w:r>
          </w:p>
          <w:p w:rsidR="00AA59EF" w:rsidRDefault="00AA59EF" w:rsidP="00007F5B">
            <w:pPr>
              <w:spacing w:line="360" w:lineRule="auto"/>
              <w:ind w:firstLineChars="200" w:firstLine="480"/>
              <w:rPr>
                <w:rFonts w:ascii="宋体" w:hAnsi="宋体"/>
                <w:sz w:val="24"/>
                <w:szCs w:val="24"/>
              </w:rPr>
            </w:pPr>
            <w:r w:rsidRPr="00201985">
              <w:rPr>
                <w:rFonts w:ascii="宋体" w:hAnsi="宋体" w:hint="eastAsia"/>
                <w:sz w:val="24"/>
                <w:szCs w:val="24"/>
              </w:rPr>
              <w:t>A：</w:t>
            </w:r>
            <w:r w:rsidRPr="00D407BB">
              <w:rPr>
                <w:rFonts w:ascii="宋体" w:hAnsi="宋体" w:hint="eastAsia"/>
                <w:sz w:val="24"/>
                <w:szCs w:val="24"/>
              </w:rPr>
              <w:t>公司新产品研发和销售进展顺利，整体毛利率较历史最高水平有所调整，符合行业逻辑；同时公司围绕长期发展战略，持续加码研发投入与生产能力建设，稳步推进人员扩充，使得职工薪酬增加并推高期间费用，导致净利率呈现阶段性下滑，但公司核心产品的技术优势、市场竞争力以及下游长期需求趋势均未发生改变，后续公司将通过持续开发新客户新产品、改进工艺提升效率</w:t>
            </w:r>
            <w:r>
              <w:rPr>
                <w:rFonts w:ascii="宋体" w:hAnsi="宋体" w:hint="eastAsia"/>
                <w:sz w:val="24"/>
                <w:szCs w:val="24"/>
              </w:rPr>
              <w:t>、降本增效等管理措施保持公司毛利率及净利率在一个相对合理的水平</w:t>
            </w:r>
            <w:r w:rsidRPr="00201985">
              <w:rPr>
                <w:rFonts w:ascii="宋体" w:hAnsi="宋体" w:hint="eastAsia"/>
                <w:sz w:val="24"/>
                <w:szCs w:val="24"/>
              </w:rPr>
              <w:t>。</w:t>
            </w:r>
          </w:p>
          <w:p w:rsidR="00D752CD" w:rsidRPr="00164BF7" w:rsidRDefault="00AC47BF" w:rsidP="00D752CD">
            <w:pPr>
              <w:spacing w:line="360" w:lineRule="auto"/>
              <w:ind w:firstLineChars="200" w:firstLine="482"/>
              <w:rPr>
                <w:rFonts w:ascii="宋体" w:hAnsi="宋体"/>
                <w:b/>
                <w:sz w:val="24"/>
                <w:szCs w:val="24"/>
              </w:rPr>
            </w:pPr>
            <w:r w:rsidRPr="008806AD">
              <w:rPr>
                <w:rFonts w:ascii="宋体" w:hAnsi="宋体" w:hint="eastAsia"/>
                <w:b/>
                <w:sz w:val="24"/>
                <w:szCs w:val="24"/>
              </w:rPr>
              <w:t>Q</w:t>
            </w:r>
            <w:r>
              <w:rPr>
                <w:rFonts w:ascii="宋体" w:hAnsi="宋体"/>
                <w:b/>
                <w:sz w:val="24"/>
                <w:szCs w:val="24"/>
              </w:rPr>
              <w:t>7</w:t>
            </w:r>
            <w:r w:rsidRPr="008806AD">
              <w:rPr>
                <w:rFonts w:ascii="宋体" w:hAnsi="宋体" w:hint="eastAsia"/>
                <w:b/>
                <w:sz w:val="24"/>
                <w:szCs w:val="24"/>
              </w:rPr>
              <w:t>：</w:t>
            </w:r>
            <w:r w:rsidR="00D407BB" w:rsidRPr="00D407BB">
              <w:rPr>
                <w:rFonts w:ascii="宋体" w:hAnsi="宋体" w:hint="eastAsia"/>
                <w:b/>
                <w:sz w:val="24"/>
                <w:szCs w:val="24"/>
              </w:rPr>
              <w:t>为啥港股上市改成定增了，是不是2026年公司战略仍然聚焦国内市场？不会用过多资源去拓展国际市场</w:t>
            </w:r>
            <w:r w:rsidR="00D752CD" w:rsidRPr="00164BF7">
              <w:rPr>
                <w:rFonts w:ascii="宋体" w:hAnsi="宋体" w:hint="eastAsia"/>
                <w:b/>
                <w:sz w:val="24"/>
                <w:szCs w:val="24"/>
              </w:rPr>
              <w:t>？</w:t>
            </w:r>
            <w:r w:rsidR="00D407BB" w:rsidRPr="00D407BB">
              <w:rPr>
                <w:rFonts w:ascii="宋体" w:hAnsi="宋体" w:hint="eastAsia"/>
                <w:b/>
                <w:sz w:val="24"/>
                <w:szCs w:val="24"/>
              </w:rPr>
              <w:t>请帮忙介绍目前公司在国际市场方面的布局计划，及拓展落地情况？</w:t>
            </w:r>
          </w:p>
          <w:p w:rsidR="00D752CD" w:rsidRDefault="00D752CD" w:rsidP="00D752CD">
            <w:pPr>
              <w:spacing w:line="360" w:lineRule="auto"/>
              <w:ind w:firstLineChars="200" w:firstLine="480"/>
              <w:rPr>
                <w:rFonts w:ascii="宋体" w:hAnsi="宋体"/>
                <w:sz w:val="24"/>
                <w:szCs w:val="24"/>
              </w:rPr>
            </w:pPr>
            <w:r>
              <w:rPr>
                <w:rFonts w:ascii="宋体" w:hAnsi="宋体" w:hint="eastAsia"/>
                <w:sz w:val="24"/>
                <w:szCs w:val="24"/>
              </w:rPr>
              <w:t>A</w:t>
            </w:r>
            <w:r w:rsidR="00F50921" w:rsidRPr="00201985">
              <w:rPr>
                <w:rFonts w:ascii="宋体" w:hAnsi="宋体" w:hint="eastAsia"/>
                <w:sz w:val="24"/>
                <w:szCs w:val="24"/>
              </w:rPr>
              <w:t>：</w:t>
            </w:r>
            <w:bookmarkStart w:id="1" w:name="_GoBack"/>
            <w:bookmarkEnd w:id="1"/>
            <w:r w:rsidR="00D407BB" w:rsidRPr="00D407BB">
              <w:rPr>
                <w:rFonts w:ascii="宋体" w:hAnsi="宋体" w:hint="eastAsia"/>
                <w:sz w:val="24"/>
                <w:szCs w:val="24"/>
              </w:rPr>
              <w:t>结合外部宏观环境、资本市场环境以及公司战略发展规划情况，秉持维护股东利益、对股东负责的原则，经公司审慎讨论分析后，公司决定终止筹划发行境外上市股份（H股）并于香港联合交易所有限公司上市，并改为向特定对象发行A股股票募集资金，从而推进实施公司的业务战略、提高公司的综合竞争力、优化资本结构。公司2025年已开拓海外市场并形成部分营业收入，公司持续重视海外市场的拓展，将积极开展销售渠道建设和人才培养工作</w:t>
            </w:r>
            <w:r w:rsidR="00D407BB" w:rsidRPr="00D63F54">
              <w:rPr>
                <w:rFonts w:ascii="宋体" w:hAnsi="宋体" w:hint="eastAsia"/>
                <w:sz w:val="24"/>
                <w:szCs w:val="24"/>
              </w:rPr>
              <w:t>。</w:t>
            </w:r>
          </w:p>
          <w:p w:rsidR="000501D8" w:rsidRDefault="000501D8" w:rsidP="00D752CD">
            <w:pPr>
              <w:spacing w:line="360" w:lineRule="auto"/>
              <w:ind w:firstLineChars="200" w:firstLine="482"/>
              <w:rPr>
                <w:rFonts w:ascii="宋体" w:hAnsi="宋体"/>
                <w:b/>
                <w:sz w:val="24"/>
                <w:szCs w:val="24"/>
              </w:rPr>
            </w:pPr>
            <w:r w:rsidRPr="008806AD">
              <w:rPr>
                <w:rFonts w:ascii="宋体" w:hAnsi="宋体" w:hint="eastAsia"/>
                <w:b/>
                <w:sz w:val="24"/>
                <w:szCs w:val="24"/>
              </w:rPr>
              <w:t>Q</w:t>
            </w:r>
            <w:r>
              <w:rPr>
                <w:rFonts w:ascii="宋体" w:hAnsi="宋体"/>
                <w:b/>
                <w:sz w:val="24"/>
                <w:szCs w:val="24"/>
              </w:rPr>
              <w:t>8</w:t>
            </w:r>
            <w:r w:rsidRPr="008806AD">
              <w:rPr>
                <w:rFonts w:ascii="宋体" w:hAnsi="宋体" w:hint="eastAsia"/>
                <w:b/>
                <w:sz w:val="24"/>
                <w:szCs w:val="24"/>
              </w:rPr>
              <w:t>：</w:t>
            </w:r>
            <w:r>
              <w:rPr>
                <w:rFonts w:ascii="宋体" w:hAnsi="宋体" w:hint="eastAsia"/>
                <w:b/>
                <w:sz w:val="24"/>
                <w:szCs w:val="24"/>
              </w:rPr>
              <w:t>请问公司</w:t>
            </w:r>
            <w:r w:rsidR="006D1D9C">
              <w:rPr>
                <w:rFonts w:ascii="宋体" w:hAnsi="宋体" w:hint="eastAsia"/>
                <w:b/>
                <w:sz w:val="24"/>
                <w:szCs w:val="24"/>
              </w:rPr>
              <w:t>拟实施</w:t>
            </w:r>
            <w:r w:rsidR="00452DB8">
              <w:rPr>
                <w:rFonts w:ascii="宋体" w:hAnsi="宋体" w:hint="eastAsia"/>
                <w:b/>
                <w:sz w:val="24"/>
                <w:szCs w:val="24"/>
              </w:rPr>
              <w:t>2</w:t>
            </w:r>
            <w:r w:rsidR="00452DB8">
              <w:rPr>
                <w:rFonts w:ascii="宋体" w:hAnsi="宋体"/>
                <w:b/>
                <w:sz w:val="24"/>
                <w:szCs w:val="24"/>
              </w:rPr>
              <w:t>026</w:t>
            </w:r>
            <w:r w:rsidR="00452DB8">
              <w:rPr>
                <w:rFonts w:ascii="宋体" w:hAnsi="宋体" w:hint="eastAsia"/>
                <w:b/>
                <w:sz w:val="24"/>
                <w:szCs w:val="24"/>
              </w:rPr>
              <w:t>年度向特定对象发行A股股票情况。</w:t>
            </w:r>
          </w:p>
          <w:p w:rsidR="00452DB8" w:rsidRDefault="00452DB8" w:rsidP="000501D8">
            <w:pPr>
              <w:spacing w:line="360" w:lineRule="auto"/>
              <w:ind w:firstLineChars="200" w:firstLine="480"/>
              <w:rPr>
                <w:rFonts w:ascii="宋体" w:hAnsi="宋体"/>
                <w:sz w:val="24"/>
                <w:szCs w:val="24"/>
              </w:rPr>
            </w:pPr>
            <w:r>
              <w:rPr>
                <w:rFonts w:ascii="宋体" w:hAnsi="宋体" w:hint="eastAsia"/>
                <w:sz w:val="24"/>
                <w:szCs w:val="24"/>
              </w:rPr>
              <w:t>A：</w:t>
            </w:r>
            <w:r w:rsidRPr="006D1D9C">
              <w:rPr>
                <w:rFonts w:ascii="宋体" w:hAnsi="宋体" w:hint="eastAsia"/>
                <w:sz w:val="24"/>
                <w:szCs w:val="24"/>
              </w:rPr>
              <w:t>为进一步完善公司技术及产品布局，丰富公司产品种类，并完善公司区位布局，提升服务能力，</w:t>
            </w:r>
            <w:r w:rsidR="006D1D9C" w:rsidRPr="006D1D9C">
              <w:rPr>
                <w:rFonts w:ascii="宋体" w:hAnsi="宋体" w:hint="eastAsia"/>
                <w:sz w:val="24"/>
                <w:szCs w:val="24"/>
              </w:rPr>
              <w:t>公司</w:t>
            </w:r>
            <w:r w:rsidRPr="006D1D9C">
              <w:rPr>
                <w:rFonts w:ascii="宋体" w:hAnsi="宋体" w:hint="eastAsia"/>
                <w:sz w:val="24"/>
                <w:szCs w:val="24"/>
              </w:rPr>
              <w:t>拟2026年度向特定对象发行A股股票募集资金不超过40亿元，用于上海集成电路装备研发制造基地项目，晶圆再生扩产项目及高端半导体装备研发项目。上述事项尚需获得公司股东会审议通过、上交所审核通过并经中国证监会同意注册后方可实施。</w:t>
            </w:r>
          </w:p>
          <w:p w:rsidR="000501D8" w:rsidRPr="00201985" w:rsidRDefault="000501D8" w:rsidP="000501D8">
            <w:pPr>
              <w:spacing w:line="360" w:lineRule="auto"/>
              <w:ind w:firstLineChars="200" w:firstLine="482"/>
              <w:rPr>
                <w:rFonts w:ascii="宋体" w:hAnsi="宋体"/>
                <w:b/>
                <w:sz w:val="24"/>
                <w:szCs w:val="24"/>
              </w:rPr>
            </w:pPr>
            <w:r w:rsidRPr="00164BF7">
              <w:rPr>
                <w:rFonts w:ascii="宋体" w:hAnsi="宋体" w:hint="eastAsia"/>
                <w:b/>
                <w:sz w:val="24"/>
                <w:szCs w:val="24"/>
              </w:rPr>
              <w:t>Q</w:t>
            </w:r>
            <w:r>
              <w:rPr>
                <w:rFonts w:ascii="宋体" w:hAnsi="宋体"/>
                <w:b/>
                <w:sz w:val="24"/>
                <w:szCs w:val="24"/>
              </w:rPr>
              <w:t>9</w:t>
            </w:r>
            <w:r w:rsidRPr="00164BF7">
              <w:rPr>
                <w:rFonts w:ascii="宋体" w:hAnsi="宋体" w:hint="eastAsia"/>
                <w:b/>
                <w:sz w:val="24"/>
                <w:szCs w:val="24"/>
              </w:rPr>
              <w:t>：</w:t>
            </w:r>
            <w:r w:rsidRPr="00D407BB">
              <w:rPr>
                <w:rFonts w:ascii="宋体" w:hAnsi="宋体" w:hint="eastAsia"/>
                <w:b/>
                <w:sz w:val="24"/>
                <w:szCs w:val="24"/>
              </w:rPr>
              <w:t>您好，我注意到贵公司2024年及本次均未采用直播形</w:t>
            </w:r>
            <w:r w:rsidRPr="00D407BB">
              <w:rPr>
                <w:rFonts w:ascii="宋体" w:hAnsi="宋体" w:hint="eastAsia"/>
                <w:b/>
                <w:sz w:val="24"/>
                <w:szCs w:val="24"/>
              </w:rPr>
              <w:lastRenderedPageBreak/>
              <w:t>式的业绩说明会并在会后提供视频回放。资本市场愈发重视信息透明度与沟通质量，业绩说明会不仅关系到投资者信息获取，也影响公司公众形象。视频直播及回放有助于提升信息传播的直观性与覆盖范围。请问贵公司2025年</w:t>
            </w:r>
            <w:r>
              <w:rPr>
                <w:rFonts w:ascii="宋体" w:hAnsi="宋体" w:hint="eastAsia"/>
                <w:b/>
                <w:sz w:val="24"/>
                <w:szCs w:val="24"/>
              </w:rPr>
              <w:t>的业绩说明会，是否考虑采用视频直播并提供会后回放？感谢您的解答</w:t>
            </w:r>
            <w:r w:rsidRPr="00201985">
              <w:rPr>
                <w:rFonts w:ascii="宋体" w:hAnsi="宋体" w:hint="eastAsia"/>
                <w:b/>
                <w:sz w:val="24"/>
                <w:szCs w:val="24"/>
              </w:rPr>
              <w:t>？</w:t>
            </w:r>
          </w:p>
          <w:p w:rsidR="000501D8" w:rsidRDefault="000501D8" w:rsidP="000501D8">
            <w:pPr>
              <w:spacing w:line="360" w:lineRule="auto"/>
              <w:ind w:firstLineChars="200" w:firstLine="480"/>
              <w:rPr>
                <w:rFonts w:ascii="宋体" w:hAnsi="宋体"/>
                <w:sz w:val="24"/>
                <w:szCs w:val="24"/>
              </w:rPr>
            </w:pPr>
            <w:r>
              <w:rPr>
                <w:rFonts w:ascii="宋体" w:hAnsi="宋体" w:hint="eastAsia"/>
                <w:sz w:val="24"/>
                <w:szCs w:val="24"/>
              </w:rPr>
              <w:t>A：</w:t>
            </w:r>
            <w:r w:rsidRPr="00D407BB">
              <w:rPr>
                <w:rFonts w:ascii="宋体" w:hAnsi="宋体" w:hint="eastAsia"/>
                <w:sz w:val="24"/>
                <w:szCs w:val="24"/>
              </w:rPr>
              <w:t>公司高度重视与广大中小投资者的沟通交流，始终致力于提升信息披露质量与投资者沟通效率。您提出的关于采用视频直播及会后回放的建议，公司将认真研究并予以统筹考</w:t>
            </w:r>
            <w:r>
              <w:rPr>
                <w:rFonts w:ascii="宋体" w:hAnsi="宋体" w:hint="eastAsia"/>
                <w:sz w:val="24"/>
                <w:szCs w:val="24"/>
              </w:rPr>
              <w:t>虑。未来会持续优化投资者沟通形式，切实保障投资者知情权与参与感</w:t>
            </w:r>
            <w:r w:rsidRPr="00D752CD">
              <w:rPr>
                <w:rFonts w:ascii="宋体" w:hAnsi="宋体" w:hint="eastAsia"/>
                <w:sz w:val="24"/>
                <w:szCs w:val="24"/>
              </w:rPr>
              <w:t>。</w:t>
            </w:r>
          </w:p>
          <w:p w:rsidR="00D63F54" w:rsidRPr="00164BF7" w:rsidRDefault="00D63F54" w:rsidP="00D63F54">
            <w:pPr>
              <w:spacing w:line="360" w:lineRule="auto"/>
              <w:ind w:firstLineChars="200" w:firstLine="482"/>
              <w:rPr>
                <w:rFonts w:ascii="宋体" w:hAnsi="宋体"/>
                <w:b/>
                <w:sz w:val="24"/>
                <w:szCs w:val="24"/>
              </w:rPr>
            </w:pPr>
            <w:r w:rsidRPr="00164BF7">
              <w:rPr>
                <w:rFonts w:ascii="宋体" w:hAnsi="宋体" w:hint="eastAsia"/>
                <w:b/>
                <w:sz w:val="24"/>
                <w:szCs w:val="24"/>
              </w:rPr>
              <w:t>Q</w:t>
            </w:r>
            <w:r w:rsidR="000501D8">
              <w:rPr>
                <w:rFonts w:ascii="宋体" w:hAnsi="宋体"/>
                <w:b/>
                <w:sz w:val="24"/>
                <w:szCs w:val="24"/>
              </w:rPr>
              <w:t>10</w:t>
            </w:r>
            <w:r w:rsidRPr="00164BF7">
              <w:rPr>
                <w:rFonts w:ascii="宋体" w:hAnsi="宋体" w:hint="eastAsia"/>
                <w:b/>
                <w:sz w:val="24"/>
                <w:szCs w:val="24"/>
              </w:rPr>
              <w:t>：公司未来的分红计划和派息政策？</w:t>
            </w:r>
          </w:p>
          <w:p w:rsidR="00730782" w:rsidRPr="0060772D" w:rsidRDefault="00D63F54" w:rsidP="00817FFE">
            <w:pPr>
              <w:spacing w:line="360" w:lineRule="auto"/>
              <w:ind w:firstLineChars="200" w:firstLine="480"/>
              <w:rPr>
                <w:rFonts w:ascii="宋体" w:hAnsi="宋体"/>
                <w:sz w:val="24"/>
                <w:szCs w:val="24"/>
              </w:rPr>
            </w:pPr>
            <w:r>
              <w:rPr>
                <w:rFonts w:ascii="宋体" w:hAnsi="宋体"/>
                <w:sz w:val="24"/>
                <w:szCs w:val="24"/>
              </w:rPr>
              <w:t>A</w:t>
            </w:r>
            <w:r>
              <w:rPr>
                <w:rFonts w:ascii="宋体" w:hAnsi="宋体" w:hint="eastAsia"/>
                <w:sz w:val="24"/>
                <w:szCs w:val="24"/>
              </w:rPr>
              <w:t>：</w:t>
            </w:r>
            <w:r w:rsidRPr="00D63F54">
              <w:rPr>
                <w:rFonts w:ascii="宋体" w:hAnsi="宋体" w:hint="eastAsia"/>
                <w:sz w:val="24"/>
                <w:szCs w:val="24"/>
              </w:rPr>
              <w:t>公司高度重视股东的投资回报，努力践行长期、健康、可持续的股东价值回报机制，公司将继续积极落实“以投资者为本”的上市公司发展理念，在保证正常经营和长远发展的前提下，继续统筹好公司发展、业绩增长与股东回报的动态平衡，严格执行公司利润分配政策，积极探索更多方式方法回报股东，提升广大投资者的获得感。</w:t>
            </w:r>
          </w:p>
        </w:tc>
      </w:tr>
      <w:bookmarkEnd w:id="0"/>
      <w:tr w:rsidR="00093896">
        <w:trPr>
          <w:trHeight w:val="568"/>
        </w:trPr>
        <w:tc>
          <w:tcPr>
            <w:tcW w:w="1589" w:type="dxa"/>
            <w:vAlign w:val="center"/>
          </w:tcPr>
          <w:p w:rsidR="00093896" w:rsidRDefault="00AF28A3">
            <w:pPr>
              <w:pStyle w:val="TableParagraph"/>
              <w:jc w:val="center"/>
              <w:rPr>
                <w:b/>
                <w:sz w:val="24"/>
                <w:szCs w:val="24"/>
                <w:lang w:eastAsia="en-US"/>
              </w:rPr>
            </w:pPr>
            <w:r>
              <w:rPr>
                <w:rFonts w:hint="eastAsia"/>
                <w:b/>
                <w:sz w:val="24"/>
                <w:szCs w:val="24"/>
                <w:lang w:eastAsia="en-US"/>
              </w:rPr>
              <w:lastRenderedPageBreak/>
              <w:t>附件清单</w:t>
            </w:r>
          </w:p>
        </w:tc>
        <w:tc>
          <w:tcPr>
            <w:tcW w:w="6687" w:type="dxa"/>
            <w:vAlign w:val="center"/>
          </w:tcPr>
          <w:p w:rsidR="00093896" w:rsidRDefault="00804026">
            <w:pPr>
              <w:pStyle w:val="TableParagraph"/>
              <w:autoSpaceDE/>
              <w:autoSpaceDN/>
              <w:ind w:leftChars="50" w:left="105" w:rightChars="50" w:right="105"/>
              <w:rPr>
                <w:sz w:val="24"/>
                <w:szCs w:val="24"/>
                <w:lang w:eastAsia="en-US"/>
              </w:rPr>
            </w:pPr>
            <w:r>
              <w:rPr>
                <w:rFonts w:hint="eastAsia"/>
                <w:sz w:val="24"/>
                <w:szCs w:val="24"/>
                <w:lang w:val="en-US"/>
              </w:rPr>
              <w:t>参会机构清单</w:t>
            </w:r>
          </w:p>
        </w:tc>
      </w:tr>
      <w:tr w:rsidR="00093896">
        <w:trPr>
          <w:trHeight w:val="541"/>
        </w:trPr>
        <w:tc>
          <w:tcPr>
            <w:tcW w:w="1589" w:type="dxa"/>
            <w:vAlign w:val="center"/>
          </w:tcPr>
          <w:p w:rsidR="00093896" w:rsidRDefault="00AF28A3">
            <w:pPr>
              <w:pStyle w:val="TableParagraph"/>
              <w:jc w:val="center"/>
              <w:rPr>
                <w:b/>
                <w:sz w:val="24"/>
                <w:szCs w:val="24"/>
                <w:lang w:eastAsia="en-US"/>
              </w:rPr>
            </w:pPr>
            <w:r>
              <w:rPr>
                <w:rFonts w:hint="eastAsia"/>
                <w:b/>
                <w:sz w:val="24"/>
                <w:szCs w:val="24"/>
                <w:lang w:eastAsia="en-US"/>
              </w:rPr>
              <w:t>日期</w:t>
            </w:r>
          </w:p>
        </w:tc>
        <w:tc>
          <w:tcPr>
            <w:tcW w:w="6687" w:type="dxa"/>
            <w:vAlign w:val="center"/>
          </w:tcPr>
          <w:p w:rsidR="00093896" w:rsidRDefault="00AF28A3" w:rsidP="00150658">
            <w:pPr>
              <w:pStyle w:val="TableParagraph"/>
              <w:autoSpaceDE/>
              <w:autoSpaceDN/>
              <w:ind w:leftChars="50" w:left="105" w:rightChars="50" w:right="105"/>
              <w:rPr>
                <w:sz w:val="24"/>
                <w:szCs w:val="24"/>
              </w:rPr>
            </w:pPr>
            <w:r>
              <w:rPr>
                <w:rFonts w:hint="eastAsia"/>
                <w:sz w:val="24"/>
                <w:szCs w:val="24"/>
                <w:lang w:eastAsia="en-US"/>
              </w:rPr>
              <w:t>202</w:t>
            </w:r>
            <w:r w:rsidR="00150658">
              <w:rPr>
                <w:sz w:val="24"/>
                <w:szCs w:val="24"/>
                <w:lang w:eastAsia="en-US"/>
              </w:rPr>
              <w:t>6</w:t>
            </w:r>
            <w:r>
              <w:rPr>
                <w:rFonts w:hint="eastAsia"/>
                <w:sz w:val="24"/>
                <w:szCs w:val="24"/>
                <w:lang w:eastAsia="en-US"/>
              </w:rPr>
              <w:t>年</w:t>
            </w:r>
            <w:r w:rsidR="00150658">
              <w:rPr>
                <w:sz w:val="24"/>
                <w:szCs w:val="24"/>
                <w:lang w:eastAsia="en-US"/>
              </w:rPr>
              <w:t>4</w:t>
            </w:r>
            <w:r>
              <w:rPr>
                <w:rFonts w:hint="eastAsia"/>
                <w:sz w:val="24"/>
                <w:szCs w:val="24"/>
              </w:rPr>
              <w:t>月</w:t>
            </w:r>
            <w:r w:rsidR="00150658">
              <w:rPr>
                <w:sz w:val="24"/>
                <w:szCs w:val="24"/>
                <w:lang w:val="en-US"/>
              </w:rPr>
              <w:t>24</w:t>
            </w:r>
            <w:r>
              <w:rPr>
                <w:rFonts w:hint="eastAsia"/>
                <w:sz w:val="24"/>
                <w:szCs w:val="24"/>
              </w:rPr>
              <w:t>日</w:t>
            </w:r>
          </w:p>
        </w:tc>
      </w:tr>
    </w:tbl>
    <w:p w:rsidR="00804026" w:rsidRDefault="00804026" w:rsidP="0084689D">
      <w:pPr>
        <w:tabs>
          <w:tab w:val="left" w:pos="2676"/>
        </w:tabs>
        <w:rPr>
          <w:rFonts w:ascii="Times New Roman" w:hAnsi="Times New Roman"/>
        </w:rPr>
        <w:sectPr w:rsidR="00804026">
          <w:pgSz w:w="11906" w:h="16838"/>
          <w:pgMar w:top="1440" w:right="1800" w:bottom="1440" w:left="1800" w:header="851" w:footer="992" w:gutter="0"/>
          <w:cols w:space="425"/>
          <w:docGrid w:type="lines" w:linePitch="312"/>
        </w:sectPr>
      </w:pPr>
    </w:p>
    <w:p w:rsidR="00804026" w:rsidRPr="009848F0" w:rsidRDefault="00804026" w:rsidP="00804026">
      <w:pPr>
        <w:rPr>
          <w:rFonts w:ascii="Times New Roman" w:hAnsi="Times New Roman"/>
          <w:b/>
          <w:sz w:val="24"/>
        </w:rPr>
      </w:pPr>
      <w:r w:rsidRPr="009848F0">
        <w:rPr>
          <w:rFonts w:ascii="Times New Roman" w:hAnsi="Times New Roman" w:hint="eastAsia"/>
          <w:b/>
          <w:sz w:val="24"/>
        </w:rPr>
        <w:lastRenderedPageBreak/>
        <w:t>附件：</w:t>
      </w:r>
      <w:r w:rsidRPr="00B575C9">
        <w:rPr>
          <w:rFonts w:ascii="Times New Roman" w:hAnsi="Times New Roman" w:hint="eastAsia"/>
          <w:b/>
          <w:sz w:val="24"/>
        </w:rPr>
        <w:t>参会机构清单</w:t>
      </w:r>
      <w:r w:rsidRPr="009848F0">
        <w:rPr>
          <w:rFonts w:ascii="Times New Roman" w:hAnsi="Times New Roman" w:hint="eastAsia"/>
          <w:b/>
          <w:sz w:val="24"/>
        </w:rPr>
        <w:t>（排名不分先后）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889"/>
      </w:tblGrid>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b/>
                <w:bCs/>
                <w:color w:val="000000"/>
                <w:kern w:val="0"/>
                <w:sz w:val="24"/>
                <w:szCs w:val="24"/>
              </w:rPr>
            </w:pPr>
            <w:r w:rsidRPr="007F6045">
              <w:rPr>
                <w:rFonts w:ascii="宋体" w:hAnsi="宋体" w:cs="宋体" w:hint="eastAsia"/>
                <w:b/>
                <w:bCs/>
                <w:color w:val="000000"/>
                <w:kern w:val="0"/>
                <w:sz w:val="24"/>
                <w:szCs w:val="24"/>
              </w:rPr>
              <w:t>序号</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b/>
                <w:bCs/>
                <w:color w:val="000000"/>
                <w:kern w:val="0"/>
                <w:sz w:val="24"/>
                <w:szCs w:val="24"/>
              </w:rPr>
            </w:pPr>
            <w:r w:rsidRPr="007F6045">
              <w:rPr>
                <w:rFonts w:ascii="宋体" w:hAnsi="宋体" w:cs="宋体" w:hint="eastAsia"/>
                <w:b/>
                <w:bCs/>
                <w:color w:val="000000"/>
                <w:kern w:val="0"/>
                <w:sz w:val="24"/>
                <w:szCs w:val="24"/>
              </w:rPr>
              <w:t>机构名称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CGS</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2</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UBS</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3</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Willing Capital</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4</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爱建证券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5</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百嘉基金管理有限公司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6</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北京沣沛投资管理有限公司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7</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北京京管泰富基金管理有限责任公司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8</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北京盛曦投资管理有限责任公司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9</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北京泽铭投资有限公司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10</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贝莱德</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11</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毕盛(上海)投资管理有限公司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12</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碧云资本</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13</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博时基金管理有限公司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14</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创金合信基金管理有限公司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15</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大和日华(上海)企业咨询有限公司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16</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大和证券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17</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大湾区发展基金管理有限公司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18</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东方证券资产管理有限公司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19</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东海证券股份有限公司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20</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东吴机械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21</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东兴基金管理有限公司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22</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东亚前海</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23</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方正电子</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24</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方正机械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25</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福建豪山资产管理有限公司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26</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富安达基金</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27</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富安达基金管理有限公司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28</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高盛亚洲</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29</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观富（北京）资产管理有限公司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30</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光大保德信</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31</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光大保德信基金管理有限公司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32</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光大永明资产管理股份有限公司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33</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光大证券股份有限公司（自营）</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34</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广东温氏投资有限公司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35</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广东正圆私募基金管理有限公司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36</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广银理财有限责任公司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37</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广州市航长投资管理有限公司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38</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广州云禧私募证券投资基金管理有限公司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39</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国海证券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40</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国金机械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41</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国开金融</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lastRenderedPageBreak/>
              <w:t>42</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国寿安保</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43</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国泰海通机械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44</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国泰基金</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45</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国泰君安证券投资部</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46</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国投机械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47</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国信电子</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48</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国信证券股份有限公司（自营）</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49</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国元证券（资管）</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50</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海通国际</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51</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杭州军璐投资有限公司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52</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禾永投资管理（北京）有限公司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53</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宏鼎财富</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54</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鸿运私募基金管理（海南）有限公司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55</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湖南八零后资产管理有限公司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56</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华福证券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57</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华能贵诚信托有限公司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58</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华泰证券股份有限公司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59</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华泰资管权益部</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60</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华西证券（自营）</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61</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华西证券研究所</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62</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华夏基金管理有限公司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63</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华夏久盈资产管理有限责任公司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64</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汇安基金管理有限责任公司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65</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汇丰晋信</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66</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嘉实基金</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67</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嘉实基金管理有限公司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68</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建信基金</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69</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建信养老金管理有限责任公司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70</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江苏汇鸿汇升投资管理有限公司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71</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江苏瑞华投资控股集团</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72</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金浦投资</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73</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金元顺安基金管理有限公司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74</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九泰基金管理有限公司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75</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开源机械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76</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临沂亿盛开元资产管理有限公司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77</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曼林基金</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78</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美银机械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79</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民生机械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80</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明世伙伴私募基金管理(珠海)有限公司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81</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南方基金股份有限公司投研团队</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82</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南京一米资本管理有限公司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83</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磐厚动量（上海）资本管理有限公司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84</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鹏华基金管理有限公司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lastRenderedPageBreak/>
              <w:t>85</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平安银行股份有限公司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86</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浦银安盛基金管理有限公司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87</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启明维创创业投资管理(上海)有限公司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88</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青岛逻辑基金管理有限公司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89</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人寿资产</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90</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上海博笃投资管理有限公司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91</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上海呈瑞投资管理有限公司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92</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上海顶天投资有限公司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93</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上海东方证券资产管理有限公司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94</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上海嘉世私募基金管理有限公司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95</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上海金恩投资有限公司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96</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上海君得安私募基金管理有限公司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97</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上海瞰道资产管理有限公司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98</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上海康橙投资管理股份有限公司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99</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上海盟洋投资管理有限公司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100</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上海明河投资管理有限公司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101</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上海潼骁投资发展中心（有限合伙）</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102</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上海途灵资产管理有限公司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103</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上海元昊投资</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104</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申万宏源证券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105</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申万机械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106</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申万菱信基金管理有限公司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107</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深圳前海道谊投资控股有限公司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108</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深圳前海互兴资产管理有限公司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109</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深圳市国晖投资有限公司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110</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深圳市怀德医疗健康管理有限公司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111</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深圳市鲲鹏恒隆投资有限公司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112</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深圳市明达资产管理有限公司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113</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深圳市尚诚资产管理有限责任公司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114</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深圳市裕晋私募证券投资基金管理有限公司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115</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深圳兴亿投资有限公司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116</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深圳展博投资管理有限公司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117</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太平洋资产管理有限责任公司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118</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太平养老保险股份有限公司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119</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天风证券股份有限公司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120</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天治基金管理有限公司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121</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万家基金管理有限公司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122</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西安江岳基金管理有限公司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123</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西安瀑布资产管理有限公司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124</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西部机械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125</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西部利得基金管理有限公司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126</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霄沣投资</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127</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信达机械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lastRenderedPageBreak/>
              <w:t>128</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信为资管(香港)有限公司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129</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玄卜投资(上海)有限公司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130</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野村东方机械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131</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银华基金</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132</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甬兴证券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133</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涌德瑞烜(上海)私募基金管理有限公司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134</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元昊投资</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135</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泽铭投资</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136</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长城财富保险资产管理股份有限公司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137</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长城基金管理有限公司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138</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长江机械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139</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长盛基金管理有限公司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140</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招商电子</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141</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招商机械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142</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招商证券股份有限公司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143</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浙江黑岩投资管理有限公司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144</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浙商机械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145</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浙商证券股份有限公司（自营）</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146</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中庚基金管理有限公司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147</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中国国际金融股份有限公司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148</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中国人保资产管理有限公司公募事业部（北京）</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149</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中国银河证券股份有限公司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150</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中荷人寿保险有限公司</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151</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中金电子</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152</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中金机械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153</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中信机械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154</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中信建投机械</w:t>
            </w:r>
          </w:p>
        </w:tc>
      </w:tr>
      <w:tr w:rsidR="007F6045" w:rsidRPr="007F6045" w:rsidTr="007F6045">
        <w:trPr>
          <w:trHeight w:val="20"/>
        </w:trPr>
        <w:tc>
          <w:tcPr>
            <w:tcW w:w="848"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155</w:t>
            </w:r>
          </w:p>
        </w:tc>
        <w:tc>
          <w:tcPr>
            <w:tcW w:w="4152" w:type="pct"/>
            <w:shd w:val="clear" w:color="auto" w:fill="auto"/>
            <w:noWrap/>
            <w:vAlign w:val="center"/>
            <w:hideMark/>
          </w:tcPr>
          <w:p w:rsidR="007F6045" w:rsidRPr="007F6045" w:rsidRDefault="007F6045" w:rsidP="007F6045">
            <w:pPr>
              <w:widowControl/>
              <w:jc w:val="center"/>
              <w:rPr>
                <w:rFonts w:ascii="宋体" w:hAnsi="宋体" w:cs="宋体" w:hint="eastAsia"/>
                <w:color w:val="000000"/>
                <w:kern w:val="0"/>
                <w:sz w:val="22"/>
              </w:rPr>
            </w:pPr>
            <w:r w:rsidRPr="007F6045">
              <w:rPr>
                <w:rFonts w:ascii="宋体" w:hAnsi="宋体" w:cs="宋体" w:hint="eastAsia"/>
                <w:color w:val="000000"/>
                <w:kern w:val="0"/>
                <w:sz w:val="22"/>
              </w:rPr>
              <w:t>中银国际资产管理股份有限公司</w:t>
            </w:r>
          </w:p>
        </w:tc>
      </w:tr>
    </w:tbl>
    <w:p w:rsidR="009848F0" w:rsidRPr="008B328C" w:rsidRDefault="0084689D" w:rsidP="0084689D">
      <w:pPr>
        <w:tabs>
          <w:tab w:val="left" w:pos="2676"/>
        </w:tabs>
        <w:rPr>
          <w:rFonts w:ascii="Times New Roman" w:hAnsi="Times New Roman"/>
        </w:rPr>
      </w:pPr>
      <w:r>
        <w:rPr>
          <w:rFonts w:ascii="Times New Roman" w:hAnsi="Times New Roman"/>
        </w:rPr>
        <w:tab/>
      </w:r>
    </w:p>
    <w:sectPr w:rsidR="009848F0" w:rsidRPr="008B32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71B" w:rsidRDefault="00D0271B" w:rsidP="00007F5B">
      <w:r>
        <w:separator/>
      </w:r>
    </w:p>
  </w:endnote>
  <w:endnote w:type="continuationSeparator" w:id="0">
    <w:p w:rsidR="00D0271B" w:rsidRDefault="00D0271B" w:rsidP="0000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71B" w:rsidRDefault="00D0271B" w:rsidP="00007F5B">
      <w:r>
        <w:separator/>
      </w:r>
    </w:p>
  </w:footnote>
  <w:footnote w:type="continuationSeparator" w:id="0">
    <w:p w:rsidR="00D0271B" w:rsidRDefault="00D0271B" w:rsidP="00007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defaultTabStop w:val="18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hNjk4YzUwZGI3MmEwOWU2ZjBiNmJkYTVmZjk1NmUifQ=="/>
  </w:docVars>
  <w:rsids>
    <w:rsidRoot w:val="002378D5"/>
    <w:rsid w:val="000025F5"/>
    <w:rsid w:val="00003777"/>
    <w:rsid w:val="00003BA0"/>
    <w:rsid w:val="00007F5B"/>
    <w:rsid w:val="000143AA"/>
    <w:rsid w:val="00015919"/>
    <w:rsid w:val="00024700"/>
    <w:rsid w:val="00026206"/>
    <w:rsid w:val="0002737F"/>
    <w:rsid w:val="00030137"/>
    <w:rsid w:val="00041981"/>
    <w:rsid w:val="00044E2A"/>
    <w:rsid w:val="00044EA7"/>
    <w:rsid w:val="0004607D"/>
    <w:rsid w:val="00046F2F"/>
    <w:rsid w:val="0004740E"/>
    <w:rsid w:val="000501D8"/>
    <w:rsid w:val="000532E4"/>
    <w:rsid w:val="00057746"/>
    <w:rsid w:val="00060276"/>
    <w:rsid w:val="00063183"/>
    <w:rsid w:val="000631AB"/>
    <w:rsid w:val="00067533"/>
    <w:rsid w:val="0007594B"/>
    <w:rsid w:val="00076E49"/>
    <w:rsid w:val="00076F39"/>
    <w:rsid w:val="000867F5"/>
    <w:rsid w:val="0008796B"/>
    <w:rsid w:val="00090C82"/>
    <w:rsid w:val="00093896"/>
    <w:rsid w:val="00093BC2"/>
    <w:rsid w:val="000A4596"/>
    <w:rsid w:val="000A4626"/>
    <w:rsid w:val="000A5EF1"/>
    <w:rsid w:val="000A68A6"/>
    <w:rsid w:val="000B1036"/>
    <w:rsid w:val="000C510F"/>
    <w:rsid w:val="000D363B"/>
    <w:rsid w:val="000D4479"/>
    <w:rsid w:val="000D66F2"/>
    <w:rsid w:val="000E7A4A"/>
    <w:rsid w:val="000F2864"/>
    <w:rsid w:val="000F53C0"/>
    <w:rsid w:val="000F54D4"/>
    <w:rsid w:val="000F5FD7"/>
    <w:rsid w:val="000F633C"/>
    <w:rsid w:val="001043DC"/>
    <w:rsid w:val="00111B8C"/>
    <w:rsid w:val="0012258A"/>
    <w:rsid w:val="001230F7"/>
    <w:rsid w:val="001334D8"/>
    <w:rsid w:val="00144532"/>
    <w:rsid w:val="00150658"/>
    <w:rsid w:val="00151659"/>
    <w:rsid w:val="001612B7"/>
    <w:rsid w:val="00164BF7"/>
    <w:rsid w:val="001710CE"/>
    <w:rsid w:val="001718B3"/>
    <w:rsid w:val="001747BA"/>
    <w:rsid w:val="001750CC"/>
    <w:rsid w:val="00177690"/>
    <w:rsid w:val="001806DE"/>
    <w:rsid w:val="00184E50"/>
    <w:rsid w:val="00186AEE"/>
    <w:rsid w:val="001A1455"/>
    <w:rsid w:val="001B14ED"/>
    <w:rsid w:val="001B1983"/>
    <w:rsid w:val="001C300E"/>
    <w:rsid w:val="001D42DB"/>
    <w:rsid w:val="001E5A06"/>
    <w:rsid w:val="001F2870"/>
    <w:rsid w:val="001F43EF"/>
    <w:rsid w:val="001F6946"/>
    <w:rsid w:val="00201985"/>
    <w:rsid w:val="002112F2"/>
    <w:rsid w:val="00217224"/>
    <w:rsid w:val="002245A9"/>
    <w:rsid w:val="00224769"/>
    <w:rsid w:val="0022624D"/>
    <w:rsid w:val="00234E3B"/>
    <w:rsid w:val="002378D5"/>
    <w:rsid w:val="00246CB0"/>
    <w:rsid w:val="00247541"/>
    <w:rsid w:val="00253443"/>
    <w:rsid w:val="00257C07"/>
    <w:rsid w:val="002644D4"/>
    <w:rsid w:val="00264B8D"/>
    <w:rsid w:val="002737EA"/>
    <w:rsid w:val="00282408"/>
    <w:rsid w:val="002900DE"/>
    <w:rsid w:val="002957A9"/>
    <w:rsid w:val="002A3B42"/>
    <w:rsid w:val="002A7B44"/>
    <w:rsid w:val="002B2228"/>
    <w:rsid w:val="002B60BB"/>
    <w:rsid w:val="002B729A"/>
    <w:rsid w:val="002C1196"/>
    <w:rsid w:val="002D1E0C"/>
    <w:rsid w:val="002E5FA2"/>
    <w:rsid w:val="002F34A9"/>
    <w:rsid w:val="002F52CD"/>
    <w:rsid w:val="00306B6A"/>
    <w:rsid w:val="00310418"/>
    <w:rsid w:val="00321BC0"/>
    <w:rsid w:val="0032243D"/>
    <w:rsid w:val="00322A74"/>
    <w:rsid w:val="00324889"/>
    <w:rsid w:val="003266B9"/>
    <w:rsid w:val="00352772"/>
    <w:rsid w:val="00352F61"/>
    <w:rsid w:val="003544AD"/>
    <w:rsid w:val="00363B7A"/>
    <w:rsid w:val="00363E3E"/>
    <w:rsid w:val="003711BE"/>
    <w:rsid w:val="003738F8"/>
    <w:rsid w:val="0037398C"/>
    <w:rsid w:val="0038369C"/>
    <w:rsid w:val="0039048C"/>
    <w:rsid w:val="003A094B"/>
    <w:rsid w:val="003A114D"/>
    <w:rsid w:val="003A143E"/>
    <w:rsid w:val="003A4D00"/>
    <w:rsid w:val="003B25CE"/>
    <w:rsid w:val="003C4119"/>
    <w:rsid w:val="003C64F4"/>
    <w:rsid w:val="003D1611"/>
    <w:rsid w:val="003E2235"/>
    <w:rsid w:val="003E54DD"/>
    <w:rsid w:val="0040011C"/>
    <w:rsid w:val="004018D2"/>
    <w:rsid w:val="00401943"/>
    <w:rsid w:val="00406CD6"/>
    <w:rsid w:val="004100BE"/>
    <w:rsid w:val="00417440"/>
    <w:rsid w:val="004269BF"/>
    <w:rsid w:val="00427D5D"/>
    <w:rsid w:val="00427FD1"/>
    <w:rsid w:val="00440DC0"/>
    <w:rsid w:val="004432CF"/>
    <w:rsid w:val="004456C6"/>
    <w:rsid w:val="00452DB8"/>
    <w:rsid w:val="00457C83"/>
    <w:rsid w:val="00467B60"/>
    <w:rsid w:val="0047044A"/>
    <w:rsid w:val="004728EE"/>
    <w:rsid w:val="00473D0C"/>
    <w:rsid w:val="004750EB"/>
    <w:rsid w:val="004804B1"/>
    <w:rsid w:val="00481066"/>
    <w:rsid w:val="00482059"/>
    <w:rsid w:val="004825C7"/>
    <w:rsid w:val="00483CB1"/>
    <w:rsid w:val="00485875"/>
    <w:rsid w:val="00486651"/>
    <w:rsid w:val="00487109"/>
    <w:rsid w:val="00492711"/>
    <w:rsid w:val="00495D6C"/>
    <w:rsid w:val="00497933"/>
    <w:rsid w:val="004A4DC1"/>
    <w:rsid w:val="004B274A"/>
    <w:rsid w:val="004C0E7B"/>
    <w:rsid w:val="004C3AD5"/>
    <w:rsid w:val="004C6E8A"/>
    <w:rsid w:val="004D0044"/>
    <w:rsid w:val="004D0E90"/>
    <w:rsid w:val="004D1DD8"/>
    <w:rsid w:val="004D2196"/>
    <w:rsid w:val="004D2D48"/>
    <w:rsid w:val="004E4C05"/>
    <w:rsid w:val="005005EE"/>
    <w:rsid w:val="005008C8"/>
    <w:rsid w:val="00501B1D"/>
    <w:rsid w:val="0051066D"/>
    <w:rsid w:val="00527958"/>
    <w:rsid w:val="005331DA"/>
    <w:rsid w:val="00541B1F"/>
    <w:rsid w:val="005466DF"/>
    <w:rsid w:val="00551D83"/>
    <w:rsid w:val="00552977"/>
    <w:rsid w:val="005557AA"/>
    <w:rsid w:val="005622CD"/>
    <w:rsid w:val="00565404"/>
    <w:rsid w:val="00565BFA"/>
    <w:rsid w:val="00567B92"/>
    <w:rsid w:val="005702BF"/>
    <w:rsid w:val="00570391"/>
    <w:rsid w:val="00570FAB"/>
    <w:rsid w:val="00571C2F"/>
    <w:rsid w:val="00574BCF"/>
    <w:rsid w:val="00576BC9"/>
    <w:rsid w:val="00581CCD"/>
    <w:rsid w:val="00583FF7"/>
    <w:rsid w:val="00584D9A"/>
    <w:rsid w:val="0058572E"/>
    <w:rsid w:val="005952A8"/>
    <w:rsid w:val="00595D5B"/>
    <w:rsid w:val="005A1082"/>
    <w:rsid w:val="005B4371"/>
    <w:rsid w:val="005B49FA"/>
    <w:rsid w:val="005C0BE1"/>
    <w:rsid w:val="005C1E5B"/>
    <w:rsid w:val="005D4C4F"/>
    <w:rsid w:val="005E014F"/>
    <w:rsid w:val="005E0EDB"/>
    <w:rsid w:val="005E1B60"/>
    <w:rsid w:val="005E5535"/>
    <w:rsid w:val="005F1142"/>
    <w:rsid w:val="005F482A"/>
    <w:rsid w:val="005F55D7"/>
    <w:rsid w:val="005F62B9"/>
    <w:rsid w:val="005F748B"/>
    <w:rsid w:val="00601EB4"/>
    <w:rsid w:val="0060551E"/>
    <w:rsid w:val="0060772D"/>
    <w:rsid w:val="006128A0"/>
    <w:rsid w:val="00613210"/>
    <w:rsid w:val="00621715"/>
    <w:rsid w:val="0063420D"/>
    <w:rsid w:val="00640953"/>
    <w:rsid w:val="0064216C"/>
    <w:rsid w:val="00643498"/>
    <w:rsid w:val="00644613"/>
    <w:rsid w:val="00655139"/>
    <w:rsid w:val="0069145B"/>
    <w:rsid w:val="00692CD1"/>
    <w:rsid w:val="006A0359"/>
    <w:rsid w:val="006B7541"/>
    <w:rsid w:val="006B7E91"/>
    <w:rsid w:val="006C0726"/>
    <w:rsid w:val="006C25C9"/>
    <w:rsid w:val="006C5759"/>
    <w:rsid w:val="006C5BF1"/>
    <w:rsid w:val="006D1D9C"/>
    <w:rsid w:val="006E0D05"/>
    <w:rsid w:val="006E61EC"/>
    <w:rsid w:val="006F44DD"/>
    <w:rsid w:val="007024A0"/>
    <w:rsid w:val="00704806"/>
    <w:rsid w:val="00706A38"/>
    <w:rsid w:val="007121F9"/>
    <w:rsid w:val="00720108"/>
    <w:rsid w:val="007201E2"/>
    <w:rsid w:val="00730782"/>
    <w:rsid w:val="00736C8A"/>
    <w:rsid w:val="00747D57"/>
    <w:rsid w:val="0075081E"/>
    <w:rsid w:val="0075628B"/>
    <w:rsid w:val="007646FA"/>
    <w:rsid w:val="007700AA"/>
    <w:rsid w:val="0077414D"/>
    <w:rsid w:val="00775270"/>
    <w:rsid w:val="007754D1"/>
    <w:rsid w:val="00780F96"/>
    <w:rsid w:val="00781754"/>
    <w:rsid w:val="007945C2"/>
    <w:rsid w:val="00795E25"/>
    <w:rsid w:val="007A1ACE"/>
    <w:rsid w:val="007A1AD5"/>
    <w:rsid w:val="007A2CF7"/>
    <w:rsid w:val="007B6D9E"/>
    <w:rsid w:val="007B6DD8"/>
    <w:rsid w:val="007D3625"/>
    <w:rsid w:val="007E6698"/>
    <w:rsid w:val="007F4463"/>
    <w:rsid w:val="007F482A"/>
    <w:rsid w:val="007F4969"/>
    <w:rsid w:val="007F6045"/>
    <w:rsid w:val="007F7D6E"/>
    <w:rsid w:val="00800B4C"/>
    <w:rsid w:val="00804026"/>
    <w:rsid w:val="008135E8"/>
    <w:rsid w:val="00813C19"/>
    <w:rsid w:val="0081552C"/>
    <w:rsid w:val="00817FFE"/>
    <w:rsid w:val="00823BA0"/>
    <w:rsid w:val="00836266"/>
    <w:rsid w:val="008373E9"/>
    <w:rsid w:val="00837BE2"/>
    <w:rsid w:val="00844470"/>
    <w:rsid w:val="00844FBD"/>
    <w:rsid w:val="00845FE6"/>
    <w:rsid w:val="0084689D"/>
    <w:rsid w:val="00850C27"/>
    <w:rsid w:val="008806AD"/>
    <w:rsid w:val="00882437"/>
    <w:rsid w:val="0088525C"/>
    <w:rsid w:val="00886E16"/>
    <w:rsid w:val="0089529D"/>
    <w:rsid w:val="008A0B93"/>
    <w:rsid w:val="008A4E3C"/>
    <w:rsid w:val="008B328C"/>
    <w:rsid w:val="008B58DA"/>
    <w:rsid w:val="008C0496"/>
    <w:rsid w:val="008C1347"/>
    <w:rsid w:val="008C3120"/>
    <w:rsid w:val="008C3579"/>
    <w:rsid w:val="008C4B47"/>
    <w:rsid w:val="008D1F2C"/>
    <w:rsid w:val="008E299D"/>
    <w:rsid w:val="008F308F"/>
    <w:rsid w:val="008F3B23"/>
    <w:rsid w:val="00906BDD"/>
    <w:rsid w:val="0091378C"/>
    <w:rsid w:val="0091553B"/>
    <w:rsid w:val="00916227"/>
    <w:rsid w:val="00916BCC"/>
    <w:rsid w:val="00922C0D"/>
    <w:rsid w:val="009269D4"/>
    <w:rsid w:val="009428A7"/>
    <w:rsid w:val="00950768"/>
    <w:rsid w:val="0095095B"/>
    <w:rsid w:val="0095342A"/>
    <w:rsid w:val="0095442C"/>
    <w:rsid w:val="009547AF"/>
    <w:rsid w:val="00962B4C"/>
    <w:rsid w:val="00971071"/>
    <w:rsid w:val="0097586B"/>
    <w:rsid w:val="00982DDB"/>
    <w:rsid w:val="009831AC"/>
    <w:rsid w:val="009848F0"/>
    <w:rsid w:val="00991E23"/>
    <w:rsid w:val="00994C70"/>
    <w:rsid w:val="00996DEC"/>
    <w:rsid w:val="00996F03"/>
    <w:rsid w:val="009B28AB"/>
    <w:rsid w:val="009B6408"/>
    <w:rsid w:val="009B6530"/>
    <w:rsid w:val="009C4A5F"/>
    <w:rsid w:val="009D167C"/>
    <w:rsid w:val="009D204A"/>
    <w:rsid w:val="009F0E45"/>
    <w:rsid w:val="00A01743"/>
    <w:rsid w:val="00A06538"/>
    <w:rsid w:val="00A13146"/>
    <w:rsid w:val="00A14565"/>
    <w:rsid w:val="00A14D6A"/>
    <w:rsid w:val="00A1673B"/>
    <w:rsid w:val="00A205A5"/>
    <w:rsid w:val="00A26D5E"/>
    <w:rsid w:val="00A32825"/>
    <w:rsid w:val="00A33B8C"/>
    <w:rsid w:val="00A34021"/>
    <w:rsid w:val="00A36D3E"/>
    <w:rsid w:val="00A37529"/>
    <w:rsid w:val="00A47643"/>
    <w:rsid w:val="00A55CF0"/>
    <w:rsid w:val="00A6371A"/>
    <w:rsid w:val="00A67248"/>
    <w:rsid w:val="00A70B8B"/>
    <w:rsid w:val="00A733AA"/>
    <w:rsid w:val="00A7464A"/>
    <w:rsid w:val="00A835AE"/>
    <w:rsid w:val="00A86E6F"/>
    <w:rsid w:val="00A91086"/>
    <w:rsid w:val="00A92A15"/>
    <w:rsid w:val="00A937D9"/>
    <w:rsid w:val="00A96104"/>
    <w:rsid w:val="00AA59EF"/>
    <w:rsid w:val="00AA629D"/>
    <w:rsid w:val="00AA7CB6"/>
    <w:rsid w:val="00AB060F"/>
    <w:rsid w:val="00AB6143"/>
    <w:rsid w:val="00AB75F2"/>
    <w:rsid w:val="00AC3077"/>
    <w:rsid w:val="00AC47BF"/>
    <w:rsid w:val="00AC4DF7"/>
    <w:rsid w:val="00AE7B79"/>
    <w:rsid w:val="00AF28A3"/>
    <w:rsid w:val="00AF46E7"/>
    <w:rsid w:val="00AF4848"/>
    <w:rsid w:val="00B00B94"/>
    <w:rsid w:val="00B024B3"/>
    <w:rsid w:val="00B02A20"/>
    <w:rsid w:val="00B036A0"/>
    <w:rsid w:val="00B07DBA"/>
    <w:rsid w:val="00B07DF4"/>
    <w:rsid w:val="00B32509"/>
    <w:rsid w:val="00B3311A"/>
    <w:rsid w:val="00B42BB7"/>
    <w:rsid w:val="00B43A39"/>
    <w:rsid w:val="00B46850"/>
    <w:rsid w:val="00B54F92"/>
    <w:rsid w:val="00B575C9"/>
    <w:rsid w:val="00B60DFC"/>
    <w:rsid w:val="00B6261D"/>
    <w:rsid w:val="00B66AC0"/>
    <w:rsid w:val="00B71BF6"/>
    <w:rsid w:val="00B76FFF"/>
    <w:rsid w:val="00B814FE"/>
    <w:rsid w:val="00B815CE"/>
    <w:rsid w:val="00B90144"/>
    <w:rsid w:val="00B97EF2"/>
    <w:rsid w:val="00BA0811"/>
    <w:rsid w:val="00BA483A"/>
    <w:rsid w:val="00BB288D"/>
    <w:rsid w:val="00BC02F5"/>
    <w:rsid w:val="00BC6F14"/>
    <w:rsid w:val="00BC7642"/>
    <w:rsid w:val="00BD12A6"/>
    <w:rsid w:val="00BD2A10"/>
    <w:rsid w:val="00BD3A12"/>
    <w:rsid w:val="00BE044D"/>
    <w:rsid w:val="00BE3A6C"/>
    <w:rsid w:val="00BE527F"/>
    <w:rsid w:val="00BF09EC"/>
    <w:rsid w:val="00BF154E"/>
    <w:rsid w:val="00BF1F0E"/>
    <w:rsid w:val="00C03387"/>
    <w:rsid w:val="00C109EA"/>
    <w:rsid w:val="00C22D40"/>
    <w:rsid w:val="00C24956"/>
    <w:rsid w:val="00C31516"/>
    <w:rsid w:val="00C355E5"/>
    <w:rsid w:val="00C4112B"/>
    <w:rsid w:val="00C52381"/>
    <w:rsid w:val="00C52834"/>
    <w:rsid w:val="00C53DFA"/>
    <w:rsid w:val="00C55C80"/>
    <w:rsid w:val="00C563E8"/>
    <w:rsid w:val="00C57607"/>
    <w:rsid w:val="00C61369"/>
    <w:rsid w:val="00C678DD"/>
    <w:rsid w:val="00C758D0"/>
    <w:rsid w:val="00C81B35"/>
    <w:rsid w:val="00C86DC9"/>
    <w:rsid w:val="00C94E0D"/>
    <w:rsid w:val="00CA1EF4"/>
    <w:rsid w:val="00CA2FEF"/>
    <w:rsid w:val="00CA7A50"/>
    <w:rsid w:val="00CB2580"/>
    <w:rsid w:val="00CB390C"/>
    <w:rsid w:val="00CB6181"/>
    <w:rsid w:val="00CC2560"/>
    <w:rsid w:val="00CC656F"/>
    <w:rsid w:val="00CC6E8D"/>
    <w:rsid w:val="00CD2A62"/>
    <w:rsid w:val="00CD373B"/>
    <w:rsid w:val="00CD4E7C"/>
    <w:rsid w:val="00CE7E16"/>
    <w:rsid w:val="00CF7422"/>
    <w:rsid w:val="00D00AD1"/>
    <w:rsid w:val="00D0271B"/>
    <w:rsid w:val="00D037EA"/>
    <w:rsid w:val="00D047D8"/>
    <w:rsid w:val="00D04C25"/>
    <w:rsid w:val="00D06292"/>
    <w:rsid w:val="00D11EBE"/>
    <w:rsid w:val="00D1537D"/>
    <w:rsid w:val="00D17C88"/>
    <w:rsid w:val="00D20714"/>
    <w:rsid w:val="00D21DB6"/>
    <w:rsid w:val="00D30DAB"/>
    <w:rsid w:val="00D32143"/>
    <w:rsid w:val="00D407BB"/>
    <w:rsid w:val="00D4362B"/>
    <w:rsid w:val="00D63F54"/>
    <w:rsid w:val="00D7024A"/>
    <w:rsid w:val="00D728FE"/>
    <w:rsid w:val="00D752CD"/>
    <w:rsid w:val="00D8255D"/>
    <w:rsid w:val="00D90EAE"/>
    <w:rsid w:val="00D93BC2"/>
    <w:rsid w:val="00D96107"/>
    <w:rsid w:val="00DA03F4"/>
    <w:rsid w:val="00DB4438"/>
    <w:rsid w:val="00DB6440"/>
    <w:rsid w:val="00DB7588"/>
    <w:rsid w:val="00DC13DC"/>
    <w:rsid w:val="00DC2D1E"/>
    <w:rsid w:val="00DD0B44"/>
    <w:rsid w:val="00DD35D5"/>
    <w:rsid w:val="00DE2ACD"/>
    <w:rsid w:val="00DE699F"/>
    <w:rsid w:val="00DF0FC7"/>
    <w:rsid w:val="00DF2E2F"/>
    <w:rsid w:val="00DF63CF"/>
    <w:rsid w:val="00DF7A82"/>
    <w:rsid w:val="00E00CF4"/>
    <w:rsid w:val="00E038AF"/>
    <w:rsid w:val="00E047EE"/>
    <w:rsid w:val="00E05142"/>
    <w:rsid w:val="00E10FC4"/>
    <w:rsid w:val="00E10FD5"/>
    <w:rsid w:val="00E17462"/>
    <w:rsid w:val="00E32778"/>
    <w:rsid w:val="00E37E88"/>
    <w:rsid w:val="00E619E0"/>
    <w:rsid w:val="00E61A93"/>
    <w:rsid w:val="00E63B5E"/>
    <w:rsid w:val="00E670D0"/>
    <w:rsid w:val="00E707F5"/>
    <w:rsid w:val="00E71B1A"/>
    <w:rsid w:val="00E8035C"/>
    <w:rsid w:val="00E82C45"/>
    <w:rsid w:val="00E85EAF"/>
    <w:rsid w:val="00E86DDF"/>
    <w:rsid w:val="00E905B0"/>
    <w:rsid w:val="00E93CA2"/>
    <w:rsid w:val="00E94843"/>
    <w:rsid w:val="00EC6E7B"/>
    <w:rsid w:val="00ED54F7"/>
    <w:rsid w:val="00EE063A"/>
    <w:rsid w:val="00EE1D97"/>
    <w:rsid w:val="00EE7197"/>
    <w:rsid w:val="00EF3436"/>
    <w:rsid w:val="00EF384B"/>
    <w:rsid w:val="00EF6058"/>
    <w:rsid w:val="00F022CC"/>
    <w:rsid w:val="00F027E0"/>
    <w:rsid w:val="00F07DF7"/>
    <w:rsid w:val="00F10E95"/>
    <w:rsid w:val="00F14285"/>
    <w:rsid w:val="00F16D8F"/>
    <w:rsid w:val="00F2342C"/>
    <w:rsid w:val="00F27C3A"/>
    <w:rsid w:val="00F316AB"/>
    <w:rsid w:val="00F31800"/>
    <w:rsid w:val="00F33E73"/>
    <w:rsid w:val="00F4075A"/>
    <w:rsid w:val="00F43BBD"/>
    <w:rsid w:val="00F441A7"/>
    <w:rsid w:val="00F50921"/>
    <w:rsid w:val="00F51913"/>
    <w:rsid w:val="00F5205C"/>
    <w:rsid w:val="00F5394D"/>
    <w:rsid w:val="00F540CA"/>
    <w:rsid w:val="00F6706E"/>
    <w:rsid w:val="00F717E0"/>
    <w:rsid w:val="00F832A1"/>
    <w:rsid w:val="00F83E84"/>
    <w:rsid w:val="00FA197A"/>
    <w:rsid w:val="00FB7D72"/>
    <w:rsid w:val="00FC1A93"/>
    <w:rsid w:val="00FC3C61"/>
    <w:rsid w:val="00FC4470"/>
    <w:rsid w:val="00FD66E4"/>
    <w:rsid w:val="00FD7D7A"/>
    <w:rsid w:val="00FE0B30"/>
    <w:rsid w:val="00FE6A8F"/>
    <w:rsid w:val="00FF023B"/>
    <w:rsid w:val="00FF117B"/>
    <w:rsid w:val="016C4631"/>
    <w:rsid w:val="01B91D0C"/>
    <w:rsid w:val="0261145E"/>
    <w:rsid w:val="04511EA2"/>
    <w:rsid w:val="0595334E"/>
    <w:rsid w:val="06C24F68"/>
    <w:rsid w:val="07F63D43"/>
    <w:rsid w:val="08774E5E"/>
    <w:rsid w:val="0B595620"/>
    <w:rsid w:val="0CBB3A8C"/>
    <w:rsid w:val="0ECF70DD"/>
    <w:rsid w:val="0EFB2142"/>
    <w:rsid w:val="0F573C73"/>
    <w:rsid w:val="11774E65"/>
    <w:rsid w:val="11BB00E7"/>
    <w:rsid w:val="11D9337A"/>
    <w:rsid w:val="124C519A"/>
    <w:rsid w:val="12B8180E"/>
    <w:rsid w:val="12BE17CE"/>
    <w:rsid w:val="1336170C"/>
    <w:rsid w:val="1498096D"/>
    <w:rsid w:val="15514605"/>
    <w:rsid w:val="17FF422B"/>
    <w:rsid w:val="1897621A"/>
    <w:rsid w:val="1906603D"/>
    <w:rsid w:val="1AAB0773"/>
    <w:rsid w:val="1B326960"/>
    <w:rsid w:val="1BD33CD1"/>
    <w:rsid w:val="1BE4046A"/>
    <w:rsid w:val="1C05635E"/>
    <w:rsid w:val="1DCB6589"/>
    <w:rsid w:val="1E4531BB"/>
    <w:rsid w:val="1E921F4D"/>
    <w:rsid w:val="1EF51A09"/>
    <w:rsid w:val="20563854"/>
    <w:rsid w:val="22954B22"/>
    <w:rsid w:val="22C832E0"/>
    <w:rsid w:val="22CA65A4"/>
    <w:rsid w:val="22E273EA"/>
    <w:rsid w:val="24652BDE"/>
    <w:rsid w:val="247C0C4C"/>
    <w:rsid w:val="26355441"/>
    <w:rsid w:val="27157103"/>
    <w:rsid w:val="27413F9F"/>
    <w:rsid w:val="278422D2"/>
    <w:rsid w:val="278A6426"/>
    <w:rsid w:val="27AF6B8F"/>
    <w:rsid w:val="281F65F3"/>
    <w:rsid w:val="2A5528B6"/>
    <w:rsid w:val="2A77438F"/>
    <w:rsid w:val="2ABF3B39"/>
    <w:rsid w:val="2AFF32D6"/>
    <w:rsid w:val="2BAB5677"/>
    <w:rsid w:val="2CAE2423"/>
    <w:rsid w:val="2CBA1C4C"/>
    <w:rsid w:val="2D080EB0"/>
    <w:rsid w:val="2D510110"/>
    <w:rsid w:val="2D6F7AC4"/>
    <w:rsid w:val="2D803349"/>
    <w:rsid w:val="2EC66D06"/>
    <w:rsid w:val="2F8A06C1"/>
    <w:rsid w:val="31481D2B"/>
    <w:rsid w:val="31BB7257"/>
    <w:rsid w:val="322A4D9D"/>
    <w:rsid w:val="32CA0698"/>
    <w:rsid w:val="338308EC"/>
    <w:rsid w:val="344A5674"/>
    <w:rsid w:val="345F1609"/>
    <w:rsid w:val="34DD6E60"/>
    <w:rsid w:val="351B15A0"/>
    <w:rsid w:val="35BD5D8E"/>
    <w:rsid w:val="36D02BE7"/>
    <w:rsid w:val="379E4FE5"/>
    <w:rsid w:val="37FF3EFD"/>
    <w:rsid w:val="39C71B3C"/>
    <w:rsid w:val="3A3967A2"/>
    <w:rsid w:val="3A506CF3"/>
    <w:rsid w:val="3A92488E"/>
    <w:rsid w:val="3AAC3BE1"/>
    <w:rsid w:val="3AC56E83"/>
    <w:rsid w:val="3DEF013E"/>
    <w:rsid w:val="3E236AD0"/>
    <w:rsid w:val="3E8A0EA0"/>
    <w:rsid w:val="3F633F46"/>
    <w:rsid w:val="40B25CC9"/>
    <w:rsid w:val="410F3E94"/>
    <w:rsid w:val="433F58B0"/>
    <w:rsid w:val="44FF13B3"/>
    <w:rsid w:val="46AC6D78"/>
    <w:rsid w:val="46EE708F"/>
    <w:rsid w:val="473A46B1"/>
    <w:rsid w:val="47C05109"/>
    <w:rsid w:val="47F3492D"/>
    <w:rsid w:val="48385556"/>
    <w:rsid w:val="4A706BF1"/>
    <w:rsid w:val="4C0266A4"/>
    <w:rsid w:val="4D8745B7"/>
    <w:rsid w:val="4DB72981"/>
    <w:rsid w:val="4E2118EA"/>
    <w:rsid w:val="4FD962C1"/>
    <w:rsid w:val="505B2982"/>
    <w:rsid w:val="506643DA"/>
    <w:rsid w:val="5372742B"/>
    <w:rsid w:val="541C7DB9"/>
    <w:rsid w:val="552B19ED"/>
    <w:rsid w:val="560363E5"/>
    <w:rsid w:val="5635786C"/>
    <w:rsid w:val="566815DA"/>
    <w:rsid w:val="56932BF5"/>
    <w:rsid w:val="58BB5ED7"/>
    <w:rsid w:val="5B2F6DAD"/>
    <w:rsid w:val="5F3C0E6C"/>
    <w:rsid w:val="5F865A2F"/>
    <w:rsid w:val="5FA215B0"/>
    <w:rsid w:val="60493168"/>
    <w:rsid w:val="60BC229F"/>
    <w:rsid w:val="61F00D71"/>
    <w:rsid w:val="621147B9"/>
    <w:rsid w:val="62A87154"/>
    <w:rsid w:val="6445303D"/>
    <w:rsid w:val="648166D5"/>
    <w:rsid w:val="64E22EA5"/>
    <w:rsid w:val="6541773F"/>
    <w:rsid w:val="666371C6"/>
    <w:rsid w:val="666D1A12"/>
    <w:rsid w:val="67202C50"/>
    <w:rsid w:val="6750104E"/>
    <w:rsid w:val="687436E1"/>
    <w:rsid w:val="6A222833"/>
    <w:rsid w:val="6D387D79"/>
    <w:rsid w:val="6EB8757A"/>
    <w:rsid w:val="6F286FD3"/>
    <w:rsid w:val="6F9E443B"/>
    <w:rsid w:val="6FB57A86"/>
    <w:rsid w:val="702A5022"/>
    <w:rsid w:val="71A75DAA"/>
    <w:rsid w:val="71D21478"/>
    <w:rsid w:val="728144BB"/>
    <w:rsid w:val="72AC0802"/>
    <w:rsid w:val="7358514C"/>
    <w:rsid w:val="737F06B7"/>
    <w:rsid w:val="744E19CE"/>
    <w:rsid w:val="74905913"/>
    <w:rsid w:val="75505ED8"/>
    <w:rsid w:val="759F0E0D"/>
    <w:rsid w:val="75EE3FC9"/>
    <w:rsid w:val="76557722"/>
    <w:rsid w:val="76CB2A58"/>
    <w:rsid w:val="76CB4499"/>
    <w:rsid w:val="777C59E5"/>
    <w:rsid w:val="7936639C"/>
    <w:rsid w:val="79FD67C2"/>
    <w:rsid w:val="7A8676FF"/>
    <w:rsid w:val="7C4879EE"/>
    <w:rsid w:val="7CB62E01"/>
    <w:rsid w:val="7D807AEA"/>
    <w:rsid w:val="7EC82E14"/>
    <w:rsid w:val="7F2F3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6D099"/>
  <w15:docId w15:val="{9EA2FC7B-AB93-4F07-8C11-F2AF2B17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4D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val="zh-CN" w:bidi="zh-CN"/>
    </w:rPr>
  </w:style>
  <w:style w:type="character" w:customStyle="1" w:styleId="a9">
    <w:name w:val="页眉 字符"/>
    <w:basedOn w:val="a0"/>
    <w:link w:val="a8"/>
    <w:uiPriority w:val="99"/>
    <w:qFormat/>
    <w:rPr>
      <w:rFonts w:ascii="Calibri" w:eastAsia="宋体" w:hAnsi="Calibri" w:cs="Times New Roman"/>
      <w:sz w:val="18"/>
      <w:szCs w:val="18"/>
    </w:rPr>
  </w:style>
  <w:style w:type="character" w:customStyle="1" w:styleId="a7">
    <w:name w:val="页脚 字符"/>
    <w:basedOn w:val="a0"/>
    <w:link w:val="a6"/>
    <w:uiPriority w:val="99"/>
    <w:qFormat/>
    <w:rPr>
      <w:rFonts w:ascii="Calibri" w:eastAsia="宋体" w:hAnsi="Calibri" w:cs="Times New Roman"/>
      <w:sz w:val="18"/>
      <w:szCs w:val="18"/>
    </w:rPr>
  </w:style>
  <w:style w:type="character" w:customStyle="1" w:styleId="a5">
    <w:name w:val="批注框文本 字符"/>
    <w:basedOn w:val="a0"/>
    <w:link w:val="a4"/>
    <w:uiPriority w:val="99"/>
    <w:semiHidden/>
    <w:qFormat/>
    <w:rPr>
      <w:rFonts w:ascii="Calibri" w:eastAsia="宋体" w:hAnsi="Calibri" w:cs="Times New Roman"/>
      <w:sz w:val="18"/>
      <w:szCs w:val="18"/>
    </w:rPr>
  </w:style>
  <w:style w:type="character" w:customStyle="1" w:styleId="HTML0">
    <w:name w:val="HTML 预设格式 字符"/>
    <w:basedOn w:val="a0"/>
    <w:link w:val="HTML"/>
    <w:uiPriority w:val="99"/>
    <w:semiHidden/>
    <w:qFormat/>
    <w:rPr>
      <w:rFonts w:ascii="Courier New" w:eastAsia="宋体"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548268">
      <w:bodyDiv w:val="1"/>
      <w:marLeft w:val="0"/>
      <w:marRight w:val="0"/>
      <w:marTop w:val="0"/>
      <w:marBottom w:val="0"/>
      <w:divBdr>
        <w:top w:val="none" w:sz="0" w:space="0" w:color="auto"/>
        <w:left w:val="none" w:sz="0" w:space="0" w:color="auto"/>
        <w:bottom w:val="none" w:sz="0" w:space="0" w:color="auto"/>
        <w:right w:val="none" w:sz="0" w:space="0" w:color="auto"/>
      </w:divBdr>
    </w:div>
    <w:div w:id="576404137">
      <w:bodyDiv w:val="1"/>
      <w:marLeft w:val="0"/>
      <w:marRight w:val="0"/>
      <w:marTop w:val="0"/>
      <w:marBottom w:val="0"/>
      <w:divBdr>
        <w:top w:val="none" w:sz="0" w:space="0" w:color="auto"/>
        <w:left w:val="none" w:sz="0" w:space="0" w:color="auto"/>
        <w:bottom w:val="none" w:sz="0" w:space="0" w:color="auto"/>
        <w:right w:val="none" w:sz="0" w:space="0" w:color="auto"/>
      </w:divBdr>
    </w:div>
    <w:div w:id="674377767">
      <w:bodyDiv w:val="1"/>
      <w:marLeft w:val="0"/>
      <w:marRight w:val="0"/>
      <w:marTop w:val="0"/>
      <w:marBottom w:val="0"/>
      <w:divBdr>
        <w:top w:val="none" w:sz="0" w:space="0" w:color="auto"/>
        <w:left w:val="none" w:sz="0" w:space="0" w:color="auto"/>
        <w:bottom w:val="none" w:sz="0" w:space="0" w:color="auto"/>
        <w:right w:val="none" w:sz="0" w:space="0" w:color="auto"/>
      </w:divBdr>
    </w:div>
    <w:div w:id="835152647">
      <w:bodyDiv w:val="1"/>
      <w:marLeft w:val="0"/>
      <w:marRight w:val="0"/>
      <w:marTop w:val="0"/>
      <w:marBottom w:val="0"/>
      <w:divBdr>
        <w:top w:val="none" w:sz="0" w:space="0" w:color="auto"/>
        <w:left w:val="none" w:sz="0" w:space="0" w:color="auto"/>
        <w:bottom w:val="none" w:sz="0" w:space="0" w:color="auto"/>
        <w:right w:val="none" w:sz="0" w:space="0" w:color="auto"/>
      </w:divBdr>
    </w:div>
    <w:div w:id="1379278808">
      <w:bodyDiv w:val="1"/>
      <w:marLeft w:val="0"/>
      <w:marRight w:val="0"/>
      <w:marTop w:val="0"/>
      <w:marBottom w:val="0"/>
      <w:divBdr>
        <w:top w:val="none" w:sz="0" w:space="0" w:color="auto"/>
        <w:left w:val="none" w:sz="0" w:space="0" w:color="auto"/>
        <w:bottom w:val="none" w:sz="0" w:space="0" w:color="auto"/>
        <w:right w:val="none" w:sz="0" w:space="0" w:color="auto"/>
      </w:divBdr>
    </w:div>
    <w:div w:id="1833836221">
      <w:bodyDiv w:val="1"/>
      <w:marLeft w:val="0"/>
      <w:marRight w:val="0"/>
      <w:marTop w:val="0"/>
      <w:marBottom w:val="0"/>
      <w:divBdr>
        <w:top w:val="none" w:sz="0" w:space="0" w:color="auto"/>
        <w:left w:val="none" w:sz="0" w:space="0" w:color="auto"/>
        <w:bottom w:val="none" w:sz="0" w:space="0" w:color="auto"/>
        <w:right w:val="none" w:sz="0" w:space="0" w:color="auto"/>
      </w:divBdr>
    </w:div>
    <w:div w:id="1860923296">
      <w:bodyDiv w:val="1"/>
      <w:marLeft w:val="0"/>
      <w:marRight w:val="0"/>
      <w:marTop w:val="0"/>
      <w:marBottom w:val="0"/>
      <w:divBdr>
        <w:top w:val="none" w:sz="0" w:space="0" w:color="auto"/>
        <w:left w:val="none" w:sz="0" w:space="0" w:color="auto"/>
        <w:bottom w:val="none" w:sz="0" w:space="0" w:color="auto"/>
        <w:right w:val="none" w:sz="0" w:space="0" w:color="auto"/>
      </w:divBdr>
    </w:div>
    <w:div w:id="193543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qk\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C5D7F-3DA7-418D-8569-4C15AA00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55</TotalTime>
  <Pages>10</Pages>
  <Words>2890</Words>
  <Characters>3643</Characters>
  <Application>Microsoft Office Word</Application>
  <DocSecurity>0</DocSecurity>
  <Lines>364</Lines>
  <Paragraphs>384</Paragraphs>
  <ScaleCrop>false</ScaleCrop>
  <Company>Microsoft</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证券</cp:lastModifiedBy>
  <cp:revision>15</cp:revision>
  <cp:lastPrinted>2020-12-31T04:57:00Z</cp:lastPrinted>
  <dcterms:created xsi:type="dcterms:W3CDTF">2026-04-24T07:13:00Z</dcterms:created>
  <dcterms:modified xsi:type="dcterms:W3CDTF">2026-04-24T08:19:00Z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8EBB44CAAE0345A09C0E37D0D5C220C7_13</vt:lpwstr>
  </property>
</Properties>
</file>