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5E5BF" w14:textId="77777777" w:rsidR="00A755E1" w:rsidRPr="004A3552" w:rsidRDefault="00000000">
      <w:pPr>
        <w:spacing w:line="360" w:lineRule="auto"/>
        <w:jc w:val="both"/>
        <w:rPr>
          <w:rFonts w:ascii="Times New Roman" w:eastAsia="宋体" w:hAnsi="Times New Roman" w:cs="Times New Roman"/>
          <w:sz w:val="24"/>
          <w:szCs w:val="24"/>
          <w:lang w:val="en-US"/>
        </w:rPr>
      </w:pPr>
      <w:r w:rsidRPr="004A3552">
        <w:rPr>
          <w:rFonts w:ascii="Times New Roman" w:eastAsia="宋体" w:hAnsi="Times New Roman" w:cs="Times New Roman"/>
          <w:sz w:val="24"/>
          <w:szCs w:val="24"/>
          <w:lang w:val="en-US"/>
        </w:rPr>
        <w:t>证券代码：</w:t>
      </w:r>
      <w:r w:rsidRPr="004A3552">
        <w:rPr>
          <w:rFonts w:ascii="Times New Roman" w:eastAsia="宋体" w:hAnsi="Times New Roman" w:cs="Times New Roman"/>
          <w:sz w:val="24"/>
          <w:szCs w:val="24"/>
          <w:lang w:val="en-US"/>
        </w:rPr>
        <w:t xml:space="preserve">688327                    </w:t>
      </w:r>
      <w:r w:rsidRPr="004A3552">
        <w:rPr>
          <w:rFonts w:ascii="Times New Roman" w:eastAsia="宋体" w:hAnsi="Times New Roman" w:cs="Times New Roman" w:hint="eastAsia"/>
          <w:sz w:val="24"/>
          <w:szCs w:val="24"/>
          <w:lang w:val="en-US"/>
        </w:rPr>
        <w:t xml:space="preserve">              </w:t>
      </w:r>
      <w:r w:rsidRPr="004A3552">
        <w:rPr>
          <w:rFonts w:ascii="Times New Roman" w:eastAsia="宋体" w:hAnsi="Times New Roman" w:cs="Times New Roman"/>
          <w:sz w:val="24"/>
          <w:szCs w:val="24"/>
          <w:lang w:val="en-US"/>
        </w:rPr>
        <w:t xml:space="preserve">                    </w:t>
      </w:r>
      <w:r w:rsidRPr="004A3552">
        <w:rPr>
          <w:rFonts w:ascii="Times New Roman" w:eastAsia="宋体" w:hAnsi="Times New Roman" w:cs="Times New Roman"/>
          <w:sz w:val="24"/>
          <w:szCs w:val="24"/>
          <w:lang w:val="en-US"/>
        </w:rPr>
        <w:t>证券简称：</w:t>
      </w:r>
      <w:r w:rsidRPr="004A3552">
        <w:rPr>
          <w:rFonts w:ascii="Times New Roman" w:eastAsia="宋体" w:hAnsi="Times New Roman" w:cs="Times New Roman" w:hint="eastAsia"/>
          <w:sz w:val="24"/>
          <w:szCs w:val="24"/>
          <w:lang w:val="en-US"/>
        </w:rPr>
        <w:t>云从科技</w:t>
      </w:r>
    </w:p>
    <w:p w14:paraId="112BB7DE" w14:textId="77777777" w:rsidR="00A755E1" w:rsidRPr="004A3552" w:rsidRDefault="00000000">
      <w:pPr>
        <w:spacing w:beforeLines="50" w:before="120" w:afterLines="50" w:after="120" w:line="360" w:lineRule="auto"/>
        <w:jc w:val="center"/>
        <w:rPr>
          <w:rFonts w:ascii="Times New Roman" w:eastAsia="黑体" w:hAnsi="Times New Roman" w:cs="黑体"/>
          <w:b/>
          <w:bCs/>
          <w:sz w:val="32"/>
          <w:szCs w:val="32"/>
        </w:rPr>
      </w:pPr>
      <w:r w:rsidRPr="004A3552">
        <w:rPr>
          <w:rFonts w:ascii="Times New Roman" w:eastAsia="黑体" w:hAnsi="Times New Roman" w:cs="黑体" w:hint="eastAsia"/>
          <w:b/>
          <w:bCs/>
          <w:sz w:val="32"/>
          <w:szCs w:val="32"/>
          <w:lang w:val="en-US"/>
        </w:rPr>
        <w:t>云从科技集团</w:t>
      </w:r>
      <w:r w:rsidRPr="004A3552">
        <w:rPr>
          <w:rFonts w:ascii="Times New Roman" w:eastAsia="黑体" w:hAnsi="Times New Roman" w:cs="黑体" w:hint="eastAsia"/>
          <w:b/>
          <w:bCs/>
          <w:sz w:val="32"/>
          <w:szCs w:val="32"/>
        </w:rPr>
        <w:t>股份有限公司</w:t>
      </w:r>
    </w:p>
    <w:p w14:paraId="55396D34" w14:textId="77777777" w:rsidR="00A755E1" w:rsidRPr="004A3552" w:rsidRDefault="00000000">
      <w:pPr>
        <w:spacing w:beforeLines="50" w:before="120" w:afterLines="50" w:after="120" w:line="360" w:lineRule="auto"/>
        <w:jc w:val="center"/>
        <w:rPr>
          <w:rFonts w:ascii="Times New Roman" w:eastAsia="黑体" w:hAnsi="Times New Roman" w:cs="黑体"/>
          <w:b/>
          <w:bCs/>
          <w:sz w:val="32"/>
          <w:szCs w:val="32"/>
        </w:rPr>
      </w:pPr>
      <w:r w:rsidRPr="004A3552">
        <w:rPr>
          <w:rFonts w:ascii="Times New Roman" w:eastAsia="黑体" w:hAnsi="Times New Roman" w:cs="Times New Roman"/>
          <w:b/>
          <w:bCs/>
          <w:sz w:val="32"/>
          <w:szCs w:val="32"/>
        </w:rPr>
        <w:t>202</w:t>
      </w:r>
      <w:r w:rsidRPr="004A3552">
        <w:rPr>
          <w:rFonts w:ascii="Times New Roman" w:eastAsia="黑体" w:hAnsi="Times New Roman" w:cs="Times New Roman" w:hint="eastAsia"/>
          <w:b/>
          <w:bCs/>
          <w:sz w:val="32"/>
          <w:szCs w:val="32"/>
          <w:lang w:val="en-US"/>
        </w:rPr>
        <w:t>6</w:t>
      </w:r>
      <w:r w:rsidRPr="004A3552">
        <w:rPr>
          <w:rFonts w:ascii="Times New Roman" w:eastAsia="黑体" w:hAnsi="Times New Roman" w:cs="黑体" w:hint="eastAsia"/>
          <w:b/>
          <w:bCs/>
          <w:sz w:val="32"/>
          <w:szCs w:val="32"/>
        </w:rPr>
        <w:t>年</w:t>
      </w:r>
      <w:r w:rsidRPr="004A3552">
        <w:rPr>
          <w:rFonts w:ascii="Times New Roman" w:eastAsia="黑体" w:hAnsi="Times New Roman" w:cs="Times New Roman" w:hint="eastAsia"/>
          <w:b/>
          <w:bCs/>
          <w:sz w:val="32"/>
          <w:szCs w:val="32"/>
          <w:lang w:val="en-US"/>
        </w:rPr>
        <w:t>4</w:t>
      </w:r>
      <w:r w:rsidRPr="004A3552">
        <w:rPr>
          <w:rFonts w:ascii="Times New Roman" w:eastAsia="黑体" w:hAnsi="Times New Roman" w:cs="Times New Roman"/>
          <w:b/>
          <w:bCs/>
          <w:sz w:val="32"/>
          <w:szCs w:val="32"/>
        </w:rPr>
        <w:t>月</w:t>
      </w:r>
      <w:r w:rsidRPr="004A3552">
        <w:rPr>
          <w:rFonts w:ascii="Times New Roman" w:eastAsia="黑体" w:hAnsi="Times New Roman" w:cs="Times New Roman" w:hint="eastAsia"/>
          <w:b/>
          <w:bCs/>
          <w:sz w:val="32"/>
          <w:szCs w:val="32"/>
          <w:lang w:val="en-US"/>
        </w:rPr>
        <w:t>26</w:t>
      </w:r>
      <w:r w:rsidRPr="004A3552">
        <w:rPr>
          <w:rFonts w:ascii="Times New Roman" w:eastAsia="黑体" w:hAnsi="Times New Roman" w:cs="黑体" w:hint="eastAsia"/>
          <w:b/>
          <w:bCs/>
          <w:sz w:val="32"/>
          <w:szCs w:val="32"/>
        </w:rPr>
        <w:t>日投资者关系活动记录表</w:t>
      </w:r>
    </w:p>
    <w:p w14:paraId="171F4E84" w14:textId="77777777" w:rsidR="00A755E1" w:rsidRPr="004A3552" w:rsidRDefault="00000000">
      <w:pPr>
        <w:spacing w:line="360" w:lineRule="auto"/>
        <w:jc w:val="right"/>
        <w:rPr>
          <w:rFonts w:ascii="Times New Roman" w:eastAsia="宋体" w:hAnsi="Times New Roman" w:cs="Times New Roman"/>
          <w:spacing w:val="-3"/>
          <w:sz w:val="21"/>
          <w:lang w:val="en-US"/>
        </w:rPr>
      </w:pPr>
      <w:r w:rsidRPr="004A3552">
        <w:rPr>
          <w:rFonts w:ascii="Times New Roman" w:eastAsia="宋体" w:hAnsi="Times New Roman" w:cs="Times New Roman" w:hint="eastAsia"/>
          <w:spacing w:val="-3"/>
          <w:sz w:val="21"/>
          <w:lang w:val="en-US"/>
        </w:rPr>
        <w:t>编号：</w:t>
      </w:r>
      <w:r w:rsidRPr="004A3552">
        <w:rPr>
          <w:rFonts w:ascii="Times New Roman" w:eastAsia="宋体" w:hAnsi="Times New Roman" w:cs="Times New Roman"/>
          <w:spacing w:val="-3"/>
          <w:sz w:val="21"/>
          <w:lang w:val="en-US"/>
        </w:rPr>
        <w:t>202</w:t>
      </w:r>
      <w:r w:rsidRPr="004A3552">
        <w:rPr>
          <w:rFonts w:ascii="Times New Roman" w:eastAsia="宋体" w:hAnsi="Times New Roman" w:cs="Times New Roman" w:hint="eastAsia"/>
          <w:spacing w:val="-3"/>
          <w:sz w:val="21"/>
          <w:lang w:val="en-US"/>
        </w:rPr>
        <w:t>6</w:t>
      </w:r>
      <w:r w:rsidRPr="004A3552">
        <w:rPr>
          <w:rFonts w:ascii="Times New Roman" w:eastAsia="宋体" w:hAnsi="Times New Roman" w:cs="Times New Roman Regular"/>
          <w:spacing w:val="-3"/>
          <w:sz w:val="21"/>
          <w:lang w:val="en-US"/>
        </w:rPr>
        <w:t>-</w:t>
      </w:r>
      <w:r w:rsidRPr="004A3552">
        <w:rPr>
          <w:rFonts w:ascii="Times New Roman" w:eastAsia="宋体" w:hAnsi="Times New Roman" w:cs="Times New Roman"/>
          <w:spacing w:val="-3"/>
          <w:sz w:val="21"/>
          <w:lang w:val="en-US"/>
        </w:rPr>
        <w:t>00</w:t>
      </w:r>
      <w:r w:rsidRPr="004A3552">
        <w:rPr>
          <w:rFonts w:ascii="Times New Roman" w:eastAsia="宋体" w:hAnsi="Times New Roman" w:cs="Times New Roman" w:hint="eastAsia"/>
          <w:spacing w:val="-3"/>
          <w:sz w:val="21"/>
          <w:lang w:val="en-US"/>
        </w:rPr>
        <w:t>1</w:t>
      </w:r>
    </w:p>
    <w:tbl>
      <w:tblPr>
        <w:tblW w:w="512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52"/>
        <w:gridCol w:w="2410"/>
        <w:gridCol w:w="2708"/>
        <w:gridCol w:w="2117"/>
        <w:gridCol w:w="2439"/>
      </w:tblGrid>
      <w:tr w:rsidR="00A755E1" w:rsidRPr="004A3552" w14:paraId="18572242" w14:textId="77777777">
        <w:trPr>
          <w:trHeight w:val="397"/>
          <w:jc w:val="center"/>
        </w:trPr>
        <w:tc>
          <w:tcPr>
            <w:tcW w:w="490" w:type="pct"/>
            <w:vMerge w:val="restart"/>
            <w:vAlign w:val="center"/>
          </w:tcPr>
          <w:p w14:paraId="2713E3A3" w14:textId="77777777" w:rsidR="00A755E1" w:rsidRPr="004A3552" w:rsidRDefault="00000000">
            <w:pPr>
              <w:pStyle w:val="TableParagraph"/>
              <w:spacing w:before="1"/>
              <w:jc w:val="both"/>
              <w:rPr>
                <w:rFonts w:ascii="Times New Roman" w:eastAsiaTheme="minorEastAsia" w:hAnsi="Times New Roman" w:cs="Times New Roman"/>
                <w:sz w:val="21"/>
                <w:szCs w:val="21"/>
              </w:rPr>
            </w:pPr>
            <w:r w:rsidRPr="004A3552">
              <w:rPr>
                <w:rFonts w:ascii="Times New Roman" w:eastAsiaTheme="minorEastAsia" w:hAnsi="Times New Roman" w:cs="Times New Roman"/>
                <w:sz w:val="21"/>
                <w:szCs w:val="21"/>
              </w:rPr>
              <w:t>投资者关系活动类别</w:t>
            </w:r>
          </w:p>
        </w:tc>
        <w:tc>
          <w:tcPr>
            <w:tcW w:w="1123" w:type="pct"/>
            <w:tcBorders>
              <w:bottom w:val="nil"/>
              <w:right w:val="nil"/>
            </w:tcBorders>
            <w:vAlign w:val="center"/>
          </w:tcPr>
          <w:p w14:paraId="4110BB35" w14:textId="77777777" w:rsidR="00A755E1" w:rsidRPr="004A3552" w:rsidRDefault="00000000">
            <w:pPr>
              <w:pStyle w:val="TableParagraph"/>
              <w:tabs>
                <w:tab w:val="left" w:pos="2418"/>
              </w:tabs>
              <w:spacing w:before="1"/>
              <w:ind w:left="107"/>
              <w:jc w:val="both"/>
              <w:rPr>
                <w:rFonts w:ascii="Times New Roman" w:eastAsiaTheme="minorEastAsia" w:hAnsi="Times New Roman" w:cs="Times New Roman"/>
                <w:sz w:val="21"/>
                <w:szCs w:val="21"/>
              </w:rPr>
            </w:pPr>
            <w:r w:rsidRPr="004A3552">
              <w:rPr>
                <w:rFonts w:ascii="Times New Roman" w:eastAsiaTheme="minorEastAsia" w:hAnsi="Times New Roman" w:cs="Times New Roman"/>
                <w:sz w:val="21"/>
                <w:szCs w:val="21"/>
              </w:rPr>
              <w:sym w:font="Wingdings 2" w:char="00A3"/>
            </w:r>
            <w:r w:rsidRPr="004A3552">
              <w:rPr>
                <w:rFonts w:ascii="Times New Roman" w:eastAsiaTheme="minorEastAsia" w:hAnsi="Times New Roman" w:cs="Times New Roman"/>
                <w:sz w:val="21"/>
                <w:szCs w:val="21"/>
              </w:rPr>
              <w:t>特</w:t>
            </w:r>
            <w:r w:rsidRPr="004A3552">
              <w:rPr>
                <w:rFonts w:ascii="Times New Roman" w:eastAsiaTheme="minorEastAsia" w:hAnsi="Times New Roman" w:cs="Times New Roman"/>
                <w:spacing w:val="-3"/>
                <w:sz w:val="21"/>
                <w:szCs w:val="21"/>
              </w:rPr>
              <w:t>定</w:t>
            </w:r>
            <w:r w:rsidRPr="004A3552">
              <w:rPr>
                <w:rFonts w:ascii="Times New Roman" w:eastAsiaTheme="minorEastAsia" w:hAnsi="Times New Roman" w:cs="Times New Roman"/>
                <w:sz w:val="21"/>
                <w:szCs w:val="21"/>
              </w:rPr>
              <w:t>对</w:t>
            </w:r>
            <w:r w:rsidRPr="004A3552">
              <w:rPr>
                <w:rFonts w:ascii="Times New Roman" w:eastAsiaTheme="minorEastAsia" w:hAnsi="Times New Roman" w:cs="Times New Roman"/>
                <w:spacing w:val="-3"/>
                <w:sz w:val="21"/>
                <w:szCs w:val="21"/>
              </w:rPr>
              <w:t>象</w:t>
            </w:r>
            <w:r w:rsidRPr="004A3552">
              <w:rPr>
                <w:rFonts w:ascii="Times New Roman" w:eastAsiaTheme="minorEastAsia" w:hAnsi="Times New Roman" w:cs="Times New Roman"/>
                <w:sz w:val="21"/>
                <w:szCs w:val="21"/>
              </w:rPr>
              <w:t>调研</w:t>
            </w:r>
          </w:p>
        </w:tc>
        <w:tc>
          <w:tcPr>
            <w:tcW w:w="1262" w:type="pct"/>
            <w:tcBorders>
              <w:left w:val="nil"/>
              <w:bottom w:val="nil"/>
              <w:right w:val="nil"/>
            </w:tcBorders>
            <w:vAlign w:val="center"/>
          </w:tcPr>
          <w:p w14:paraId="39EAB5AC" w14:textId="77777777" w:rsidR="00A755E1" w:rsidRPr="004A3552" w:rsidRDefault="00000000">
            <w:pPr>
              <w:pStyle w:val="TableParagraph"/>
              <w:tabs>
                <w:tab w:val="left" w:pos="2418"/>
              </w:tabs>
              <w:spacing w:before="1"/>
              <w:ind w:left="107"/>
              <w:jc w:val="both"/>
              <w:rPr>
                <w:rFonts w:ascii="Times New Roman" w:eastAsiaTheme="minorEastAsia" w:hAnsi="Times New Roman" w:cs="Times New Roman"/>
                <w:sz w:val="21"/>
                <w:szCs w:val="21"/>
              </w:rPr>
            </w:pPr>
            <w:r w:rsidRPr="004A3552">
              <w:rPr>
                <w:rFonts w:ascii="Times New Roman" w:eastAsiaTheme="minorEastAsia" w:hAnsi="Times New Roman" w:cs="Times New Roman"/>
                <w:sz w:val="21"/>
                <w:szCs w:val="21"/>
              </w:rPr>
              <w:sym w:font="Wingdings 2" w:char="00A3"/>
            </w:r>
            <w:r w:rsidRPr="004A3552">
              <w:rPr>
                <w:rFonts w:ascii="Times New Roman" w:eastAsiaTheme="minorEastAsia" w:hAnsi="Times New Roman" w:cs="Times New Roman"/>
                <w:sz w:val="21"/>
                <w:szCs w:val="21"/>
              </w:rPr>
              <w:t>分</w:t>
            </w:r>
            <w:r w:rsidRPr="004A3552">
              <w:rPr>
                <w:rFonts w:ascii="Times New Roman" w:eastAsiaTheme="minorEastAsia" w:hAnsi="Times New Roman" w:cs="Times New Roman"/>
                <w:spacing w:val="-3"/>
                <w:sz w:val="21"/>
                <w:szCs w:val="21"/>
              </w:rPr>
              <w:t>析</w:t>
            </w:r>
            <w:proofErr w:type="gramStart"/>
            <w:r w:rsidRPr="004A3552">
              <w:rPr>
                <w:rFonts w:ascii="Times New Roman" w:eastAsiaTheme="minorEastAsia" w:hAnsi="Times New Roman" w:cs="Times New Roman"/>
                <w:sz w:val="21"/>
                <w:szCs w:val="21"/>
              </w:rPr>
              <w:t>师</w:t>
            </w:r>
            <w:r w:rsidRPr="004A3552">
              <w:rPr>
                <w:rFonts w:ascii="Times New Roman" w:eastAsiaTheme="minorEastAsia" w:hAnsi="Times New Roman" w:cs="Times New Roman"/>
                <w:spacing w:val="-3"/>
                <w:sz w:val="21"/>
                <w:szCs w:val="21"/>
              </w:rPr>
              <w:t>会</w:t>
            </w:r>
            <w:r w:rsidRPr="004A3552">
              <w:rPr>
                <w:rFonts w:ascii="Times New Roman" w:eastAsiaTheme="minorEastAsia" w:hAnsi="Times New Roman" w:cs="Times New Roman"/>
                <w:sz w:val="21"/>
                <w:szCs w:val="21"/>
              </w:rPr>
              <w:t>议</w:t>
            </w:r>
            <w:proofErr w:type="gramEnd"/>
          </w:p>
        </w:tc>
        <w:tc>
          <w:tcPr>
            <w:tcW w:w="987" w:type="pct"/>
            <w:tcBorders>
              <w:left w:val="nil"/>
              <w:bottom w:val="nil"/>
              <w:right w:val="nil"/>
            </w:tcBorders>
            <w:vAlign w:val="center"/>
          </w:tcPr>
          <w:p w14:paraId="7C486404" w14:textId="77777777" w:rsidR="00A755E1" w:rsidRPr="004A3552" w:rsidRDefault="00000000">
            <w:pPr>
              <w:pStyle w:val="TableParagraph"/>
              <w:tabs>
                <w:tab w:val="left" w:pos="2418"/>
              </w:tabs>
              <w:spacing w:before="1"/>
              <w:ind w:left="107"/>
              <w:jc w:val="both"/>
              <w:rPr>
                <w:rFonts w:ascii="Times New Roman" w:eastAsiaTheme="minorEastAsia" w:hAnsi="Times New Roman" w:cs="Times New Roman"/>
                <w:sz w:val="21"/>
                <w:szCs w:val="21"/>
              </w:rPr>
            </w:pPr>
            <w:r w:rsidRPr="004A3552">
              <w:rPr>
                <w:rFonts w:ascii="Times New Roman" w:eastAsiaTheme="minorEastAsia" w:hAnsi="Times New Roman" w:cs="Times New Roman"/>
                <w:sz w:val="21"/>
                <w:szCs w:val="21"/>
              </w:rPr>
              <w:sym w:font="Wingdings 2" w:char="00A3"/>
            </w:r>
            <w:r w:rsidRPr="004A3552">
              <w:rPr>
                <w:rFonts w:ascii="Times New Roman" w:eastAsiaTheme="minorEastAsia" w:hAnsi="Times New Roman" w:cs="Times New Roman"/>
                <w:sz w:val="21"/>
                <w:szCs w:val="21"/>
              </w:rPr>
              <w:t>媒</w:t>
            </w:r>
            <w:r w:rsidRPr="004A3552">
              <w:rPr>
                <w:rFonts w:ascii="Times New Roman" w:eastAsiaTheme="minorEastAsia" w:hAnsi="Times New Roman" w:cs="Times New Roman"/>
                <w:spacing w:val="-3"/>
                <w:sz w:val="21"/>
                <w:szCs w:val="21"/>
              </w:rPr>
              <w:t>体</w:t>
            </w:r>
            <w:r w:rsidRPr="004A3552">
              <w:rPr>
                <w:rFonts w:ascii="Times New Roman" w:eastAsiaTheme="minorEastAsia" w:hAnsi="Times New Roman" w:cs="Times New Roman"/>
                <w:sz w:val="21"/>
                <w:szCs w:val="21"/>
              </w:rPr>
              <w:t>采访</w:t>
            </w:r>
          </w:p>
        </w:tc>
        <w:tc>
          <w:tcPr>
            <w:tcW w:w="1137" w:type="pct"/>
            <w:tcBorders>
              <w:left w:val="nil"/>
              <w:bottom w:val="nil"/>
            </w:tcBorders>
            <w:vAlign w:val="center"/>
          </w:tcPr>
          <w:p w14:paraId="0031FA2C" w14:textId="77777777" w:rsidR="00A755E1" w:rsidRPr="004A3552" w:rsidRDefault="00000000">
            <w:pPr>
              <w:pStyle w:val="TableParagraph"/>
              <w:tabs>
                <w:tab w:val="left" w:pos="2418"/>
              </w:tabs>
              <w:spacing w:before="1"/>
              <w:ind w:left="107"/>
              <w:jc w:val="both"/>
              <w:rPr>
                <w:rFonts w:ascii="Times New Roman" w:eastAsiaTheme="minorEastAsia" w:hAnsi="Times New Roman" w:cs="Times New Roman"/>
                <w:sz w:val="21"/>
                <w:szCs w:val="21"/>
              </w:rPr>
            </w:pPr>
            <w:r w:rsidRPr="004A3552">
              <w:rPr>
                <w:rFonts w:ascii="Times New Roman" w:eastAsiaTheme="minorEastAsia" w:hAnsi="Times New Roman" w:cs="Times New Roman"/>
                <w:sz w:val="21"/>
                <w:szCs w:val="21"/>
              </w:rPr>
              <w:sym w:font="Wingdings 2" w:char="0052"/>
            </w:r>
            <w:r w:rsidRPr="004A3552">
              <w:rPr>
                <w:rFonts w:ascii="Times New Roman" w:eastAsiaTheme="minorEastAsia" w:hAnsi="Times New Roman" w:cs="Times New Roman"/>
                <w:sz w:val="21"/>
                <w:szCs w:val="21"/>
              </w:rPr>
              <w:t>业</w:t>
            </w:r>
            <w:r w:rsidRPr="004A3552">
              <w:rPr>
                <w:rFonts w:ascii="Times New Roman" w:eastAsiaTheme="minorEastAsia" w:hAnsi="Times New Roman" w:cs="Times New Roman"/>
                <w:spacing w:val="-3"/>
                <w:sz w:val="21"/>
                <w:szCs w:val="21"/>
              </w:rPr>
              <w:t>绩</w:t>
            </w:r>
            <w:r w:rsidRPr="004A3552">
              <w:rPr>
                <w:rFonts w:ascii="Times New Roman" w:eastAsiaTheme="minorEastAsia" w:hAnsi="Times New Roman" w:cs="Times New Roman"/>
                <w:sz w:val="21"/>
                <w:szCs w:val="21"/>
              </w:rPr>
              <w:t>说</w:t>
            </w:r>
            <w:r w:rsidRPr="004A3552">
              <w:rPr>
                <w:rFonts w:ascii="Times New Roman" w:eastAsiaTheme="minorEastAsia" w:hAnsi="Times New Roman" w:cs="Times New Roman"/>
                <w:spacing w:val="-3"/>
                <w:sz w:val="21"/>
                <w:szCs w:val="21"/>
              </w:rPr>
              <w:t>明</w:t>
            </w:r>
            <w:r w:rsidRPr="004A3552">
              <w:rPr>
                <w:rFonts w:ascii="Times New Roman" w:eastAsiaTheme="minorEastAsia" w:hAnsi="Times New Roman" w:cs="Times New Roman"/>
                <w:sz w:val="21"/>
                <w:szCs w:val="21"/>
              </w:rPr>
              <w:t>会</w:t>
            </w:r>
          </w:p>
        </w:tc>
      </w:tr>
      <w:tr w:rsidR="00A755E1" w:rsidRPr="004A3552" w14:paraId="478F37B6" w14:textId="77777777">
        <w:trPr>
          <w:trHeight w:val="397"/>
          <w:jc w:val="center"/>
        </w:trPr>
        <w:tc>
          <w:tcPr>
            <w:tcW w:w="490" w:type="pct"/>
            <w:vMerge/>
            <w:vAlign w:val="center"/>
          </w:tcPr>
          <w:p w14:paraId="61CA0143" w14:textId="77777777" w:rsidR="00A755E1" w:rsidRPr="004A3552" w:rsidRDefault="00A755E1">
            <w:pPr>
              <w:pStyle w:val="TableParagraph"/>
              <w:spacing w:before="1"/>
              <w:jc w:val="both"/>
              <w:rPr>
                <w:rFonts w:ascii="Times New Roman" w:eastAsiaTheme="minorEastAsia" w:hAnsi="Times New Roman" w:cs="Times New Roman"/>
                <w:sz w:val="21"/>
                <w:szCs w:val="21"/>
              </w:rPr>
            </w:pPr>
          </w:p>
        </w:tc>
        <w:tc>
          <w:tcPr>
            <w:tcW w:w="1123" w:type="pct"/>
            <w:tcBorders>
              <w:top w:val="nil"/>
              <w:right w:val="nil"/>
            </w:tcBorders>
            <w:vAlign w:val="center"/>
          </w:tcPr>
          <w:p w14:paraId="1D9F53E5" w14:textId="77777777" w:rsidR="00A755E1" w:rsidRPr="004A3552" w:rsidRDefault="00000000">
            <w:pPr>
              <w:pStyle w:val="TableParagraph"/>
              <w:tabs>
                <w:tab w:val="left" w:pos="2418"/>
              </w:tabs>
              <w:spacing w:before="1"/>
              <w:ind w:left="107"/>
              <w:jc w:val="both"/>
              <w:rPr>
                <w:rFonts w:ascii="Times New Roman" w:eastAsiaTheme="minorEastAsia" w:hAnsi="Times New Roman" w:cs="Times New Roman"/>
                <w:sz w:val="21"/>
                <w:szCs w:val="21"/>
              </w:rPr>
            </w:pPr>
            <w:r w:rsidRPr="004A3552">
              <w:rPr>
                <w:rFonts w:ascii="Times New Roman" w:eastAsiaTheme="minorEastAsia" w:hAnsi="Times New Roman" w:cs="Times New Roman"/>
                <w:sz w:val="21"/>
                <w:szCs w:val="21"/>
              </w:rPr>
              <w:sym w:font="Wingdings 2" w:char="00A3"/>
            </w:r>
            <w:r w:rsidRPr="004A3552">
              <w:rPr>
                <w:rFonts w:ascii="Times New Roman" w:eastAsiaTheme="minorEastAsia" w:hAnsi="Times New Roman" w:cs="Times New Roman"/>
                <w:sz w:val="21"/>
                <w:szCs w:val="21"/>
              </w:rPr>
              <w:t>新</w:t>
            </w:r>
            <w:r w:rsidRPr="004A3552">
              <w:rPr>
                <w:rFonts w:ascii="Times New Roman" w:eastAsiaTheme="minorEastAsia" w:hAnsi="Times New Roman" w:cs="Times New Roman"/>
                <w:spacing w:val="-3"/>
                <w:sz w:val="21"/>
                <w:szCs w:val="21"/>
              </w:rPr>
              <w:t>闻</w:t>
            </w:r>
            <w:r w:rsidRPr="004A3552">
              <w:rPr>
                <w:rFonts w:ascii="Times New Roman" w:eastAsiaTheme="minorEastAsia" w:hAnsi="Times New Roman" w:cs="Times New Roman"/>
                <w:sz w:val="21"/>
                <w:szCs w:val="21"/>
              </w:rPr>
              <w:t>发</w:t>
            </w:r>
            <w:r w:rsidRPr="004A3552">
              <w:rPr>
                <w:rFonts w:ascii="Times New Roman" w:eastAsiaTheme="minorEastAsia" w:hAnsi="Times New Roman" w:cs="Times New Roman"/>
                <w:spacing w:val="-3"/>
                <w:sz w:val="21"/>
                <w:szCs w:val="21"/>
              </w:rPr>
              <w:t>布</w:t>
            </w:r>
          </w:p>
        </w:tc>
        <w:tc>
          <w:tcPr>
            <w:tcW w:w="1262" w:type="pct"/>
            <w:tcBorders>
              <w:top w:val="nil"/>
              <w:left w:val="nil"/>
              <w:right w:val="nil"/>
            </w:tcBorders>
            <w:vAlign w:val="center"/>
          </w:tcPr>
          <w:p w14:paraId="04623B1B" w14:textId="77777777" w:rsidR="00A755E1" w:rsidRPr="004A3552" w:rsidRDefault="00000000">
            <w:pPr>
              <w:pStyle w:val="TableParagraph"/>
              <w:tabs>
                <w:tab w:val="left" w:pos="2418"/>
              </w:tabs>
              <w:spacing w:before="1"/>
              <w:ind w:left="107"/>
              <w:jc w:val="both"/>
              <w:rPr>
                <w:rFonts w:ascii="Times New Roman" w:eastAsiaTheme="minorEastAsia" w:hAnsi="Times New Roman" w:cs="Times New Roman"/>
                <w:sz w:val="21"/>
                <w:szCs w:val="21"/>
              </w:rPr>
            </w:pPr>
            <w:r w:rsidRPr="004A3552">
              <w:rPr>
                <w:rFonts w:ascii="Times New Roman" w:eastAsiaTheme="minorEastAsia" w:hAnsi="Times New Roman" w:cs="Times New Roman"/>
                <w:sz w:val="21"/>
                <w:szCs w:val="21"/>
              </w:rPr>
              <w:sym w:font="Wingdings 2" w:char="00A3"/>
            </w:r>
            <w:r w:rsidRPr="004A3552">
              <w:rPr>
                <w:rFonts w:ascii="Times New Roman" w:eastAsiaTheme="minorEastAsia" w:hAnsi="Times New Roman" w:cs="Times New Roman"/>
                <w:sz w:val="21"/>
                <w:szCs w:val="21"/>
              </w:rPr>
              <w:t>路</w:t>
            </w:r>
            <w:r w:rsidRPr="004A3552">
              <w:rPr>
                <w:rFonts w:ascii="Times New Roman" w:eastAsiaTheme="minorEastAsia" w:hAnsi="Times New Roman" w:cs="Times New Roman"/>
                <w:spacing w:val="-3"/>
                <w:sz w:val="21"/>
                <w:szCs w:val="21"/>
              </w:rPr>
              <w:t>演</w:t>
            </w:r>
            <w:r w:rsidRPr="004A3552">
              <w:rPr>
                <w:rFonts w:ascii="Times New Roman" w:eastAsiaTheme="minorEastAsia" w:hAnsi="Times New Roman" w:cs="Times New Roman"/>
                <w:sz w:val="21"/>
                <w:szCs w:val="21"/>
              </w:rPr>
              <w:t>活动</w:t>
            </w:r>
          </w:p>
        </w:tc>
        <w:tc>
          <w:tcPr>
            <w:tcW w:w="987" w:type="pct"/>
            <w:tcBorders>
              <w:top w:val="nil"/>
              <w:left w:val="nil"/>
              <w:right w:val="nil"/>
            </w:tcBorders>
            <w:vAlign w:val="center"/>
          </w:tcPr>
          <w:p w14:paraId="47823627" w14:textId="77777777" w:rsidR="00A755E1" w:rsidRPr="004A3552" w:rsidRDefault="00000000">
            <w:pPr>
              <w:pStyle w:val="TableParagraph"/>
              <w:tabs>
                <w:tab w:val="left" w:pos="2418"/>
              </w:tabs>
              <w:spacing w:before="1"/>
              <w:ind w:left="107"/>
              <w:jc w:val="both"/>
              <w:rPr>
                <w:rFonts w:ascii="Times New Roman" w:eastAsiaTheme="minorEastAsia" w:hAnsi="Times New Roman" w:cs="Times New Roman"/>
                <w:sz w:val="21"/>
                <w:szCs w:val="21"/>
              </w:rPr>
            </w:pPr>
            <w:r w:rsidRPr="004A3552">
              <w:rPr>
                <w:rFonts w:ascii="Times New Roman" w:eastAsiaTheme="minorEastAsia" w:hAnsi="Times New Roman" w:cs="Times New Roman"/>
                <w:sz w:val="21"/>
                <w:szCs w:val="21"/>
              </w:rPr>
              <w:sym w:font="Wingdings 2" w:char="00A3"/>
            </w:r>
            <w:r w:rsidRPr="004A3552">
              <w:rPr>
                <w:rFonts w:ascii="Times New Roman" w:eastAsiaTheme="minorEastAsia" w:hAnsi="Times New Roman" w:cs="Times New Roman"/>
                <w:sz w:val="21"/>
                <w:szCs w:val="21"/>
              </w:rPr>
              <w:t>现场参观</w:t>
            </w:r>
          </w:p>
        </w:tc>
        <w:tc>
          <w:tcPr>
            <w:tcW w:w="1137" w:type="pct"/>
            <w:tcBorders>
              <w:top w:val="nil"/>
              <w:left w:val="nil"/>
            </w:tcBorders>
            <w:vAlign w:val="center"/>
          </w:tcPr>
          <w:p w14:paraId="69644A9C" w14:textId="77777777" w:rsidR="00A755E1" w:rsidRPr="004A3552" w:rsidRDefault="00000000">
            <w:pPr>
              <w:pStyle w:val="TableParagraph"/>
              <w:tabs>
                <w:tab w:val="left" w:pos="2418"/>
              </w:tabs>
              <w:spacing w:before="1"/>
              <w:ind w:left="107"/>
              <w:jc w:val="both"/>
              <w:rPr>
                <w:rFonts w:ascii="Times New Roman" w:eastAsiaTheme="minorEastAsia" w:hAnsi="Times New Roman" w:cs="Times New Roman"/>
                <w:sz w:val="21"/>
                <w:szCs w:val="21"/>
              </w:rPr>
            </w:pPr>
            <w:r w:rsidRPr="004A3552">
              <w:rPr>
                <w:rFonts w:ascii="Times New Roman" w:eastAsiaTheme="minorEastAsia" w:hAnsi="Times New Roman" w:cs="Times New Roman"/>
                <w:sz w:val="21"/>
                <w:szCs w:val="21"/>
              </w:rPr>
              <w:sym w:font="Wingdings 2" w:char="00A3"/>
            </w:r>
            <w:r w:rsidRPr="004A3552">
              <w:rPr>
                <w:rFonts w:ascii="Times New Roman" w:eastAsiaTheme="minorEastAsia" w:hAnsi="Times New Roman" w:cs="Times New Roman"/>
                <w:sz w:val="21"/>
                <w:szCs w:val="21"/>
              </w:rPr>
              <w:t>其他（</w:t>
            </w:r>
            <w:r w:rsidRPr="004A3552">
              <w:rPr>
                <w:rFonts w:ascii="Times New Roman" w:eastAsiaTheme="minorEastAsia" w:hAnsi="Times New Roman" w:cs="Times New Roman"/>
                <w:sz w:val="21"/>
                <w:szCs w:val="21"/>
                <w:u w:val="single"/>
                <w:lang w:val="en-US"/>
              </w:rPr>
              <w:t>电话会议</w:t>
            </w:r>
            <w:r w:rsidRPr="004A3552">
              <w:rPr>
                <w:rFonts w:ascii="Times New Roman" w:eastAsiaTheme="minorEastAsia" w:hAnsi="Times New Roman" w:cs="Times New Roman"/>
                <w:sz w:val="21"/>
                <w:szCs w:val="21"/>
                <w:u w:val="single"/>
              </w:rPr>
              <w:t>）</w:t>
            </w:r>
          </w:p>
        </w:tc>
      </w:tr>
      <w:tr w:rsidR="00A755E1" w:rsidRPr="004A3552" w14:paraId="5B6DDBC3" w14:textId="77777777">
        <w:trPr>
          <w:trHeight w:val="397"/>
          <w:jc w:val="center"/>
        </w:trPr>
        <w:tc>
          <w:tcPr>
            <w:tcW w:w="490" w:type="pct"/>
            <w:vAlign w:val="center"/>
          </w:tcPr>
          <w:p w14:paraId="5C591051" w14:textId="77777777" w:rsidR="00A755E1" w:rsidRPr="004A3552" w:rsidRDefault="00000000">
            <w:pPr>
              <w:pStyle w:val="TableParagraph"/>
              <w:jc w:val="both"/>
              <w:rPr>
                <w:rFonts w:ascii="Times New Roman" w:eastAsiaTheme="minorEastAsia" w:hAnsi="Times New Roman" w:cs="Times New Roman"/>
                <w:sz w:val="21"/>
                <w:szCs w:val="21"/>
              </w:rPr>
            </w:pPr>
            <w:r w:rsidRPr="004A3552">
              <w:rPr>
                <w:rFonts w:ascii="Times New Roman" w:eastAsiaTheme="minorEastAsia" w:hAnsi="Times New Roman" w:cs="Times New Roman"/>
                <w:sz w:val="21"/>
                <w:szCs w:val="21"/>
              </w:rPr>
              <w:t>参与单位名称及人员姓名</w:t>
            </w:r>
          </w:p>
        </w:tc>
        <w:tc>
          <w:tcPr>
            <w:tcW w:w="4509" w:type="pct"/>
            <w:gridSpan w:val="4"/>
            <w:vAlign w:val="center"/>
          </w:tcPr>
          <w:p w14:paraId="5FD3CD0A" w14:textId="77777777" w:rsidR="00A755E1" w:rsidRPr="004A3552" w:rsidRDefault="00000000">
            <w:pPr>
              <w:rPr>
                <w:rFonts w:ascii="Times New Roman" w:eastAsiaTheme="minorEastAsia" w:hAnsi="Times New Roman" w:cs="Times New Roman"/>
                <w:sz w:val="21"/>
                <w:szCs w:val="21"/>
                <w:lang w:val="en-US"/>
              </w:rPr>
            </w:pPr>
            <w:r w:rsidRPr="004A3552">
              <w:rPr>
                <w:rFonts w:ascii="Times New Roman" w:eastAsiaTheme="minorEastAsia" w:hAnsi="Times New Roman" w:cs="Times New Roman"/>
                <w:sz w:val="21"/>
                <w:szCs w:val="21"/>
                <w:lang w:val="en-US"/>
              </w:rPr>
              <w:t>详见附件</w:t>
            </w:r>
          </w:p>
        </w:tc>
      </w:tr>
      <w:tr w:rsidR="00A755E1" w:rsidRPr="004A3552" w14:paraId="2A72B91C" w14:textId="77777777">
        <w:trPr>
          <w:trHeight w:val="397"/>
          <w:jc w:val="center"/>
        </w:trPr>
        <w:tc>
          <w:tcPr>
            <w:tcW w:w="490" w:type="pct"/>
            <w:vAlign w:val="center"/>
          </w:tcPr>
          <w:p w14:paraId="2094AD98" w14:textId="77777777" w:rsidR="00A755E1" w:rsidRPr="004A3552" w:rsidRDefault="00000000">
            <w:pPr>
              <w:pStyle w:val="TableParagraph"/>
              <w:spacing w:before="1"/>
              <w:jc w:val="both"/>
              <w:rPr>
                <w:rFonts w:ascii="Times New Roman" w:eastAsiaTheme="minorEastAsia" w:hAnsi="Times New Roman" w:cs="Times New Roman"/>
                <w:sz w:val="21"/>
                <w:szCs w:val="21"/>
              </w:rPr>
            </w:pPr>
            <w:r w:rsidRPr="004A3552">
              <w:rPr>
                <w:rFonts w:ascii="Times New Roman" w:eastAsiaTheme="minorEastAsia" w:hAnsi="Times New Roman" w:cs="Times New Roman"/>
                <w:sz w:val="21"/>
                <w:szCs w:val="21"/>
              </w:rPr>
              <w:t>时间</w:t>
            </w:r>
          </w:p>
        </w:tc>
        <w:tc>
          <w:tcPr>
            <w:tcW w:w="4509" w:type="pct"/>
            <w:gridSpan w:val="4"/>
            <w:vAlign w:val="center"/>
          </w:tcPr>
          <w:p w14:paraId="02D46D53" w14:textId="77777777" w:rsidR="00A755E1" w:rsidRPr="004A3552" w:rsidRDefault="00000000">
            <w:pPr>
              <w:pStyle w:val="TableParagraph"/>
              <w:rPr>
                <w:rFonts w:ascii="Times New Roman" w:eastAsiaTheme="minorEastAsia" w:hAnsi="Times New Roman" w:cs="Times New Roman"/>
                <w:sz w:val="21"/>
                <w:szCs w:val="21"/>
                <w:lang w:val="en-US"/>
              </w:rPr>
            </w:pPr>
            <w:r w:rsidRPr="004A3552">
              <w:rPr>
                <w:rFonts w:ascii="Times New Roman" w:eastAsiaTheme="minorEastAsia" w:hAnsi="Times New Roman" w:cs="Times New Roman"/>
                <w:sz w:val="21"/>
                <w:szCs w:val="21"/>
                <w:lang w:val="en-US"/>
              </w:rPr>
              <w:t>202</w:t>
            </w:r>
            <w:r w:rsidRPr="004A3552">
              <w:rPr>
                <w:rFonts w:ascii="Times New Roman" w:eastAsiaTheme="minorEastAsia" w:hAnsi="Times New Roman" w:cs="Times New Roman" w:hint="eastAsia"/>
                <w:sz w:val="21"/>
                <w:szCs w:val="21"/>
                <w:lang w:val="en-US"/>
              </w:rPr>
              <w:t>6</w:t>
            </w:r>
            <w:r w:rsidRPr="004A3552">
              <w:rPr>
                <w:rFonts w:ascii="Times New Roman" w:eastAsiaTheme="minorEastAsia" w:hAnsi="Times New Roman" w:cs="Times New Roman"/>
                <w:sz w:val="21"/>
                <w:szCs w:val="21"/>
                <w:lang w:val="en-US"/>
              </w:rPr>
              <w:t>年</w:t>
            </w:r>
            <w:r w:rsidRPr="004A3552">
              <w:rPr>
                <w:rFonts w:ascii="Times New Roman" w:eastAsiaTheme="minorEastAsia" w:hAnsi="Times New Roman" w:cs="Times New Roman" w:hint="eastAsia"/>
                <w:sz w:val="21"/>
                <w:szCs w:val="21"/>
                <w:lang w:val="en-US"/>
              </w:rPr>
              <w:t>4</w:t>
            </w:r>
            <w:r w:rsidRPr="004A3552">
              <w:rPr>
                <w:rFonts w:ascii="Times New Roman" w:eastAsiaTheme="minorEastAsia" w:hAnsi="Times New Roman" w:cs="Times New Roman"/>
                <w:sz w:val="21"/>
                <w:szCs w:val="21"/>
                <w:lang w:val="en-US"/>
              </w:rPr>
              <w:t>月</w:t>
            </w:r>
            <w:r w:rsidRPr="004A3552">
              <w:rPr>
                <w:rFonts w:ascii="Times New Roman" w:eastAsiaTheme="minorEastAsia" w:hAnsi="Times New Roman" w:cs="Times New Roman" w:hint="eastAsia"/>
                <w:sz w:val="21"/>
                <w:szCs w:val="21"/>
                <w:lang w:val="en-US"/>
              </w:rPr>
              <w:t>26</w:t>
            </w:r>
            <w:r w:rsidRPr="004A3552">
              <w:rPr>
                <w:rFonts w:ascii="Times New Roman" w:eastAsiaTheme="minorEastAsia" w:hAnsi="Times New Roman" w:cs="Times New Roman"/>
                <w:sz w:val="21"/>
                <w:szCs w:val="21"/>
                <w:lang w:val="en-US"/>
              </w:rPr>
              <w:t>日</w:t>
            </w:r>
            <w:r w:rsidRPr="004A3552">
              <w:rPr>
                <w:rFonts w:ascii="Times New Roman" w:eastAsiaTheme="minorEastAsia" w:hAnsi="Times New Roman" w:cs="Times New Roman"/>
                <w:sz w:val="21"/>
                <w:szCs w:val="21"/>
                <w:lang w:val="en-US"/>
              </w:rPr>
              <w:t xml:space="preserve"> </w:t>
            </w:r>
            <w:r w:rsidRPr="004A3552">
              <w:rPr>
                <w:rFonts w:ascii="Times New Roman" w:eastAsiaTheme="minorEastAsia" w:hAnsi="Times New Roman" w:cs="Times New Roman" w:hint="eastAsia"/>
                <w:sz w:val="21"/>
                <w:szCs w:val="21"/>
                <w:lang w:val="en-US"/>
              </w:rPr>
              <w:t>19</w:t>
            </w:r>
            <w:r w:rsidRPr="004A3552">
              <w:rPr>
                <w:rFonts w:ascii="Times New Roman" w:eastAsiaTheme="minorEastAsia" w:hAnsi="Times New Roman" w:cs="Times New Roman"/>
                <w:sz w:val="21"/>
                <w:szCs w:val="21"/>
                <w:lang w:val="en-US"/>
              </w:rPr>
              <w:t>:</w:t>
            </w:r>
            <w:r w:rsidRPr="004A3552">
              <w:rPr>
                <w:rFonts w:ascii="Times New Roman" w:eastAsiaTheme="minorEastAsia" w:hAnsi="Times New Roman" w:cs="Times New Roman" w:hint="eastAsia"/>
                <w:sz w:val="21"/>
                <w:szCs w:val="21"/>
                <w:lang w:val="en-US"/>
              </w:rPr>
              <w:t>00</w:t>
            </w:r>
            <w:r w:rsidRPr="004A3552">
              <w:rPr>
                <w:rFonts w:ascii="Times New Roman" w:eastAsiaTheme="minorEastAsia" w:hAnsi="Times New Roman" w:cs="Times New Roman"/>
                <w:sz w:val="21"/>
                <w:szCs w:val="21"/>
                <w:lang w:val="en-US"/>
              </w:rPr>
              <w:t>-</w:t>
            </w:r>
            <w:r w:rsidRPr="004A3552">
              <w:rPr>
                <w:rFonts w:ascii="Times New Roman" w:eastAsiaTheme="minorEastAsia" w:hAnsi="Times New Roman" w:cs="Times New Roman" w:hint="eastAsia"/>
                <w:sz w:val="21"/>
                <w:szCs w:val="21"/>
                <w:lang w:val="en-US"/>
              </w:rPr>
              <w:t>20</w:t>
            </w:r>
            <w:r w:rsidRPr="004A3552">
              <w:rPr>
                <w:rFonts w:ascii="Times New Roman" w:eastAsiaTheme="minorEastAsia" w:hAnsi="Times New Roman" w:cs="Times New Roman"/>
                <w:sz w:val="21"/>
                <w:szCs w:val="21"/>
                <w:lang w:val="en-US"/>
              </w:rPr>
              <w:t>:</w:t>
            </w:r>
            <w:r w:rsidRPr="004A3552">
              <w:rPr>
                <w:rFonts w:ascii="Times New Roman" w:eastAsiaTheme="minorEastAsia" w:hAnsi="Times New Roman" w:cs="Times New Roman" w:hint="eastAsia"/>
                <w:sz w:val="21"/>
                <w:szCs w:val="21"/>
                <w:lang w:val="en-US"/>
              </w:rPr>
              <w:t>00</w:t>
            </w:r>
          </w:p>
        </w:tc>
      </w:tr>
      <w:tr w:rsidR="00A755E1" w:rsidRPr="004A3552" w14:paraId="3AEB7183" w14:textId="77777777">
        <w:trPr>
          <w:trHeight w:val="397"/>
          <w:jc w:val="center"/>
        </w:trPr>
        <w:tc>
          <w:tcPr>
            <w:tcW w:w="490" w:type="pct"/>
            <w:vAlign w:val="center"/>
          </w:tcPr>
          <w:p w14:paraId="0E34243F" w14:textId="77777777" w:rsidR="00A755E1" w:rsidRPr="004A3552" w:rsidRDefault="00000000">
            <w:pPr>
              <w:pStyle w:val="TableParagraph"/>
              <w:jc w:val="both"/>
              <w:rPr>
                <w:rFonts w:ascii="Times New Roman" w:eastAsiaTheme="minorEastAsia" w:hAnsi="Times New Roman" w:cs="Times New Roman"/>
                <w:sz w:val="21"/>
                <w:szCs w:val="21"/>
              </w:rPr>
            </w:pPr>
            <w:r w:rsidRPr="004A3552">
              <w:rPr>
                <w:rFonts w:ascii="Times New Roman" w:eastAsiaTheme="minorEastAsia" w:hAnsi="Times New Roman" w:cs="Times New Roman"/>
                <w:sz w:val="21"/>
                <w:szCs w:val="21"/>
              </w:rPr>
              <w:t>地点</w:t>
            </w:r>
          </w:p>
        </w:tc>
        <w:tc>
          <w:tcPr>
            <w:tcW w:w="4509" w:type="pct"/>
            <w:gridSpan w:val="4"/>
            <w:vAlign w:val="center"/>
          </w:tcPr>
          <w:p w14:paraId="015F2A6E" w14:textId="77777777" w:rsidR="00A755E1" w:rsidRPr="004A3552" w:rsidRDefault="00000000">
            <w:pPr>
              <w:pStyle w:val="TableParagraph"/>
              <w:jc w:val="both"/>
              <w:rPr>
                <w:rFonts w:ascii="Times New Roman" w:eastAsiaTheme="minorEastAsia" w:hAnsi="Times New Roman" w:cs="Times New Roman"/>
                <w:sz w:val="21"/>
                <w:szCs w:val="21"/>
                <w:lang w:val="en-US"/>
              </w:rPr>
            </w:pPr>
            <w:r w:rsidRPr="004A3552">
              <w:rPr>
                <w:rFonts w:ascii="Times New Roman" w:eastAsiaTheme="minorEastAsia" w:hAnsi="Times New Roman" w:cs="Times New Roman" w:hint="eastAsia"/>
                <w:sz w:val="21"/>
                <w:szCs w:val="21"/>
                <w:lang w:val="en-US"/>
              </w:rPr>
              <w:t>进门财经网络电话会议</w:t>
            </w:r>
          </w:p>
        </w:tc>
      </w:tr>
      <w:tr w:rsidR="00A755E1" w:rsidRPr="004A3552" w14:paraId="31BA0F48" w14:textId="77777777">
        <w:trPr>
          <w:trHeight w:val="397"/>
          <w:jc w:val="center"/>
        </w:trPr>
        <w:tc>
          <w:tcPr>
            <w:tcW w:w="490" w:type="pct"/>
            <w:vAlign w:val="center"/>
          </w:tcPr>
          <w:p w14:paraId="756E873A" w14:textId="77777777" w:rsidR="00A755E1" w:rsidRPr="004A3552" w:rsidRDefault="00000000">
            <w:pPr>
              <w:pStyle w:val="TableParagraph"/>
              <w:jc w:val="both"/>
              <w:rPr>
                <w:rFonts w:ascii="Times New Roman" w:eastAsiaTheme="minorEastAsia" w:hAnsi="Times New Roman" w:cs="Times New Roman"/>
                <w:sz w:val="21"/>
                <w:szCs w:val="21"/>
              </w:rPr>
            </w:pPr>
            <w:r w:rsidRPr="004A3552">
              <w:rPr>
                <w:rFonts w:ascii="Times New Roman" w:eastAsiaTheme="minorEastAsia" w:hAnsi="Times New Roman" w:cs="Times New Roman"/>
                <w:sz w:val="21"/>
                <w:szCs w:val="21"/>
              </w:rPr>
              <w:t>上市公司接待人员姓名</w:t>
            </w:r>
          </w:p>
        </w:tc>
        <w:tc>
          <w:tcPr>
            <w:tcW w:w="4509" w:type="pct"/>
            <w:gridSpan w:val="4"/>
            <w:vAlign w:val="center"/>
          </w:tcPr>
          <w:p w14:paraId="2C46C32B" w14:textId="77777777" w:rsidR="00A755E1" w:rsidRPr="004A3552" w:rsidRDefault="00000000">
            <w:pPr>
              <w:pStyle w:val="TableParagraph"/>
              <w:jc w:val="both"/>
              <w:rPr>
                <w:rFonts w:ascii="Times New Roman" w:eastAsiaTheme="minorEastAsia" w:hAnsi="Times New Roman" w:cs="Times New Roman"/>
                <w:sz w:val="21"/>
                <w:szCs w:val="21"/>
              </w:rPr>
            </w:pPr>
            <w:r w:rsidRPr="004A3552">
              <w:rPr>
                <w:rFonts w:ascii="Times New Roman" w:eastAsiaTheme="minorEastAsia" w:hAnsi="Times New Roman" w:cs="Times New Roman"/>
                <w:sz w:val="21"/>
                <w:szCs w:val="21"/>
              </w:rPr>
              <w:t>董事、副总经理兼董事会秘书杨桦女士，财务总监高伟女士</w:t>
            </w:r>
            <w:r w:rsidRPr="004A3552">
              <w:rPr>
                <w:rFonts w:ascii="Times New Roman" w:eastAsiaTheme="minorEastAsia" w:hAnsi="Times New Roman" w:cs="Times New Roman" w:hint="eastAsia"/>
                <w:sz w:val="21"/>
                <w:szCs w:val="21"/>
              </w:rPr>
              <w:t>、战略部总监姚志强先生、技术产品总监叶懋先生</w:t>
            </w:r>
            <w:r w:rsidRPr="004A3552">
              <w:rPr>
                <w:rFonts w:ascii="Times New Roman" w:eastAsiaTheme="minorEastAsia" w:hAnsi="Times New Roman" w:cs="Times New Roman"/>
                <w:sz w:val="21"/>
                <w:szCs w:val="21"/>
              </w:rPr>
              <w:t>及董事会办公室相关人员</w:t>
            </w:r>
          </w:p>
        </w:tc>
      </w:tr>
      <w:tr w:rsidR="00A755E1" w:rsidRPr="004A3552" w14:paraId="4CA05606" w14:textId="77777777">
        <w:trPr>
          <w:trHeight w:val="498"/>
          <w:jc w:val="center"/>
        </w:trPr>
        <w:tc>
          <w:tcPr>
            <w:tcW w:w="490" w:type="pct"/>
            <w:vAlign w:val="center"/>
          </w:tcPr>
          <w:p w14:paraId="49E8FBA5" w14:textId="77777777" w:rsidR="00A755E1" w:rsidRPr="004A3552" w:rsidRDefault="00000000">
            <w:pPr>
              <w:pStyle w:val="TableParagraph"/>
              <w:spacing w:before="1"/>
              <w:jc w:val="both"/>
              <w:rPr>
                <w:rFonts w:ascii="Times New Roman" w:eastAsiaTheme="minorEastAsia" w:hAnsi="Times New Roman" w:cs="Times New Roman"/>
                <w:sz w:val="21"/>
                <w:szCs w:val="21"/>
              </w:rPr>
            </w:pPr>
            <w:bookmarkStart w:id="0" w:name="_Hlk212816049"/>
            <w:r w:rsidRPr="004A3552">
              <w:rPr>
                <w:rFonts w:ascii="Times New Roman" w:eastAsiaTheme="minorEastAsia" w:hAnsi="Times New Roman" w:cs="Times New Roman"/>
                <w:sz w:val="21"/>
                <w:szCs w:val="21"/>
              </w:rPr>
              <w:t>投资者关系活动主要内容介绍</w:t>
            </w:r>
          </w:p>
        </w:tc>
        <w:tc>
          <w:tcPr>
            <w:tcW w:w="4509" w:type="pct"/>
            <w:gridSpan w:val="4"/>
          </w:tcPr>
          <w:p w14:paraId="48418379" w14:textId="25B89605" w:rsidR="00A755E1" w:rsidRPr="004A3552" w:rsidRDefault="00000000">
            <w:pPr>
              <w:spacing w:beforeLines="50" w:before="120" w:afterLines="50" w:after="120" w:line="360" w:lineRule="auto"/>
              <w:ind w:firstLineChars="200" w:firstLine="422"/>
              <w:jc w:val="both"/>
              <w:rPr>
                <w:rFonts w:ascii="Times New Roman" w:eastAsiaTheme="minorEastAsia" w:hAnsi="Times New Roman" w:cs="Times New Roman"/>
                <w:b/>
                <w:sz w:val="21"/>
                <w:szCs w:val="21"/>
              </w:rPr>
            </w:pPr>
            <w:r w:rsidRPr="004A3552">
              <w:rPr>
                <w:rFonts w:ascii="Times New Roman" w:eastAsiaTheme="minorEastAsia" w:hAnsi="Times New Roman" w:cs="Times New Roman" w:hint="eastAsia"/>
                <w:b/>
                <w:sz w:val="21"/>
                <w:szCs w:val="21"/>
              </w:rPr>
              <w:t>问题</w:t>
            </w:r>
            <w:r w:rsidRPr="004A3552">
              <w:rPr>
                <w:rFonts w:ascii="Times New Roman" w:eastAsiaTheme="minorEastAsia" w:hAnsi="Times New Roman" w:cs="Times New Roman" w:hint="eastAsia"/>
                <w:b/>
                <w:sz w:val="21"/>
                <w:szCs w:val="21"/>
              </w:rPr>
              <w:t>1</w:t>
            </w:r>
            <w:r w:rsidRPr="004A3552">
              <w:rPr>
                <w:rFonts w:ascii="Times New Roman" w:eastAsiaTheme="minorEastAsia" w:hAnsi="Times New Roman" w:cs="Times New Roman" w:hint="eastAsia"/>
                <w:b/>
                <w:sz w:val="21"/>
                <w:szCs w:val="21"/>
              </w:rPr>
              <w:t>：</w:t>
            </w:r>
            <w:r w:rsidRPr="004A3552">
              <w:rPr>
                <w:rFonts w:ascii="Times New Roman" w:eastAsiaTheme="minorEastAsia" w:hAnsi="Times New Roman" w:cs="Times New Roman" w:hint="eastAsia"/>
                <w:b/>
                <w:sz w:val="21"/>
                <w:szCs w:val="21"/>
              </w:rPr>
              <w:t xml:space="preserve"> </w:t>
            </w:r>
            <w:r w:rsidRPr="004A3552">
              <w:rPr>
                <w:rFonts w:ascii="Times New Roman" w:eastAsiaTheme="minorEastAsia" w:hAnsi="Times New Roman" w:cs="Times New Roman" w:hint="eastAsia"/>
                <w:b/>
                <w:sz w:val="21"/>
                <w:szCs w:val="21"/>
              </w:rPr>
              <w:t>公司</w:t>
            </w:r>
            <w:r w:rsidRPr="004A3552">
              <w:rPr>
                <w:rFonts w:ascii="Times New Roman" w:eastAsiaTheme="minorEastAsia" w:hAnsi="Times New Roman" w:cs="Times New Roman" w:hint="eastAsia"/>
                <w:b/>
                <w:sz w:val="21"/>
                <w:szCs w:val="21"/>
              </w:rPr>
              <w:t>2025</w:t>
            </w:r>
            <w:r w:rsidRPr="004A3552">
              <w:rPr>
                <w:rFonts w:ascii="Times New Roman" w:eastAsiaTheme="minorEastAsia" w:hAnsi="Times New Roman" w:cs="Times New Roman" w:hint="eastAsia"/>
                <w:b/>
                <w:sz w:val="21"/>
                <w:szCs w:val="21"/>
              </w:rPr>
              <w:t>年全年营</w:t>
            </w:r>
            <w:proofErr w:type="gramStart"/>
            <w:r w:rsidRPr="004A3552">
              <w:rPr>
                <w:rFonts w:ascii="Times New Roman" w:eastAsiaTheme="minorEastAsia" w:hAnsi="Times New Roman" w:cs="Times New Roman" w:hint="eastAsia"/>
                <w:b/>
                <w:sz w:val="21"/>
                <w:szCs w:val="21"/>
              </w:rPr>
              <w:t>收增长</w:t>
            </w:r>
            <w:proofErr w:type="gramEnd"/>
            <w:r w:rsidRPr="004A3552">
              <w:rPr>
                <w:rFonts w:ascii="Times New Roman" w:eastAsiaTheme="minorEastAsia" w:hAnsi="Times New Roman" w:cs="Times New Roman" w:hint="eastAsia"/>
                <w:b/>
                <w:sz w:val="21"/>
                <w:szCs w:val="21"/>
              </w:rPr>
              <w:t>25</w:t>
            </w:r>
            <w:r w:rsidR="009236C7">
              <w:rPr>
                <w:rFonts w:ascii="Times New Roman" w:eastAsiaTheme="minorEastAsia" w:hAnsi="Times New Roman" w:cs="Times New Roman" w:hint="eastAsia"/>
                <w:b/>
                <w:sz w:val="21"/>
                <w:szCs w:val="21"/>
              </w:rPr>
              <w:t>.88</w:t>
            </w:r>
            <w:r w:rsidRPr="004A3552">
              <w:rPr>
                <w:rFonts w:ascii="Times New Roman" w:eastAsiaTheme="minorEastAsia" w:hAnsi="Times New Roman" w:cs="Times New Roman" w:hint="eastAsia"/>
                <w:b/>
                <w:sz w:val="21"/>
                <w:szCs w:val="21"/>
              </w:rPr>
              <w:t>%</w:t>
            </w:r>
            <w:r w:rsidRPr="004A3552">
              <w:rPr>
                <w:rFonts w:ascii="Times New Roman" w:eastAsiaTheme="minorEastAsia" w:hAnsi="Times New Roman" w:cs="Times New Roman" w:hint="eastAsia"/>
                <w:b/>
                <w:sz w:val="21"/>
                <w:szCs w:val="21"/>
              </w:rPr>
              <w:t>，但</w:t>
            </w:r>
            <w:r w:rsidRPr="004A3552">
              <w:rPr>
                <w:rFonts w:ascii="Times New Roman" w:eastAsiaTheme="minorEastAsia" w:hAnsi="Times New Roman" w:cs="Times New Roman" w:hint="eastAsia"/>
                <w:b/>
                <w:sz w:val="21"/>
                <w:szCs w:val="21"/>
              </w:rPr>
              <w:t>2026</w:t>
            </w:r>
            <w:r w:rsidRPr="004A3552">
              <w:rPr>
                <w:rFonts w:ascii="Times New Roman" w:eastAsiaTheme="minorEastAsia" w:hAnsi="Times New Roman" w:cs="Times New Roman" w:hint="eastAsia"/>
                <w:b/>
                <w:sz w:val="21"/>
                <w:szCs w:val="21"/>
              </w:rPr>
              <w:t>年一季度营收同比出现下滑。能否解释一下一季度收入下滑的原因？这是季节性因素还是公司主动调整的结果？</w:t>
            </w:r>
          </w:p>
          <w:p w14:paraId="64039738" w14:textId="292FB146" w:rsidR="00A755E1" w:rsidRPr="004A3552" w:rsidRDefault="004A3552">
            <w:pPr>
              <w:spacing w:beforeLines="50" w:before="120" w:afterLines="50" w:after="120" w:line="360" w:lineRule="auto"/>
              <w:ind w:firstLineChars="200" w:firstLine="422"/>
              <w:jc w:val="both"/>
              <w:rPr>
                <w:rFonts w:ascii="Times New Roman" w:eastAsiaTheme="minorEastAsia" w:hAnsi="Times New Roman" w:cs="Times New Roman"/>
                <w:bCs/>
                <w:sz w:val="21"/>
                <w:szCs w:val="21"/>
              </w:rPr>
            </w:pPr>
            <w:r w:rsidRPr="0038047D">
              <w:rPr>
                <w:rFonts w:ascii="Times New Roman" w:eastAsiaTheme="minorEastAsia" w:hAnsi="Times New Roman" w:cs="Times New Roman" w:hint="eastAsia"/>
                <w:b/>
                <w:sz w:val="21"/>
                <w:szCs w:val="21"/>
              </w:rPr>
              <w:t>答：</w:t>
            </w:r>
            <w:r w:rsidRPr="004A3552">
              <w:rPr>
                <w:rFonts w:ascii="Times New Roman" w:eastAsiaTheme="minorEastAsia" w:hAnsi="Times New Roman" w:cs="Times New Roman" w:hint="eastAsia"/>
                <w:bCs/>
                <w:sz w:val="21"/>
                <w:szCs w:val="21"/>
              </w:rPr>
              <w:t>两方面因素均有体现。首先是季节性原因，公司的收入结构本就呈现出</w:t>
            </w:r>
            <w:r w:rsidRPr="004A3552">
              <w:rPr>
                <w:rFonts w:ascii="Times New Roman" w:eastAsiaTheme="minorEastAsia" w:hAnsi="Times New Roman" w:cs="Times New Roman" w:hint="eastAsia"/>
                <w:bCs/>
                <w:sz w:val="21"/>
                <w:szCs w:val="21"/>
              </w:rPr>
              <w:t>Q4</w:t>
            </w:r>
            <w:r w:rsidRPr="004A3552">
              <w:rPr>
                <w:rFonts w:ascii="Times New Roman" w:eastAsiaTheme="minorEastAsia" w:hAnsi="Times New Roman" w:cs="Times New Roman" w:hint="eastAsia"/>
                <w:bCs/>
                <w:sz w:val="21"/>
                <w:szCs w:val="21"/>
              </w:rPr>
              <w:t>大于</w:t>
            </w:r>
            <w:r w:rsidRPr="004A3552">
              <w:rPr>
                <w:rFonts w:ascii="Times New Roman" w:eastAsiaTheme="minorEastAsia" w:hAnsi="Times New Roman" w:cs="Times New Roman" w:hint="eastAsia"/>
                <w:bCs/>
                <w:sz w:val="21"/>
                <w:szCs w:val="21"/>
              </w:rPr>
              <w:t>Q3</w:t>
            </w:r>
            <w:r w:rsidRPr="004A3552">
              <w:rPr>
                <w:rFonts w:ascii="Times New Roman" w:eastAsiaTheme="minorEastAsia" w:hAnsi="Times New Roman" w:cs="Times New Roman" w:hint="eastAsia"/>
                <w:bCs/>
                <w:sz w:val="21"/>
                <w:szCs w:val="21"/>
              </w:rPr>
              <w:t>大于</w:t>
            </w:r>
            <w:r w:rsidRPr="004A3552">
              <w:rPr>
                <w:rFonts w:ascii="Times New Roman" w:eastAsiaTheme="minorEastAsia" w:hAnsi="Times New Roman" w:cs="Times New Roman" w:hint="eastAsia"/>
                <w:bCs/>
                <w:sz w:val="21"/>
                <w:szCs w:val="21"/>
              </w:rPr>
              <w:t>Q2</w:t>
            </w:r>
            <w:r w:rsidRPr="004A3552">
              <w:rPr>
                <w:rFonts w:ascii="Times New Roman" w:eastAsiaTheme="minorEastAsia" w:hAnsi="Times New Roman" w:cs="Times New Roman" w:hint="eastAsia"/>
                <w:bCs/>
                <w:sz w:val="21"/>
                <w:szCs w:val="21"/>
              </w:rPr>
              <w:t>大于</w:t>
            </w:r>
            <w:r w:rsidRPr="004A3552">
              <w:rPr>
                <w:rFonts w:ascii="Times New Roman" w:eastAsiaTheme="minorEastAsia" w:hAnsi="Times New Roman" w:cs="Times New Roman" w:hint="eastAsia"/>
                <w:bCs/>
                <w:sz w:val="21"/>
                <w:szCs w:val="21"/>
              </w:rPr>
              <w:t>Q1</w:t>
            </w:r>
            <w:r w:rsidRPr="004A3552">
              <w:rPr>
                <w:rFonts w:ascii="Times New Roman" w:eastAsiaTheme="minorEastAsia" w:hAnsi="Times New Roman" w:cs="Times New Roman" w:hint="eastAsia"/>
                <w:bCs/>
                <w:sz w:val="21"/>
                <w:szCs w:val="21"/>
              </w:rPr>
              <w:t>的规律性特征。此外，本季度部分重点项目受技术升级带来的客户需求优化影响，验收与交付节奏有所顺延，未能在报告期内满足收入确认条件，属于节奏性递延，不代表全年趋势。</w:t>
            </w:r>
          </w:p>
          <w:p w14:paraId="78CD3906" w14:textId="25B098E2" w:rsidR="00A755E1" w:rsidRPr="004A3552" w:rsidRDefault="00000000">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r w:rsidRPr="004A3552">
              <w:rPr>
                <w:rFonts w:ascii="Times New Roman" w:eastAsiaTheme="minorEastAsia" w:hAnsi="Times New Roman" w:cs="Times New Roman" w:hint="eastAsia"/>
                <w:bCs/>
                <w:sz w:val="21"/>
                <w:szCs w:val="21"/>
              </w:rPr>
              <w:t>另一方面，也涉及公司主动推进商业模式转型的因素。随着公司</w:t>
            </w:r>
            <w:r w:rsidRPr="004A3552">
              <w:rPr>
                <w:rFonts w:ascii="Times New Roman" w:eastAsiaTheme="minorEastAsia" w:hAnsi="Times New Roman" w:cs="Times New Roman" w:hint="eastAsia"/>
                <w:bCs/>
                <w:sz w:val="21"/>
                <w:szCs w:val="21"/>
                <w:lang w:val="en-US"/>
              </w:rPr>
              <w:t>商业模式的调整，在</w:t>
            </w:r>
            <w:r w:rsidRPr="004A3552">
              <w:rPr>
                <w:rFonts w:ascii="Times New Roman" w:eastAsiaTheme="minorEastAsia" w:hAnsi="Times New Roman" w:cs="Times New Roman" w:hint="eastAsia"/>
                <w:bCs/>
                <w:sz w:val="21"/>
                <w:szCs w:val="21"/>
              </w:rPr>
              <w:t>Token</w:t>
            </w:r>
            <w:r w:rsidRPr="004A3552">
              <w:rPr>
                <w:rFonts w:ascii="Times New Roman" w:eastAsiaTheme="minorEastAsia" w:hAnsi="Times New Roman" w:cs="Times New Roman" w:hint="eastAsia"/>
                <w:bCs/>
                <w:sz w:val="21"/>
                <w:szCs w:val="21"/>
                <w:lang w:val="en-US"/>
              </w:rPr>
              <w:t>经济下的变化，</w:t>
            </w:r>
            <w:r w:rsidRPr="004A3552">
              <w:rPr>
                <w:rFonts w:ascii="Times New Roman" w:eastAsiaTheme="minorEastAsia" w:hAnsi="Times New Roman" w:cs="Times New Roman" w:hint="eastAsia"/>
                <w:bCs/>
                <w:sz w:val="21"/>
                <w:szCs w:val="21"/>
              </w:rPr>
              <w:t>对部分盈利能力较弱或不符合新交付逻辑的存量业务进行了主动优化，短期内对营</w:t>
            </w:r>
            <w:proofErr w:type="gramStart"/>
            <w:r w:rsidRPr="004A3552">
              <w:rPr>
                <w:rFonts w:ascii="Times New Roman" w:eastAsiaTheme="minorEastAsia" w:hAnsi="Times New Roman" w:cs="Times New Roman" w:hint="eastAsia"/>
                <w:bCs/>
                <w:sz w:val="21"/>
                <w:szCs w:val="21"/>
              </w:rPr>
              <w:t>收规模</w:t>
            </w:r>
            <w:proofErr w:type="gramEnd"/>
            <w:r w:rsidRPr="004A3552">
              <w:rPr>
                <w:rFonts w:ascii="Times New Roman" w:eastAsiaTheme="minorEastAsia" w:hAnsi="Times New Roman" w:cs="Times New Roman" w:hint="eastAsia"/>
                <w:bCs/>
                <w:sz w:val="21"/>
                <w:szCs w:val="21"/>
              </w:rPr>
              <w:t>产生了一定影响。但从质量指标来看，一季度</w:t>
            </w:r>
            <w:proofErr w:type="gramStart"/>
            <w:r w:rsidRPr="004A3552">
              <w:rPr>
                <w:rFonts w:ascii="Times New Roman" w:eastAsiaTheme="minorEastAsia" w:hAnsi="Times New Roman" w:cs="Times New Roman" w:hint="eastAsia"/>
                <w:bCs/>
                <w:sz w:val="21"/>
                <w:szCs w:val="21"/>
              </w:rPr>
              <w:t>归母净利润</w:t>
            </w:r>
            <w:proofErr w:type="gramEnd"/>
            <w:r w:rsidRPr="004A3552">
              <w:rPr>
                <w:rFonts w:ascii="Times New Roman" w:eastAsiaTheme="minorEastAsia" w:hAnsi="Times New Roman" w:cs="Times New Roman" w:hint="eastAsia"/>
                <w:bCs/>
                <w:sz w:val="21"/>
                <w:szCs w:val="21"/>
              </w:rPr>
              <w:t>亏损</w:t>
            </w:r>
            <w:proofErr w:type="gramStart"/>
            <w:r w:rsidRPr="004A3552">
              <w:rPr>
                <w:rFonts w:ascii="Times New Roman" w:eastAsiaTheme="minorEastAsia" w:hAnsi="Times New Roman" w:cs="Times New Roman" w:hint="eastAsia"/>
                <w:bCs/>
                <w:sz w:val="21"/>
                <w:szCs w:val="21"/>
              </w:rPr>
              <w:t>同比收</w:t>
            </w:r>
            <w:proofErr w:type="gramEnd"/>
            <w:r w:rsidRPr="004A3552">
              <w:rPr>
                <w:rFonts w:ascii="Times New Roman" w:eastAsiaTheme="minorEastAsia" w:hAnsi="Times New Roman" w:cs="Times New Roman" w:hint="eastAsia"/>
                <w:bCs/>
                <w:sz w:val="21"/>
                <w:szCs w:val="21"/>
              </w:rPr>
              <w:t>窄</w:t>
            </w:r>
            <w:r w:rsidRPr="004A3552">
              <w:rPr>
                <w:rFonts w:ascii="Times New Roman" w:eastAsiaTheme="minorEastAsia" w:hAnsi="Times New Roman" w:cs="Times New Roman" w:hint="eastAsia"/>
                <w:bCs/>
                <w:sz w:val="21"/>
                <w:szCs w:val="21"/>
              </w:rPr>
              <w:t>89.5%</w:t>
            </w:r>
            <w:r w:rsidRPr="004A3552">
              <w:rPr>
                <w:rFonts w:ascii="Times New Roman" w:eastAsiaTheme="minorEastAsia" w:hAnsi="Times New Roman" w:cs="Times New Roman" w:hint="eastAsia"/>
                <w:bCs/>
                <w:sz w:val="21"/>
                <w:szCs w:val="21"/>
              </w:rPr>
              <w:t>、综合毛利率大幅回升至</w:t>
            </w:r>
            <w:r w:rsidRPr="004A3552">
              <w:rPr>
                <w:rFonts w:ascii="Times New Roman" w:eastAsiaTheme="minorEastAsia" w:hAnsi="Times New Roman" w:cs="Times New Roman" w:hint="eastAsia"/>
                <w:bCs/>
                <w:sz w:val="21"/>
                <w:szCs w:val="21"/>
              </w:rPr>
              <w:t>47.98%</w:t>
            </w:r>
            <w:r w:rsidRPr="004A3552">
              <w:rPr>
                <w:rFonts w:ascii="Times New Roman" w:eastAsiaTheme="minorEastAsia" w:hAnsi="Times New Roman" w:cs="Times New Roman" w:hint="eastAsia"/>
                <w:bCs/>
                <w:sz w:val="21"/>
                <w:szCs w:val="21"/>
              </w:rPr>
              <w:t>、经营活动现金流量净额实现转正，这几项指标共同表明公司经营质量正在发生实质性改善。</w:t>
            </w:r>
          </w:p>
          <w:p w14:paraId="051BD70E" w14:textId="77777777" w:rsidR="00A755E1" w:rsidRPr="004A3552" w:rsidRDefault="00A755E1">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p>
          <w:p w14:paraId="1815EDDC" w14:textId="4B99D5E7" w:rsidR="00A755E1" w:rsidRPr="0038047D" w:rsidRDefault="00000000">
            <w:pPr>
              <w:spacing w:beforeLines="50" w:before="120" w:afterLines="50" w:after="120" w:line="360" w:lineRule="auto"/>
              <w:ind w:firstLineChars="200" w:firstLine="422"/>
              <w:jc w:val="both"/>
              <w:rPr>
                <w:rFonts w:ascii="Times New Roman" w:eastAsiaTheme="minorEastAsia" w:hAnsi="Times New Roman" w:cs="Times New Roman"/>
                <w:b/>
                <w:sz w:val="21"/>
                <w:szCs w:val="21"/>
              </w:rPr>
            </w:pPr>
            <w:r w:rsidRPr="0038047D">
              <w:rPr>
                <w:rFonts w:ascii="Times New Roman" w:eastAsiaTheme="minorEastAsia" w:hAnsi="Times New Roman" w:cs="Times New Roman" w:hint="eastAsia"/>
                <w:b/>
                <w:sz w:val="21"/>
                <w:szCs w:val="21"/>
              </w:rPr>
              <w:t>问题</w:t>
            </w:r>
            <w:r w:rsidRPr="0038047D">
              <w:rPr>
                <w:rFonts w:ascii="Times New Roman" w:eastAsiaTheme="minorEastAsia" w:hAnsi="Times New Roman" w:cs="Times New Roman"/>
                <w:b/>
                <w:sz w:val="21"/>
                <w:szCs w:val="21"/>
              </w:rPr>
              <w:t>2</w:t>
            </w:r>
            <w:r w:rsidRPr="0038047D">
              <w:rPr>
                <w:rFonts w:ascii="Times New Roman" w:eastAsiaTheme="minorEastAsia" w:hAnsi="Times New Roman" w:cs="Times New Roman" w:hint="eastAsia"/>
                <w:b/>
                <w:sz w:val="21"/>
                <w:szCs w:val="21"/>
              </w:rPr>
              <w:t>：</w:t>
            </w:r>
            <w:r w:rsidRPr="0038047D">
              <w:rPr>
                <w:rFonts w:ascii="Times New Roman" w:eastAsiaTheme="minorEastAsia" w:hAnsi="Times New Roman" w:cs="Times New Roman"/>
                <w:b/>
                <w:sz w:val="21"/>
                <w:szCs w:val="21"/>
              </w:rPr>
              <w:t xml:space="preserve"> 2025</w:t>
            </w:r>
            <w:r w:rsidRPr="0038047D">
              <w:rPr>
                <w:rFonts w:ascii="Times New Roman" w:eastAsiaTheme="minorEastAsia" w:hAnsi="Times New Roman" w:cs="Times New Roman" w:hint="eastAsia"/>
                <w:b/>
                <w:sz w:val="21"/>
                <w:szCs w:val="21"/>
              </w:rPr>
              <w:t>年毛利率同比有所下降，但一季度又大幅回升，毛利率波动背后的驱动逻辑是什么？未来趋势如何？</w:t>
            </w:r>
          </w:p>
          <w:p w14:paraId="31F98813" w14:textId="241DA436" w:rsidR="00A755E1" w:rsidRPr="004A3552" w:rsidRDefault="004A3552">
            <w:pPr>
              <w:spacing w:beforeLines="50" w:before="120" w:afterLines="50" w:after="120" w:line="360" w:lineRule="auto"/>
              <w:ind w:firstLineChars="200" w:firstLine="422"/>
              <w:jc w:val="both"/>
              <w:rPr>
                <w:rFonts w:ascii="Times New Roman" w:eastAsiaTheme="minorEastAsia" w:hAnsi="Times New Roman" w:cs="Times New Roman"/>
                <w:bCs/>
                <w:sz w:val="21"/>
                <w:szCs w:val="21"/>
              </w:rPr>
            </w:pPr>
            <w:r w:rsidRPr="0038047D">
              <w:rPr>
                <w:rFonts w:ascii="Times New Roman" w:eastAsiaTheme="minorEastAsia" w:hAnsi="Times New Roman" w:cs="Times New Roman" w:hint="eastAsia"/>
                <w:b/>
                <w:sz w:val="21"/>
                <w:szCs w:val="21"/>
              </w:rPr>
              <w:t>答：</w:t>
            </w:r>
            <w:r w:rsidRPr="004A3552">
              <w:rPr>
                <w:rFonts w:ascii="Times New Roman" w:eastAsiaTheme="minorEastAsia" w:hAnsi="Times New Roman" w:cs="Times New Roman" w:hint="eastAsia"/>
                <w:bCs/>
                <w:sz w:val="21"/>
                <w:szCs w:val="21"/>
              </w:rPr>
              <w:t>2025</w:t>
            </w:r>
            <w:r w:rsidRPr="004A3552">
              <w:rPr>
                <w:rFonts w:ascii="Times New Roman" w:eastAsiaTheme="minorEastAsia" w:hAnsi="Times New Roman" w:cs="Times New Roman" w:hint="eastAsia"/>
                <w:bCs/>
                <w:sz w:val="21"/>
                <w:szCs w:val="21"/>
              </w:rPr>
              <w:t>年全年综合毛利率为</w:t>
            </w:r>
            <w:r w:rsidRPr="004A3552">
              <w:rPr>
                <w:rFonts w:ascii="Times New Roman" w:eastAsiaTheme="minorEastAsia" w:hAnsi="Times New Roman" w:cs="Times New Roman" w:hint="eastAsia"/>
                <w:bCs/>
                <w:sz w:val="21"/>
                <w:szCs w:val="21"/>
              </w:rPr>
              <w:t>28.62%</w:t>
            </w:r>
            <w:r w:rsidRPr="004A3552">
              <w:rPr>
                <w:rFonts w:ascii="Times New Roman" w:eastAsiaTheme="minorEastAsia" w:hAnsi="Times New Roman" w:cs="Times New Roman" w:hint="eastAsia"/>
                <w:bCs/>
                <w:sz w:val="21"/>
                <w:szCs w:val="21"/>
              </w:rPr>
              <w:t>，较上年下降</w:t>
            </w:r>
            <w:r w:rsidRPr="004A3552">
              <w:rPr>
                <w:rFonts w:ascii="Times New Roman" w:eastAsiaTheme="minorEastAsia" w:hAnsi="Times New Roman" w:cs="Times New Roman" w:hint="eastAsia"/>
                <w:bCs/>
                <w:sz w:val="21"/>
                <w:szCs w:val="21"/>
              </w:rPr>
              <w:t>7.19</w:t>
            </w:r>
            <w:r w:rsidRPr="004A3552">
              <w:rPr>
                <w:rFonts w:ascii="Times New Roman" w:eastAsiaTheme="minorEastAsia" w:hAnsi="Times New Roman" w:cs="Times New Roman" w:hint="eastAsia"/>
                <w:bCs/>
                <w:sz w:val="21"/>
                <w:szCs w:val="21"/>
              </w:rPr>
              <w:t>个百分点，主要原因是业务结构发生了阶段性变化。</w:t>
            </w:r>
            <w:proofErr w:type="gramStart"/>
            <w:r w:rsidRPr="004A3552">
              <w:rPr>
                <w:rFonts w:ascii="Times New Roman" w:eastAsiaTheme="minorEastAsia" w:hAnsi="Times New Roman" w:cs="Times New Roman" w:hint="eastAsia"/>
                <w:bCs/>
                <w:sz w:val="21"/>
                <w:szCs w:val="21"/>
              </w:rPr>
              <w:t>算力基建</w:t>
            </w:r>
            <w:proofErr w:type="gramEnd"/>
            <w:r w:rsidRPr="004A3552">
              <w:rPr>
                <w:rFonts w:ascii="Times New Roman" w:eastAsiaTheme="minorEastAsia" w:hAnsi="Times New Roman" w:cs="Times New Roman" w:hint="eastAsia"/>
                <w:bCs/>
                <w:sz w:val="21"/>
                <w:szCs w:val="21"/>
              </w:rPr>
              <w:t>类业务在</w:t>
            </w:r>
            <w:r w:rsidRPr="004A3552">
              <w:rPr>
                <w:rFonts w:ascii="Times New Roman" w:eastAsiaTheme="minorEastAsia" w:hAnsi="Times New Roman" w:cs="Times New Roman" w:hint="eastAsia"/>
                <w:bCs/>
                <w:sz w:val="21"/>
                <w:szCs w:val="21"/>
              </w:rPr>
              <w:t>2025</w:t>
            </w:r>
            <w:r w:rsidRPr="004A3552">
              <w:rPr>
                <w:rFonts w:ascii="Times New Roman" w:eastAsiaTheme="minorEastAsia" w:hAnsi="Times New Roman" w:cs="Times New Roman" w:hint="eastAsia"/>
                <w:bCs/>
                <w:sz w:val="21"/>
                <w:szCs w:val="21"/>
              </w:rPr>
              <w:t>年快速放量，该类业务处于市场拓展初期，毛利率相对偏低，叠加硬件采购成本上升，对整体毛利率形成了阶段性拖累。若剔除低毛利</w:t>
            </w:r>
            <w:proofErr w:type="gramStart"/>
            <w:r w:rsidRPr="004A3552">
              <w:rPr>
                <w:rFonts w:ascii="Times New Roman" w:eastAsiaTheme="minorEastAsia" w:hAnsi="Times New Roman" w:cs="Times New Roman" w:hint="eastAsia"/>
                <w:bCs/>
                <w:sz w:val="21"/>
                <w:szCs w:val="21"/>
              </w:rPr>
              <w:t>的算力基建</w:t>
            </w:r>
            <w:proofErr w:type="gramEnd"/>
            <w:r w:rsidRPr="004A3552">
              <w:rPr>
                <w:rFonts w:ascii="Times New Roman" w:eastAsiaTheme="minorEastAsia" w:hAnsi="Times New Roman" w:cs="Times New Roman" w:hint="eastAsia"/>
                <w:bCs/>
                <w:sz w:val="21"/>
                <w:szCs w:val="21"/>
              </w:rPr>
              <w:t>部分，</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解决方案等传统优势业务的毛利率仍维持在较高水平，核心业务盈利能力保持稳健。</w:t>
            </w:r>
          </w:p>
          <w:p w14:paraId="4CE61DA0" w14:textId="77777777" w:rsidR="00A755E1" w:rsidRPr="004A3552" w:rsidRDefault="00000000">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r w:rsidRPr="004A3552">
              <w:rPr>
                <w:rFonts w:ascii="Times New Roman" w:eastAsiaTheme="minorEastAsia" w:hAnsi="Times New Roman" w:cs="Times New Roman" w:hint="eastAsia"/>
                <w:bCs/>
                <w:sz w:val="21"/>
                <w:szCs w:val="21"/>
              </w:rPr>
              <w:t>2026</w:t>
            </w:r>
            <w:r w:rsidRPr="004A3552">
              <w:rPr>
                <w:rFonts w:ascii="Times New Roman" w:eastAsiaTheme="minorEastAsia" w:hAnsi="Times New Roman" w:cs="Times New Roman" w:hint="eastAsia"/>
                <w:bCs/>
                <w:sz w:val="21"/>
                <w:szCs w:val="21"/>
              </w:rPr>
              <w:t>年一季度，综合毛利率回升至</w:t>
            </w:r>
            <w:r w:rsidRPr="004A3552">
              <w:rPr>
                <w:rFonts w:ascii="Times New Roman" w:eastAsiaTheme="minorEastAsia" w:hAnsi="Times New Roman" w:cs="Times New Roman" w:hint="eastAsia"/>
                <w:bCs/>
                <w:sz w:val="21"/>
                <w:szCs w:val="21"/>
              </w:rPr>
              <w:t>47.98%</w:t>
            </w:r>
            <w:r w:rsidRPr="004A3552">
              <w:rPr>
                <w:rFonts w:ascii="Times New Roman" w:eastAsiaTheme="minorEastAsia" w:hAnsi="Times New Roman" w:cs="Times New Roman" w:hint="eastAsia"/>
                <w:bCs/>
                <w:sz w:val="21"/>
                <w:szCs w:val="21"/>
              </w:rPr>
              <w:t>，较</w:t>
            </w:r>
            <w:r w:rsidRPr="004A3552">
              <w:rPr>
                <w:rFonts w:ascii="Times New Roman" w:eastAsiaTheme="minorEastAsia" w:hAnsi="Times New Roman" w:cs="Times New Roman" w:hint="eastAsia"/>
                <w:bCs/>
                <w:sz w:val="21"/>
                <w:szCs w:val="21"/>
              </w:rPr>
              <w:t>2025</w:t>
            </w:r>
            <w:r w:rsidRPr="004A3552">
              <w:rPr>
                <w:rFonts w:ascii="Times New Roman" w:eastAsiaTheme="minorEastAsia" w:hAnsi="Times New Roman" w:cs="Times New Roman" w:hint="eastAsia"/>
                <w:bCs/>
                <w:sz w:val="21"/>
                <w:szCs w:val="21"/>
              </w:rPr>
              <w:t>年全年提升约</w:t>
            </w:r>
            <w:r w:rsidRPr="004A3552">
              <w:rPr>
                <w:rFonts w:ascii="Times New Roman" w:eastAsiaTheme="minorEastAsia" w:hAnsi="Times New Roman" w:cs="Times New Roman" w:hint="eastAsia"/>
                <w:bCs/>
                <w:sz w:val="21"/>
                <w:szCs w:val="21"/>
              </w:rPr>
              <w:t>19</w:t>
            </w:r>
            <w:r w:rsidRPr="004A3552">
              <w:rPr>
                <w:rFonts w:ascii="Times New Roman" w:eastAsiaTheme="minorEastAsia" w:hAnsi="Times New Roman" w:cs="Times New Roman" w:hint="eastAsia"/>
                <w:bCs/>
                <w:sz w:val="21"/>
                <w:szCs w:val="21"/>
              </w:rPr>
              <w:t>个百分点，反映出业务结构持续优化、高毛利订阅类及平台类业务占比提升的积极成效，这正是公司推进商业模式转型所预期看到的方向。随着</w:t>
            </w:r>
            <w:r w:rsidRPr="004A3552">
              <w:rPr>
                <w:rFonts w:ascii="Times New Roman" w:eastAsiaTheme="minorEastAsia" w:hAnsi="Times New Roman" w:cs="Times New Roman" w:hint="eastAsia"/>
                <w:bCs/>
                <w:sz w:val="21"/>
                <w:szCs w:val="21"/>
              </w:rPr>
              <w:t>Token</w:t>
            </w:r>
            <w:r w:rsidRPr="004A3552">
              <w:rPr>
                <w:rFonts w:ascii="Times New Roman" w:eastAsiaTheme="minorEastAsia" w:hAnsi="Times New Roman" w:cs="Times New Roman" w:hint="eastAsia"/>
                <w:bCs/>
                <w:sz w:val="21"/>
                <w:szCs w:val="21"/>
              </w:rPr>
              <w:t>收费业务和</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岗位服务的规模化落地，预计整体毛利率将保持在较为良性的水平，盈利能力有望持续改善。</w:t>
            </w:r>
          </w:p>
          <w:p w14:paraId="330B67B8" w14:textId="77777777" w:rsidR="00A755E1" w:rsidRPr="004A3552" w:rsidRDefault="00A755E1">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p>
          <w:p w14:paraId="5796BEE1" w14:textId="60159C68" w:rsidR="00A755E1" w:rsidRPr="0038047D" w:rsidRDefault="00000000">
            <w:pPr>
              <w:spacing w:beforeLines="50" w:before="120" w:afterLines="50" w:after="120" w:line="360" w:lineRule="auto"/>
              <w:ind w:firstLineChars="200" w:firstLine="422"/>
              <w:jc w:val="both"/>
              <w:rPr>
                <w:rFonts w:ascii="Times New Roman" w:eastAsiaTheme="minorEastAsia" w:hAnsi="Times New Roman" w:cs="Times New Roman"/>
                <w:b/>
                <w:sz w:val="21"/>
                <w:szCs w:val="21"/>
              </w:rPr>
            </w:pPr>
            <w:r w:rsidRPr="0038047D">
              <w:rPr>
                <w:rFonts w:ascii="Times New Roman" w:eastAsiaTheme="minorEastAsia" w:hAnsi="Times New Roman" w:cs="Times New Roman" w:hint="eastAsia"/>
                <w:b/>
                <w:sz w:val="21"/>
                <w:szCs w:val="21"/>
              </w:rPr>
              <w:t>问题</w:t>
            </w:r>
            <w:r w:rsidRPr="0038047D">
              <w:rPr>
                <w:rFonts w:ascii="Times New Roman" w:eastAsiaTheme="minorEastAsia" w:hAnsi="Times New Roman" w:cs="Times New Roman"/>
                <w:b/>
                <w:sz w:val="21"/>
                <w:szCs w:val="21"/>
              </w:rPr>
              <w:t>3</w:t>
            </w:r>
            <w:r w:rsidRPr="0038047D">
              <w:rPr>
                <w:rFonts w:ascii="Times New Roman" w:eastAsiaTheme="minorEastAsia" w:hAnsi="Times New Roman" w:cs="Times New Roman" w:hint="eastAsia"/>
                <w:b/>
                <w:sz w:val="21"/>
                <w:szCs w:val="21"/>
              </w:rPr>
              <w:t>：</w:t>
            </w:r>
            <w:r w:rsidRPr="0038047D">
              <w:rPr>
                <w:rFonts w:ascii="Times New Roman" w:eastAsiaTheme="minorEastAsia" w:hAnsi="Times New Roman" w:cs="Times New Roman"/>
                <w:b/>
                <w:sz w:val="21"/>
                <w:szCs w:val="21"/>
              </w:rPr>
              <w:t xml:space="preserve"> </w:t>
            </w:r>
            <w:r w:rsidRPr="0038047D">
              <w:rPr>
                <w:rFonts w:ascii="Times New Roman" w:eastAsiaTheme="minorEastAsia" w:hAnsi="Times New Roman" w:cs="Times New Roman" w:hint="eastAsia"/>
                <w:b/>
                <w:sz w:val="21"/>
                <w:szCs w:val="21"/>
              </w:rPr>
              <w:t>公司</w:t>
            </w:r>
            <w:proofErr w:type="gramStart"/>
            <w:r w:rsidRPr="0038047D">
              <w:rPr>
                <w:rFonts w:ascii="Times New Roman" w:eastAsiaTheme="minorEastAsia" w:hAnsi="Times New Roman" w:cs="Times New Roman"/>
                <w:b/>
                <w:sz w:val="21"/>
                <w:szCs w:val="21"/>
              </w:rPr>
              <w:t>2025</w:t>
            </w:r>
            <w:r w:rsidRPr="0038047D">
              <w:rPr>
                <w:rFonts w:ascii="Times New Roman" w:eastAsiaTheme="minorEastAsia" w:hAnsi="Times New Roman" w:cs="Times New Roman" w:hint="eastAsia"/>
                <w:b/>
                <w:sz w:val="21"/>
                <w:szCs w:val="21"/>
              </w:rPr>
              <w:t>年算力建设</w:t>
            </w:r>
            <w:proofErr w:type="gramEnd"/>
            <w:r w:rsidRPr="0038047D">
              <w:rPr>
                <w:rFonts w:ascii="Times New Roman" w:eastAsiaTheme="minorEastAsia" w:hAnsi="Times New Roman" w:cs="Times New Roman" w:hint="eastAsia"/>
                <w:b/>
                <w:sz w:val="21"/>
                <w:szCs w:val="21"/>
              </w:rPr>
              <w:t>业务快速放量，但强调这与市场上</w:t>
            </w:r>
            <w:proofErr w:type="gramStart"/>
            <w:r w:rsidRPr="0038047D">
              <w:rPr>
                <w:rFonts w:ascii="Times New Roman" w:eastAsiaTheme="minorEastAsia" w:hAnsi="Times New Roman" w:cs="Times New Roman" w:hint="eastAsia"/>
                <w:b/>
                <w:sz w:val="21"/>
                <w:szCs w:val="21"/>
              </w:rPr>
              <w:t>的算力租赁</w:t>
            </w:r>
            <w:proofErr w:type="gramEnd"/>
            <w:r w:rsidRPr="0038047D">
              <w:rPr>
                <w:rFonts w:ascii="Times New Roman" w:eastAsiaTheme="minorEastAsia" w:hAnsi="Times New Roman" w:cs="Times New Roman" w:hint="eastAsia"/>
                <w:b/>
                <w:sz w:val="21"/>
                <w:szCs w:val="21"/>
              </w:rPr>
              <w:t>业务有所不同。能否具体说明云从</w:t>
            </w:r>
            <w:proofErr w:type="gramStart"/>
            <w:r w:rsidRPr="0038047D">
              <w:rPr>
                <w:rFonts w:ascii="Times New Roman" w:eastAsiaTheme="minorEastAsia" w:hAnsi="Times New Roman" w:cs="Times New Roman" w:hint="eastAsia"/>
                <w:b/>
                <w:sz w:val="21"/>
                <w:szCs w:val="21"/>
              </w:rPr>
              <w:t>在算力方向</w:t>
            </w:r>
            <w:proofErr w:type="gramEnd"/>
            <w:r w:rsidRPr="0038047D">
              <w:rPr>
                <w:rFonts w:ascii="Times New Roman" w:eastAsiaTheme="minorEastAsia" w:hAnsi="Times New Roman" w:cs="Times New Roman" w:hint="eastAsia"/>
                <w:b/>
                <w:sz w:val="21"/>
                <w:szCs w:val="21"/>
              </w:rPr>
              <w:t>的战略定位？</w:t>
            </w:r>
          </w:p>
          <w:p w14:paraId="3A062E78" w14:textId="2318A458" w:rsidR="00A755E1" w:rsidRPr="004A3552" w:rsidRDefault="004A3552">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r>
              <w:rPr>
                <w:rFonts w:ascii="Times New Roman" w:eastAsiaTheme="minorEastAsia" w:hAnsi="Times New Roman" w:cs="Times New Roman" w:hint="eastAsia"/>
                <w:bCs/>
                <w:sz w:val="21"/>
                <w:szCs w:val="21"/>
              </w:rPr>
              <w:t>答：</w:t>
            </w:r>
            <w:r w:rsidRPr="004A3552">
              <w:rPr>
                <w:rFonts w:ascii="Times New Roman" w:eastAsiaTheme="minorEastAsia" w:hAnsi="Times New Roman" w:cs="Times New Roman" w:hint="eastAsia"/>
                <w:bCs/>
                <w:sz w:val="21"/>
                <w:szCs w:val="21"/>
              </w:rPr>
              <w:t>市场上</w:t>
            </w:r>
            <w:proofErr w:type="gramStart"/>
            <w:r w:rsidRPr="004A3552">
              <w:rPr>
                <w:rFonts w:ascii="Times New Roman" w:eastAsiaTheme="minorEastAsia" w:hAnsi="Times New Roman" w:cs="Times New Roman" w:hint="eastAsia"/>
                <w:bCs/>
                <w:sz w:val="21"/>
                <w:szCs w:val="21"/>
              </w:rPr>
              <w:t>的算力租赁</w:t>
            </w:r>
            <w:proofErr w:type="gramEnd"/>
            <w:r w:rsidRPr="004A3552">
              <w:rPr>
                <w:rFonts w:ascii="Times New Roman" w:eastAsiaTheme="minorEastAsia" w:hAnsi="Times New Roman" w:cs="Times New Roman" w:hint="eastAsia"/>
                <w:bCs/>
                <w:sz w:val="21"/>
                <w:szCs w:val="21"/>
              </w:rPr>
              <w:t>业务，</w:t>
            </w:r>
            <w:r>
              <w:rPr>
                <w:rFonts w:ascii="Times New Roman" w:eastAsiaTheme="minorEastAsia" w:hAnsi="Times New Roman" w:cs="Times New Roman" w:hint="eastAsia"/>
                <w:bCs/>
                <w:sz w:val="21"/>
                <w:szCs w:val="21"/>
                <w:lang w:val="en-US"/>
              </w:rPr>
              <w:t>我们</w:t>
            </w:r>
            <w:r w:rsidRPr="004A3552">
              <w:rPr>
                <w:rFonts w:ascii="Times New Roman" w:eastAsiaTheme="minorEastAsia" w:hAnsi="Times New Roman" w:cs="Times New Roman" w:hint="eastAsia"/>
                <w:bCs/>
                <w:sz w:val="21"/>
                <w:szCs w:val="21"/>
                <w:lang w:val="en-US"/>
              </w:rPr>
              <w:t>把这个归纳为</w:t>
            </w:r>
            <w:r w:rsidRPr="004A3552">
              <w:rPr>
                <w:rFonts w:ascii="Times New Roman" w:eastAsiaTheme="minorEastAsia" w:hAnsi="Times New Roman" w:cs="Times New Roman" w:hint="eastAsia"/>
                <w:bCs/>
                <w:sz w:val="21"/>
                <w:szCs w:val="21"/>
                <w:lang w:val="en-US"/>
              </w:rPr>
              <w:t>Token</w:t>
            </w:r>
            <w:r w:rsidRPr="004A3552">
              <w:rPr>
                <w:rFonts w:ascii="Times New Roman" w:eastAsiaTheme="minorEastAsia" w:hAnsi="Times New Roman" w:cs="Times New Roman" w:hint="eastAsia"/>
                <w:bCs/>
                <w:sz w:val="21"/>
                <w:szCs w:val="21"/>
                <w:lang w:val="en-US"/>
              </w:rPr>
              <w:t>租赁商</w:t>
            </w:r>
            <w:r w:rsidRPr="004A3552">
              <w:rPr>
                <w:rFonts w:ascii="Times New Roman" w:eastAsiaTheme="minorEastAsia" w:hAnsi="Times New Roman" w:cs="Times New Roman" w:hint="eastAsia"/>
                <w:bCs/>
                <w:sz w:val="21"/>
                <w:szCs w:val="21"/>
              </w:rPr>
              <w:t>，其核心竞争力</w:t>
            </w:r>
            <w:proofErr w:type="gramStart"/>
            <w:r w:rsidRPr="004A3552">
              <w:rPr>
                <w:rFonts w:ascii="Times New Roman" w:eastAsiaTheme="minorEastAsia" w:hAnsi="Times New Roman" w:cs="Times New Roman" w:hint="eastAsia"/>
                <w:bCs/>
                <w:sz w:val="21"/>
                <w:szCs w:val="21"/>
              </w:rPr>
              <w:t>在于算力资源</w:t>
            </w:r>
            <w:proofErr w:type="gramEnd"/>
            <w:r w:rsidRPr="004A3552">
              <w:rPr>
                <w:rFonts w:ascii="Times New Roman" w:eastAsiaTheme="minorEastAsia" w:hAnsi="Times New Roman" w:cs="Times New Roman" w:hint="eastAsia"/>
                <w:bCs/>
                <w:sz w:val="21"/>
                <w:szCs w:val="21"/>
              </w:rPr>
              <w:t>的规模积累、供应链整合能力以及集权运营效率，部分专注于此的公司在这一赛道具有显著优势。但云从的资源禀赋和战略选择与之不同，单纯</w:t>
            </w:r>
            <w:proofErr w:type="gramStart"/>
            <w:r w:rsidRPr="004A3552">
              <w:rPr>
                <w:rFonts w:ascii="Times New Roman" w:eastAsiaTheme="minorEastAsia" w:hAnsi="Times New Roman" w:cs="Times New Roman" w:hint="eastAsia"/>
                <w:bCs/>
                <w:sz w:val="21"/>
                <w:szCs w:val="21"/>
              </w:rPr>
              <w:t>依靠算力租赁</w:t>
            </w:r>
            <w:proofErr w:type="gramEnd"/>
            <w:r w:rsidRPr="004A3552">
              <w:rPr>
                <w:rFonts w:ascii="Times New Roman" w:eastAsiaTheme="minorEastAsia" w:hAnsi="Times New Roman" w:cs="Times New Roman" w:hint="eastAsia"/>
                <w:bCs/>
                <w:sz w:val="21"/>
                <w:szCs w:val="21"/>
              </w:rPr>
              <w:t>转售并非公司的核心方向。</w:t>
            </w:r>
          </w:p>
          <w:p w14:paraId="1A3176E8" w14:textId="6AC032C0" w:rsidR="00A755E1" w:rsidRPr="004A3552" w:rsidRDefault="00000000">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r w:rsidRPr="004A3552">
              <w:rPr>
                <w:rFonts w:ascii="Times New Roman" w:eastAsiaTheme="minorEastAsia" w:hAnsi="Times New Roman" w:cs="Times New Roman" w:hint="eastAsia"/>
                <w:bCs/>
                <w:sz w:val="21"/>
                <w:szCs w:val="21"/>
              </w:rPr>
              <w:t>云从</w:t>
            </w:r>
            <w:proofErr w:type="gramStart"/>
            <w:r w:rsidRPr="004A3552">
              <w:rPr>
                <w:rFonts w:ascii="Times New Roman" w:eastAsiaTheme="minorEastAsia" w:hAnsi="Times New Roman" w:cs="Times New Roman" w:hint="eastAsia"/>
                <w:bCs/>
                <w:sz w:val="21"/>
                <w:szCs w:val="21"/>
              </w:rPr>
              <w:t>开展算力基建</w:t>
            </w:r>
            <w:proofErr w:type="gramEnd"/>
            <w:r w:rsidRPr="004A3552">
              <w:rPr>
                <w:rFonts w:ascii="Times New Roman" w:eastAsiaTheme="minorEastAsia" w:hAnsi="Times New Roman" w:cs="Times New Roman" w:hint="eastAsia"/>
                <w:bCs/>
                <w:sz w:val="21"/>
                <w:szCs w:val="21"/>
              </w:rPr>
              <w:t>业务，目的是为行业</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服务提供国产化、自主可控的</w:t>
            </w:r>
            <w:proofErr w:type="gramStart"/>
            <w:r w:rsidRPr="004A3552">
              <w:rPr>
                <w:rFonts w:ascii="Times New Roman" w:eastAsiaTheme="minorEastAsia" w:hAnsi="Times New Roman" w:cs="Times New Roman" w:hint="eastAsia"/>
                <w:bCs/>
                <w:sz w:val="21"/>
                <w:szCs w:val="21"/>
              </w:rPr>
              <w:t>底层算力支撑</w:t>
            </w:r>
            <w:proofErr w:type="gramEnd"/>
            <w:r w:rsidRPr="004A3552">
              <w:rPr>
                <w:rFonts w:ascii="Times New Roman" w:eastAsiaTheme="minorEastAsia" w:hAnsi="Times New Roman" w:cs="Times New Roman" w:hint="eastAsia"/>
                <w:bCs/>
                <w:sz w:val="21"/>
                <w:szCs w:val="21"/>
              </w:rPr>
              <w:t>，并与智能体能力协同交付，构建“算力基建</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智能体”的差异</w:t>
            </w:r>
            <w:proofErr w:type="gramStart"/>
            <w:r w:rsidRPr="004A3552">
              <w:rPr>
                <w:rFonts w:ascii="Times New Roman" w:eastAsiaTheme="minorEastAsia" w:hAnsi="Times New Roman" w:cs="Times New Roman" w:hint="eastAsia"/>
                <w:bCs/>
                <w:sz w:val="21"/>
                <w:szCs w:val="21"/>
              </w:rPr>
              <w:t>化解决</w:t>
            </w:r>
            <w:proofErr w:type="gramEnd"/>
            <w:r w:rsidRPr="004A3552">
              <w:rPr>
                <w:rFonts w:ascii="Times New Roman" w:eastAsiaTheme="minorEastAsia" w:hAnsi="Times New Roman" w:cs="Times New Roman" w:hint="eastAsia"/>
                <w:bCs/>
                <w:sz w:val="21"/>
                <w:szCs w:val="21"/>
              </w:rPr>
              <w:t>方案。公司不以</w:t>
            </w:r>
            <w:r w:rsidRPr="004A3552">
              <w:rPr>
                <w:rFonts w:ascii="Times New Roman" w:eastAsiaTheme="minorEastAsia" w:hAnsi="Times New Roman" w:cs="Times New Roman" w:hint="eastAsia"/>
                <w:bCs/>
                <w:sz w:val="21"/>
                <w:szCs w:val="21"/>
              </w:rPr>
              <w:t>Token</w:t>
            </w:r>
            <w:r w:rsidRPr="004A3552">
              <w:rPr>
                <w:rFonts w:ascii="Times New Roman" w:eastAsiaTheme="minorEastAsia" w:hAnsi="Times New Roman" w:cs="Times New Roman" w:hint="eastAsia"/>
                <w:bCs/>
                <w:sz w:val="21"/>
                <w:szCs w:val="21"/>
              </w:rPr>
              <w:t>转售获取通道利润，而是将</w:t>
            </w:r>
            <w:r w:rsidRPr="004A3552">
              <w:rPr>
                <w:rFonts w:ascii="Times New Roman" w:eastAsiaTheme="minorEastAsia" w:hAnsi="Times New Roman" w:cs="Times New Roman" w:hint="eastAsia"/>
                <w:bCs/>
                <w:sz w:val="21"/>
                <w:szCs w:val="21"/>
              </w:rPr>
              <w:t>Token</w:t>
            </w:r>
            <w:r w:rsidRPr="004A3552">
              <w:rPr>
                <w:rFonts w:ascii="Times New Roman" w:eastAsiaTheme="minorEastAsia" w:hAnsi="Times New Roman" w:cs="Times New Roman" w:hint="eastAsia"/>
                <w:bCs/>
                <w:sz w:val="21"/>
                <w:szCs w:val="21"/>
              </w:rPr>
              <w:t>封装为行业智能岗位，</w:t>
            </w:r>
            <w:r w:rsidRPr="004A3552">
              <w:rPr>
                <w:rFonts w:ascii="Times New Roman" w:eastAsiaTheme="minorEastAsia" w:hAnsi="Times New Roman" w:cs="Times New Roman" w:hint="eastAsia"/>
                <w:bCs/>
                <w:sz w:val="21"/>
                <w:szCs w:val="21"/>
                <w:lang w:val="en-US"/>
              </w:rPr>
              <w:t>特别是专业岗位能力</w:t>
            </w:r>
            <w:r w:rsidRPr="004A3552">
              <w:rPr>
                <w:rFonts w:ascii="Times New Roman" w:eastAsiaTheme="minorEastAsia" w:hAnsi="Times New Roman" w:cs="Times New Roman" w:hint="eastAsia"/>
                <w:bCs/>
                <w:sz w:val="21"/>
                <w:szCs w:val="21"/>
              </w:rPr>
              <w:t>，面向客户提供以业务结果为导向的</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服务，按任务或订阅方式收费。从商业逻辑来看，</w:t>
            </w:r>
            <w:proofErr w:type="gramStart"/>
            <w:r w:rsidRPr="004A3552">
              <w:rPr>
                <w:rFonts w:ascii="Times New Roman" w:eastAsiaTheme="minorEastAsia" w:hAnsi="Times New Roman" w:cs="Times New Roman" w:hint="eastAsia"/>
                <w:bCs/>
                <w:sz w:val="21"/>
                <w:szCs w:val="21"/>
              </w:rPr>
              <w:t>算力是</w:t>
            </w:r>
            <w:proofErr w:type="gramEnd"/>
            <w:r w:rsidRPr="004A3552">
              <w:rPr>
                <w:rFonts w:ascii="Times New Roman" w:eastAsiaTheme="minorEastAsia" w:hAnsi="Times New Roman" w:cs="Times New Roman" w:hint="eastAsia"/>
                <w:bCs/>
                <w:sz w:val="21"/>
                <w:szCs w:val="21"/>
              </w:rPr>
              <w:t>公司服务交付的基础设施，而非盈利的核心来源。</w:t>
            </w:r>
          </w:p>
          <w:p w14:paraId="76AB566E" w14:textId="77777777" w:rsidR="00A755E1" w:rsidRPr="004A3552" w:rsidRDefault="00A755E1">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p>
          <w:p w14:paraId="261FA3FD" w14:textId="6A67E35D" w:rsidR="00A755E1" w:rsidRPr="0038047D" w:rsidRDefault="00000000">
            <w:pPr>
              <w:spacing w:beforeLines="50" w:before="120" w:afterLines="50" w:after="120" w:line="360" w:lineRule="auto"/>
              <w:ind w:firstLineChars="200" w:firstLine="422"/>
              <w:jc w:val="both"/>
              <w:rPr>
                <w:rFonts w:ascii="Times New Roman" w:eastAsiaTheme="minorEastAsia" w:hAnsi="Times New Roman" w:cs="Times New Roman"/>
                <w:b/>
                <w:sz w:val="21"/>
                <w:szCs w:val="21"/>
              </w:rPr>
            </w:pPr>
            <w:r w:rsidRPr="0038047D">
              <w:rPr>
                <w:rFonts w:ascii="Times New Roman" w:eastAsiaTheme="minorEastAsia" w:hAnsi="Times New Roman" w:cs="Times New Roman" w:hint="eastAsia"/>
                <w:b/>
                <w:sz w:val="21"/>
                <w:szCs w:val="21"/>
              </w:rPr>
              <w:t>问题</w:t>
            </w:r>
            <w:r w:rsidRPr="0038047D">
              <w:rPr>
                <w:rFonts w:ascii="Times New Roman" w:eastAsiaTheme="minorEastAsia" w:hAnsi="Times New Roman" w:cs="Times New Roman"/>
                <w:b/>
                <w:sz w:val="21"/>
                <w:szCs w:val="21"/>
              </w:rPr>
              <w:t>4</w:t>
            </w:r>
            <w:r w:rsidRPr="0038047D">
              <w:rPr>
                <w:rFonts w:ascii="Times New Roman" w:eastAsiaTheme="minorEastAsia" w:hAnsi="Times New Roman" w:cs="Times New Roman" w:hint="eastAsia"/>
                <w:b/>
                <w:sz w:val="21"/>
                <w:szCs w:val="21"/>
              </w:rPr>
              <w:t>：</w:t>
            </w:r>
            <w:r w:rsidRPr="0038047D">
              <w:rPr>
                <w:rFonts w:ascii="Times New Roman" w:eastAsiaTheme="minorEastAsia" w:hAnsi="Times New Roman" w:cs="Times New Roman"/>
                <w:b/>
                <w:sz w:val="21"/>
                <w:szCs w:val="21"/>
              </w:rPr>
              <w:t xml:space="preserve"> </w:t>
            </w:r>
            <w:r w:rsidRPr="0038047D">
              <w:rPr>
                <w:rFonts w:ascii="Times New Roman" w:eastAsiaTheme="minorEastAsia" w:hAnsi="Times New Roman" w:cs="Times New Roman" w:hint="eastAsia"/>
                <w:b/>
                <w:sz w:val="21"/>
                <w:szCs w:val="21"/>
              </w:rPr>
              <w:t>公司如何理解</w:t>
            </w:r>
            <w:r w:rsidRPr="0038047D">
              <w:rPr>
                <w:rFonts w:ascii="Times New Roman" w:eastAsiaTheme="minorEastAsia" w:hAnsi="Times New Roman" w:cs="Times New Roman"/>
                <w:b/>
                <w:sz w:val="21"/>
                <w:szCs w:val="21"/>
              </w:rPr>
              <w:t>Token</w:t>
            </w:r>
            <w:r w:rsidRPr="0038047D">
              <w:rPr>
                <w:rFonts w:ascii="Times New Roman" w:eastAsiaTheme="minorEastAsia" w:hAnsi="Times New Roman" w:cs="Times New Roman" w:hint="eastAsia"/>
                <w:b/>
                <w:sz w:val="21"/>
                <w:szCs w:val="21"/>
              </w:rPr>
              <w:t>经济的竞争格局？在这一体系中，云从的差异化定位与核心竞争壁垒是什么？</w:t>
            </w:r>
          </w:p>
          <w:p w14:paraId="671D2A15" w14:textId="6BCC9192" w:rsidR="00A755E1" w:rsidRPr="004A3552" w:rsidRDefault="004A3552">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r>
              <w:rPr>
                <w:rFonts w:ascii="Times New Roman" w:eastAsiaTheme="minorEastAsia" w:hAnsi="Times New Roman" w:cs="Times New Roman" w:hint="eastAsia"/>
                <w:bCs/>
                <w:sz w:val="21"/>
                <w:szCs w:val="21"/>
              </w:rPr>
              <w:t>答：</w:t>
            </w:r>
            <w:r w:rsidRPr="004A3552">
              <w:rPr>
                <w:rFonts w:ascii="Times New Roman" w:eastAsiaTheme="minorEastAsia" w:hAnsi="Times New Roman" w:cs="Times New Roman" w:hint="eastAsia"/>
                <w:bCs/>
                <w:sz w:val="21"/>
                <w:szCs w:val="21"/>
              </w:rPr>
              <w:t>公司将</w:t>
            </w:r>
            <w:r w:rsidRPr="004A3552">
              <w:rPr>
                <w:rFonts w:ascii="Times New Roman" w:eastAsiaTheme="minorEastAsia" w:hAnsi="Times New Roman" w:cs="Times New Roman" w:hint="eastAsia"/>
                <w:bCs/>
                <w:sz w:val="21"/>
                <w:szCs w:val="21"/>
              </w:rPr>
              <w:t>Token</w:t>
            </w:r>
            <w:r w:rsidRPr="004A3552">
              <w:rPr>
                <w:rFonts w:ascii="Times New Roman" w:eastAsiaTheme="minorEastAsia" w:hAnsi="Times New Roman" w:cs="Times New Roman" w:hint="eastAsia"/>
                <w:bCs/>
                <w:sz w:val="21"/>
                <w:szCs w:val="21"/>
              </w:rPr>
              <w:t>经济的参与者大致划分为四类：一</w:t>
            </w:r>
            <w:proofErr w:type="gramStart"/>
            <w:r w:rsidRPr="004A3552">
              <w:rPr>
                <w:rFonts w:ascii="Times New Roman" w:eastAsiaTheme="minorEastAsia" w:hAnsi="Times New Roman" w:cs="Times New Roman" w:hint="eastAsia"/>
                <w:bCs/>
                <w:sz w:val="21"/>
                <w:szCs w:val="21"/>
              </w:rPr>
              <w:t>是算力租赁</w:t>
            </w:r>
            <w:proofErr w:type="gramEnd"/>
            <w:r w:rsidRPr="004A3552">
              <w:rPr>
                <w:rFonts w:ascii="Times New Roman" w:eastAsiaTheme="minorEastAsia" w:hAnsi="Times New Roman" w:cs="Times New Roman" w:hint="eastAsia"/>
                <w:bCs/>
                <w:sz w:val="21"/>
                <w:szCs w:val="21"/>
              </w:rPr>
              <w:t>商，</w:t>
            </w:r>
            <w:proofErr w:type="gramStart"/>
            <w:r w:rsidRPr="004A3552">
              <w:rPr>
                <w:rFonts w:ascii="Times New Roman" w:eastAsiaTheme="minorEastAsia" w:hAnsi="Times New Roman" w:cs="Times New Roman" w:hint="eastAsia"/>
                <w:bCs/>
                <w:sz w:val="21"/>
                <w:szCs w:val="21"/>
              </w:rPr>
              <w:t>以算力资源</w:t>
            </w:r>
            <w:proofErr w:type="gramEnd"/>
            <w:r w:rsidRPr="004A3552">
              <w:rPr>
                <w:rFonts w:ascii="Times New Roman" w:eastAsiaTheme="minorEastAsia" w:hAnsi="Times New Roman" w:cs="Times New Roman" w:hint="eastAsia"/>
                <w:bCs/>
                <w:sz w:val="21"/>
                <w:szCs w:val="21"/>
              </w:rPr>
              <w:t>和供应链为核心竞争力；二是基础模型厂商，以模型能力、成本和开源生态取胜；三是中间件与</w:t>
            </w:r>
            <w:r w:rsidRPr="004A3552">
              <w:rPr>
                <w:rFonts w:ascii="Times New Roman" w:eastAsiaTheme="minorEastAsia" w:hAnsi="Times New Roman" w:cs="Times New Roman" w:hint="eastAsia"/>
                <w:bCs/>
                <w:sz w:val="21"/>
                <w:szCs w:val="21"/>
              </w:rPr>
              <w:t>API</w:t>
            </w:r>
            <w:r w:rsidRPr="004A3552">
              <w:rPr>
                <w:rFonts w:ascii="Times New Roman" w:eastAsiaTheme="minorEastAsia" w:hAnsi="Times New Roman" w:cs="Times New Roman" w:hint="eastAsia"/>
                <w:bCs/>
                <w:sz w:val="21"/>
                <w:szCs w:val="21"/>
              </w:rPr>
              <w:t>网关平台，以多模型调度和路由能力为核心；四是行业</w:t>
            </w:r>
            <w:r w:rsidRPr="004A3552">
              <w:rPr>
                <w:rFonts w:ascii="Times New Roman" w:eastAsiaTheme="minorEastAsia" w:hAnsi="Times New Roman" w:cs="Times New Roman" w:hint="eastAsia"/>
                <w:bCs/>
                <w:sz w:val="21"/>
                <w:szCs w:val="21"/>
              </w:rPr>
              <w:t>Native</w:t>
            </w:r>
            <w:r w:rsidRPr="004A3552">
              <w:rPr>
                <w:rFonts w:ascii="Times New Roman" w:eastAsiaTheme="minorEastAsia" w:hAnsi="Times New Roman" w:cs="Times New Roman" w:hint="eastAsia"/>
                <w:bCs/>
                <w:sz w:val="21"/>
                <w:szCs w:val="21"/>
              </w:rPr>
              <w:t>服务商，依托行业</w:t>
            </w:r>
            <w:r w:rsidRPr="004A3552">
              <w:rPr>
                <w:rFonts w:ascii="Times New Roman" w:eastAsiaTheme="minorEastAsia" w:hAnsi="Times New Roman" w:cs="Times New Roman" w:hint="eastAsia"/>
                <w:bCs/>
                <w:sz w:val="21"/>
                <w:szCs w:val="21"/>
              </w:rPr>
              <w:t>Skill</w:t>
            </w:r>
            <w:r w:rsidRPr="004A3552">
              <w:rPr>
                <w:rFonts w:ascii="Times New Roman" w:eastAsiaTheme="minorEastAsia" w:hAnsi="Times New Roman" w:cs="Times New Roman" w:hint="eastAsia"/>
                <w:bCs/>
                <w:sz w:val="21"/>
                <w:szCs w:val="21"/>
              </w:rPr>
              <w:t>、</w:t>
            </w:r>
            <w:proofErr w:type="gramStart"/>
            <w:r w:rsidRPr="004A3552">
              <w:rPr>
                <w:rFonts w:ascii="Times New Roman" w:eastAsiaTheme="minorEastAsia" w:hAnsi="Times New Roman" w:cs="Times New Roman" w:hint="eastAsia"/>
                <w:bCs/>
                <w:sz w:val="21"/>
                <w:szCs w:val="21"/>
              </w:rPr>
              <w:t>私域数据</w:t>
            </w:r>
            <w:proofErr w:type="gramEnd"/>
            <w:r w:rsidRPr="004A3552">
              <w:rPr>
                <w:rFonts w:ascii="Times New Roman" w:eastAsiaTheme="minorEastAsia" w:hAnsi="Times New Roman" w:cs="Times New Roman" w:hint="eastAsia"/>
                <w:bCs/>
                <w:sz w:val="21"/>
                <w:szCs w:val="21"/>
              </w:rPr>
              <w:t>和流程嵌入构建壁垒。云从的主战场集中于第三类和第四类。</w:t>
            </w:r>
          </w:p>
          <w:p w14:paraId="64E45C4A" w14:textId="29B2E94D" w:rsidR="00A755E1" w:rsidRPr="004A3552" w:rsidRDefault="00000000">
            <w:pPr>
              <w:spacing w:beforeLines="50" w:before="120" w:afterLines="50" w:after="120" w:line="360" w:lineRule="auto"/>
              <w:ind w:firstLineChars="200" w:firstLine="420"/>
              <w:jc w:val="both"/>
              <w:rPr>
                <w:rFonts w:ascii="Times New Roman" w:eastAsiaTheme="minorEastAsia" w:hAnsi="Times New Roman" w:cs="Times New Roman"/>
                <w:bCs/>
                <w:sz w:val="21"/>
                <w:szCs w:val="21"/>
                <w:lang w:val="en-US"/>
              </w:rPr>
            </w:pPr>
            <w:r w:rsidRPr="004A3552">
              <w:rPr>
                <w:rFonts w:ascii="Times New Roman" w:eastAsiaTheme="minorEastAsia" w:hAnsi="Times New Roman" w:cs="Times New Roman" w:hint="eastAsia"/>
                <w:bCs/>
                <w:sz w:val="21"/>
                <w:szCs w:val="21"/>
              </w:rPr>
              <w:t>公司的差异</w:t>
            </w:r>
            <w:proofErr w:type="gramStart"/>
            <w:r w:rsidRPr="004A3552">
              <w:rPr>
                <w:rFonts w:ascii="Times New Roman" w:eastAsiaTheme="minorEastAsia" w:hAnsi="Times New Roman" w:cs="Times New Roman" w:hint="eastAsia"/>
                <w:bCs/>
                <w:sz w:val="21"/>
                <w:szCs w:val="21"/>
              </w:rPr>
              <w:t>化体现</w:t>
            </w:r>
            <w:proofErr w:type="gramEnd"/>
            <w:r w:rsidRPr="004A3552">
              <w:rPr>
                <w:rFonts w:ascii="Times New Roman" w:eastAsiaTheme="minorEastAsia" w:hAnsi="Times New Roman" w:cs="Times New Roman" w:hint="eastAsia"/>
                <w:bCs/>
                <w:sz w:val="21"/>
                <w:szCs w:val="21"/>
              </w:rPr>
              <w:t>在三个层面。底座层面，</w:t>
            </w:r>
            <w:r w:rsidRPr="004A3552">
              <w:rPr>
                <w:rFonts w:ascii="Times New Roman" w:eastAsiaTheme="minorEastAsia" w:hAnsi="Times New Roman" w:cs="Times New Roman" w:hint="eastAsia"/>
                <w:bCs/>
                <w:sz w:val="21"/>
                <w:szCs w:val="21"/>
                <w:lang w:val="en-US"/>
              </w:rPr>
              <w:t>我们将</w:t>
            </w:r>
            <w:r w:rsidRPr="004A3552">
              <w:rPr>
                <w:rFonts w:ascii="Times New Roman" w:eastAsiaTheme="minorEastAsia" w:hAnsi="Times New Roman" w:cs="Times New Roman" w:hint="eastAsia"/>
                <w:bCs/>
                <w:sz w:val="21"/>
                <w:szCs w:val="21"/>
                <w:lang w:val="en-US"/>
              </w:rPr>
              <w:t>CWOS</w:t>
            </w:r>
            <w:r w:rsidRPr="004A3552">
              <w:rPr>
                <w:rFonts w:ascii="Times New Roman" w:eastAsiaTheme="minorEastAsia" w:hAnsi="Times New Roman" w:cs="Times New Roman" w:hint="eastAsia"/>
                <w:bCs/>
                <w:sz w:val="21"/>
                <w:szCs w:val="21"/>
                <w:lang w:val="en-US"/>
              </w:rPr>
              <w:t>升级为</w:t>
            </w:r>
            <w:r w:rsidRPr="004A3552">
              <w:rPr>
                <w:rFonts w:ascii="Times New Roman" w:eastAsiaTheme="minorEastAsia" w:hAnsi="Times New Roman" w:cs="Times New Roman"/>
                <w:bCs/>
                <w:sz w:val="21"/>
                <w:szCs w:val="21"/>
              </w:rPr>
              <w:t>GrowthOS</w:t>
            </w:r>
            <w:r w:rsidR="004A3552">
              <w:rPr>
                <w:rFonts w:ascii="Times New Roman" w:eastAsiaTheme="minorEastAsia" w:hAnsi="Times New Roman" w:cs="Times New Roman" w:hint="eastAsia"/>
                <w:bCs/>
                <w:sz w:val="21"/>
                <w:szCs w:val="21"/>
              </w:rPr>
              <w:t>，</w:t>
            </w:r>
            <w:r w:rsidRPr="004A3552">
              <w:rPr>
                <w:rFonts w:ascii="Times New Roman" w:eastAsiaTheme="minorEastAsia" w:hAnsi="Times New Roman" w:cs="Times New Roman" w:hint="eastAsia"/>
                <w:bCs/>
                <w:sz w:val="21"/>
                <w:szCs w:val="21"/>
              </w:rPr>
              <w:t>采用多模型智能调度架构，</w:t>
            </w:r>
            <w:proofErr w:type="gramStart"/>
            <w:r w:rsidRPr="004A3552">
              <w:rPr>
                <w:rFonts w:ascii="Times New Roman" w:eastAsiaTheme="minorEastAsia" w:hAnsi="Times New Roman" w:cs="Times New Roman" w:hint="eastAsia"/>
                <w:bCs/>
                <w:sz w:val="21"/>
                <w:szCs w:val="21"/>
              </w:rPr>
              <w:t>不</w:t>
            </w:r>
            <w:proofErr w:type="gramEnd"/>
            <w:r w:rsidRPr="004A3552">
              <w:rPr>
                <w:rFonts w:ascii="Times New Roman" w:eastAsiaTheme="minorEastAsia" w:hAnsi="Times New Roman" w:cs="Times New Roman" w:hint="eastAsia"/>
                <w:bCs/>
                <w:sz w:val="21"/>
                <w:szCs w:val="21"/>
              </w:rPr>
              <w:t>绑定任何</w:t>
            </w:r>
            <w:proofErr w:type="gramStart"/>
            <w:r w:rsidRPr="004A3552">
              <w:rPr>
                <w:rFonts w:ascii="Times New Roman" w:eastAsiaTheme="minorEastAsia" w:hAnsi="Times New Roman" w:cs="Times New Roman" w:hint="eastAsia"/>
                <w:bCs/>
                <w:sz w:val="21"/>
                <w:szCs w:val="21"/>
              </w:rPr>
              <w:t>单一大</w:t>
            </w:r>
            <w:proofErr w:type="gramEnd"/>
            <w:r w:rsidRPr="004A3552">
              <w:rPr>
                <w:rFonts w:ascii="Times New Roman" w:eastAsiaTheme="minorEastAsia" w:hAnsi="Times New Roman" w:cs="Times New Roman" w:hint="eastAsia"/>
                <w:bCs/>
                <w:sz w:val="21"/>
                <w:szCs w:val="21"/>
              </w:rPr>
              <w:t>模型厂商，可根据任务需求、成本与质量灵活切换底层模型，调度优化所实现的成本节约构成公司的利润来源之一。平台层面，公司构建了</w:t>
            </w:r>
            <w:r w:rsidRPr="004A3552">
              <w:rPr>
                <w:rFonts w:ascii="Times New Roman" w:eastAsiaTheme="minorEastAsia" w:hAnsi="Times New Roman" w:cs="Times New Roman" w:hint="eastAsia"/>
                <w:bCs/>
                <w:sz w:val="21"/>
                <w:szCs w:val="21"/>
              </w:rPr>
              <w:t>AI Native</w:t>
            </w:r>
            <w:r w:rsidRPr="004A3552">
              <w:rPr>
                <w:rFonts w:ascii="Times New Roman" w:eastAsiaTheme="minorEastAsia" w:hAnsi="Times New Roman" w:cs="Times New Roman" w:hint="eastAsia"/>
                <w:bCs/>
                <w:sz w:val="21"/>
                <w:szCs w:val="21"/>
              </w:rPr>
              <w:t>组织框架、知识工厂飞轮和行业智能体</w:t>
            </w:r>
            <w:r w:rsidRPr="004A3552">
              <w:rPr>
                <w:rFonts w:ascii="Times New Roman" w:eastAsiaTheme="minorEastAsia" w:hAnsi="Times New Roman" w:cs="Times New Roman" w:hint="eastAsia"/>
                <w:bCs/>
                <w:sz w:val="21"/>
                <w:szCs w:val="21"/>
              </w:rPr>
              <w:t>SKU</w:t>
            </w:r>
            <w:r w:rsidRPr="004A3552">
              <w:rPr>
                <w:rFonts w:ascii="Times New Roman" w:eastAsiaTheme="minorEastAsia" w:hAnsi="Times New Roman" w:cs="Times New Roman" w:hint="eastAsia"/>
                <w:bCs/>
                <w:sz w:val="21"/>
                <w:szCs w:val="21"/>
              </w:rPr>
              <w:t>体系，将十年行业</w:t>
            </w:r>
            <w:r w:rsidRPr="004A3552">
              <w:rPr>
                <w:rFonts w:ascii="Times New Roman" w:eastAsiaTheme="minorEastAsia" w:hAnsi="Times New Roman" w:cs="Times New Roman" w:hint="eastAsia"/>
                <w:bCs/>
                <w:sz w:val="21"/>
                <w:szCs w:val="21"/>
              </w:rPr>
              <w:t>Know-How</w:t>
            </w:r>
            <w:r w:rsidRPr="004A3552">
              <w:rPr>
                <w:rFonts w:ascii="Times New Roman" w:eastAsiaTheme="minorEastAsia" w:hAnsi="Times New Roman" w:cs="Times New Roman" w:hint="eastAsia"/>
                <w:bCs/>
                <w:sz w:val="21"/>
                <w:szCs w:val="21"/>
              </w:rPr>
              <w:t>转化为可复用的</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能力单元。应用层面，</w:t>
            </w:r>
            <w:r w:rsidRPr="004A3552">
              <w:rPr>
                <w:rFonts w:ascii="Times New Roman" w:eastAsiaTheme="minorEastAsia" w:hAnsi="Times New Roman" w:cs="Times New Roman" w:hint="eastAsia"/>
                <w:bCs/>
                <w:sz w:val="21"/>
                <w:szCs w:val="21"/>
                <w:lang w:val="en-US"/>
              </w:rPr>
              <w:t>一方面</w:t>
            </w:r>
            <w:r w:rsidRPr="004A3552">
              <w:rPr>
                <w:rFonts w:ascii="Times New Roman" w:eastAsiaTheme="minorEastAsia" w:hAnsi="Times New Roman" w:cs="Times New Roman" w:hint="eastAsia"/>
                <w:bCs/>
                <w:sz w:val="21"/>
                <w:szCs w:val="21"/>
              </w:rPr>
              <w:t>公司在政务、金融、出行等垂直行业深度嵌入客户业务流程，建立了较高的决策链信任与客户转移成本。行业专业知识的深度积累，是通用</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厂商难以在短期内复制的核心壁垒。</w:t>
            </w:r>
            <w:r w:rsidRPr="004A3552">
              <w:rPr>
                <w:rFonts w:ascii="Times New Roman" w:eastAsiaTheme="minorEastAsia" w:hAnsi="Times New Roman" w:cs="Times New Roman" w:hint="eastAsia"/>
                <w:bCs/>
                <w:sz w:val="21"/>
                <w:szCs w:val="21"/>
                <w:lang w:val="en-US"/>
              </w:rPr>
              <w:t>另一方面，通过生态的建立，和新的行业内的公司进行合作，将能力也进行这样的封装，</w:t>
            </w:r>
            <w:r w:rsidR="004A3552">
              <w:rPr>
                <w:rFonts w:ascii="Times New Roman" w:eastAsiaTheme="minorEastAsia" w:hAnsi="Times New Roman" w:cs="Times New Roman" w:hint="eastAsia"/>
                <w:bCs/>
                <w:sz w:val="21"/>
                <w:szCs w:val="21"/>
                <w:lang w:val="en-US"/>
              </w:rPr>
              <w:t>以</w:t>
            </w:r>
            <w:r w:rsidRPr="004A3552">
              <w:rPr>
                <w:rFonts w:ascii="Times New Roman" w:eastAsiaTheme="minorEastAsia" w:hAnsi="Times New Roman" w:cs="Times New Roman" w:hint="eastAsia"/>
                <w:bCs/>
                <w:sz w:val="21"/>
                <w:szCs w:val="21"/>
                <w:lang w:val="en-US"/>
              </w:rPr>
              <w:t>快速进行新业务的落地。</w:t>
            </w:r>
          </w:p>
          <w:p w14:paraId="27B57BF8" w14:textId="77777777" w:rsidR="00A755E1" w:rsidRPr="004A3552" w:rsidRDefault="00A755E1">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p>
          <w:p w14:paraId="7861A0F2" w14:textId="4FAD0AE9" w:rsidR="00A755E1" w:rsidRPr="0038047D" w:rsidRDefault="00000000">
            <w:pPr>
              <w:spacing w:beforeLines="50" w:before="120" w:afterLines="50" w:after="120" w:line="360" w:lineRule="auto"/>
              <w:ind w:firstLineChars="200" w:firstLine="422"/>
              <w:jc w:val="both"/>
              <w:rPr>
                <w:rFonts w:ascii="Times New Roman" w:eastAsiaTheme="minorEastAsia" w:hAnsi="Times New Roman" w:cs="Times New Roman"/>
                <w:b/>
                <w:sz w:val="21"/>
                <w:szCs w:val="21"/>
              </w:rPr>
            </w:pPr>
            <w:r w:rsidRPr="0038047D">
              <w:rPr>
                <w:rFonts w:ascii="Times New Roman" w:eastAsiaTheme="minorEastAsia" w:hAnsi="Times New Roman" w:cs="Times New Roman" w:hint="eastAsia"/>
                <w:b/>
                <w:sz w:val="21"/>
                <w:szCs w:val="21"/>
              </w:rPr>
              <w:t>问题</w:t>
            </w:r>
            <w:r w:rsidRPr="0038047D">
              <w:rPr>
                <w:rFonts w:ascii="Times New Roman" w:eastAsiaTheme="minorEastAsia" w:hAnsi="Times New Roman" w:cs="Times New Roman"/>
                <w:b/>
                <w:sz w:val="21"/>
                <w:szCs w:val="21"/>
              </w:rPr>
              <w:t>5</w:t>
            </w:r>
            <w:r w:rsidRPr="0038047D">
              <w:rPr>
                <w:rFonts w:ascii="Times New Roman" w:eastAsiaTheme="minorEastAsia" w:hAnsi="Times New Roman" w:cs="Times New Roman" w:hint="eastAsia"/>
                <w:b/>
                <w:sz w:val="21"/>
                <w:szCs w:val="21"/>
              </w:rPr>
              <w:t>：</w:t>
            </w:r>
            <w:r w:rsidRPr="0038047D">
              <w:rPr>
                <w:rFonts w:ascii="Times New Roman" w:eastAsiaTheme="minorEastAsia" w:hAnsi="Times New Roman" w:cs="Times New Roman"/>
                <w:b/>
                <w:sz w:val="21"/>
                <w:szCs w:val="21"/>
              </w:rPr>
              <w:t xml:space="preserve"> </w:t>
            </w:r>
            <w:r w:rsidRPr="0038047D">
              <w:rPr>
                <w:rFonts w:ascii="Times New Roman" w:eastAsiaTheme="minorEastAsia" w:hAnsi="Times New Roman" w:cs="Times New Roman" w:hint="eastAsia"/>
                <w:b/>
                <w:sz w:val="21"/>
                <w:szCs w:val="21"/>
              </w:rPr>
              <w:t>公司提出</w:t>
            </w:r>
            <w:r w:rsidRPr="0038047D">
              <w:rPr>
                <w:rFonts w:ascii="Times New Roman" w:eastAsiaTheme="minorEastAsia" w:hAnsi="Times New Roman" w:cs="Times New Roman"/>
                <w:b/>
                <w:sz w:val="21"/>
                <w:szCs w:val="21"/>
              </w:rPr>
              <w:t>L1</w:t>
            </w:r>
            <w:r w:rsidRPr="0038047D">
              <w:rPr>
                <w:rFonts w:ascii="Times New Roman" w:eastAsiaTheme="minorEastAsia" w:hAnsi="Times New Roman" w:cs="Times New Roman" w:hint="eastAsia"/>
                <w:b/>
                <w:sz w:val="21"/>
                <w:szCs w:val="21"/>
              </w:rPr>
              <w:t>、</w:t>
            </w:r>
            <w:r w:rsidRPr="0038047D">
              <w:rPr>
                <w:rFonts w:ascii="Times New Roman" w:eastAsiaTheme="minorEastAsia" w:hAnsi="Times New Roman" w:cs="Times New Roman"/>
                <w:b/>
                <w:sz w:val="21"/>
                <w:szCs w:val="21"/>
              </w:rPr>
              <w:t>L2</w:t>
            </w:r>
            <w:r w:rsidRPr="0038047D">
              <w:rPr>
                <w:rFonts w:ascii="Times New Roman" w:eastAsiaTheme="minorEastAsia" w:hAnsi="Times New Roman" w:cs="Times New Roman" w:hint="eastAsia"/>
                <w:b/>
                <w:sz w:val="21"/>
                <w:szCs w:val="21"/>
              </w:rPr>
              <w:t>、</w:t>
            </w:r>
            <w:r w:rsidRPr="0038047D">
              <w:rPr>
                <w:rFonts w:ascii="Times New Roman" w:eastAsiaTheme="minorEastAsia" w:hAnsi="Times New Roman" w:cs="Times New Roman"/>
                <w:b/>
                <w:sz w:val="21"/>
                <w:szCs w:val="21"/>
              </w:rPr>
              <w:t>L3</w:t>
            </w:r>
            <w:proofErr w:type="gramStart"/>
            <w:r w:rsidRPr="0038047D">
              <w:rPr>
                <w:rFonts w:ascii="Times New Roman" w:eastAsiaTheme="minorEastAsia" w:hAnsi="Times New Roman" w:cs="Times New Roman" w:hint="eastAsia"/>
                <w:b/>
                <w:sz w:val="21"/>
                <w:szCs w:val="21"/>
              </w:rPr>
              <w:t>三层商业</w:t>
            </w:r>
            <w:proofErr w:type="gramEnd"/>
            <w:r w:rsidRPr="0038047D">
              <w:rPr>
                <w:rFonts w:ascii="Times New Roman" w:eastAsiaTheme="minorEastAsia" w:hAnsi="Times New Roman" w:cs="Times New Roman" w:hint="eastAsia"/>
                <w:b/>
                <w:sz w:val="21"/>
                <w:szCs w:val="21"/>
              </w:rPr>
              <w:t>模式架构，能否分别解释各层的定位、解决的核心问题及当前商业化进展？</w:t>
            </w:r>
          </w:p>
          <w:p w14:paraId="44F237EB" w14:textId="21F98A1F" w:rsidR="00A755E1" w:rsidRPr="004A3552" w:rsidRDefault="004A3552">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r>
              <w:rPr>
                <w:rFonts w:ascii="Times New Roman" w:eastAsiaTheme="minorEastAsia" w:hAnsi="Times New Roman" w:cs="Times New Roman" w:hint="eastAsia"/>
                <w:bCs/>
                <w:sz w:val="21"/>
                <w:szCs w:val="21"/>
              </w:rPr>
              <w:t>答：</w:t>
            </w:r>
            <w:r w:rsidRPr="004A3552">
              <w:rPr>
                <w:rFonts w:ascii="Times New Roman" w:eastAsiaTheme="minorEastAsia" w:hAnsi="Times New Roman" w:cs="Times New Roman" w:hint="eastAsia"/>
                <w:bCs/>
                <w:sz w:val="21"/>
                <w:szCs w:val="21"/>
              </w:rPr>
              <w:t>三层架构为递进关系，附加值与竞争壁垒随层级提升而加深。</w:t>
            </w:r>
          </w:p>
          <w:p w14:paraId="1B580159" w14:textId="6B952F05" w:rsidR="00A755E1" w:rsidRPr="004A3552" w:rsidRDefault="00000000">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r w:rsidRPr="004A3552">
              <w:rPr>
                <w:rFonts w:ascii="Times New Roman" w:eastAsiaTheme="minorEastAsia" w:hAnsi="Times New Roman" w:cs="Times New Roman" w:hint="eastAsia"/>
                <w:bCs/>
                <w:sz w:val="21"/>
                <w:szCs w:val="21"/>
              </w:rPr>
              <w:t>L1</w:t>
            </w:r>
            <w:r w:rsidRPr="004A3552">
              <w:rPr>
                <w:rFonts w:ascii="Times New Roman" w:eastAsiaTheme="minorEastAsia" w:hAnsi="Times New Roman" w:cs="Times New Roman" w:hint="eastAsia"/>
                <w:bCs/>
                <w:sz w:val="21"/>
                <w:szCs w:val="21"/>
              </w:rPr>
              <w:t>为国产合</w:t>
            </w:r>
            <w:proofErr w:type="gramStart"/>
            <w:r w:rsidRPr="004A3552">
              <w:rPr>
                <w:rFonts w:ascii="Times New Roman" w:eastAsiaTheme="minorEastAsia" w:hAnsi="Times New Roman" w:cs="Times New Roman" w:hint="eastAsia"/>
                <w:bCs/>
                <w:sz w:val="21"/>
                <w:szCs w:val="21"/>
              </w:rPr>
              <w:t>规</w:t>
            </w:r>
            <w:proofErr w:type="gramEnd"/>
            <w:r w:rsidRPr="004A3552">
              <w:rPr>
                <w:rFonts w:ascii="Times New Roman" w:eastAsiaTheme="minorEastAsia" w:hAnsi="Times New Roman" w:cs="Times New Roman" w:hint="eastAsia"/>
                <w:bCs/>
                <w:sz w:val="21"/>
                <w:szCs w:val="21"/>
              </w:rPr>
              <w:t>Token</w:t>
            </w:r>
            <w:r w:rsidRPr="004A3552">
              <w:rPr>
                <w:rFonts w:ascii="Times New Roman" w:eastAsiaTheme="minorEastAsia" w:hAnsi="Times New Roman" w:cs="Times New Roman" w:hint="eastAsia"/>
                <w:bCs/>
                <w:sz w:val="21"/>
                <w:szCs w:val="21"/>
              </w:rPr>
              <w:t>网关，解决的是</w:t>
            </w:r>
            <w:r w:rsidR="004A3552">
              <w:rPr>
                <w:rFonts w:ascii="Times New Roman" w:eastAsiaTheme="minorEastAsia" w:hAnsi="Times New Roman" w:cs="Times New Roman" w:hint="eastAsia"/>
                <w:bCs/>
                <w:sz w:val="21"/>
                <w:szCs w:val="21"/>
              </w:rPr>
              <w:t>“</w:t>
            </w:r>
            <w:r w:rsidR="004A3552" w:rsidRPr="004A3552">
              <w:rPr>
                <w:rFonts w:ascii="Times New Roman" w:eastAsiaTheme="minorEastAsia" w:hAnsi="Times New Roman" w:cs="Times New Roman" w:hint="eastAsia"/>
                <w:bCs/>
                <w:sz w:val="21"/>
                <w:szCs w:val="21"/>
              </w:rPr>
              <w:t>用得了</w:t>
            </w:r>
            <w:r w:rsidR="004A3552">
              <w:rPr>
                <w:rFonts w:ascii="Times New Roman" w:eastAsiaTheme="minorEastAsia" w:hAnsi="Times New Roman" w:cs="Times New Roman" w:hint="eastAsia"/>
                <w:bCs/>
                <w:sz w:val="21"/>
                <w:szCs w:val="21"/>
              </w:rPr>
              <w:t>”</w:t>
            </w:r>
            <w:r w:rsidRPr="004A3552">
              <w:rPr>
                <w:rFonts w:ascii="Times New Roman" w:eastAsiaTheme="minorEastAsia" w:hAnsi="Times New Roman" w:cs="Times New Roman" w:hint="eastAsia"/>
                <w:bCs/>
                <w:sz w:val="21"/>
                <w:szCs w:val="21"/>
              </w:rPr>
              <w:t>的问题。政务、金融、</w:t>
            </w:r>
            <w:r w:rsidRPr="004A3552">
              <w:rPr>
                <w:rFonts w:ascii="Times New Roman" w:eastAsiaTheme="minorEastAsia" w:hAnsi="Times New Roman" w:cs="Times New Roman" w:hint="eastAsia"/>
                <w:bCs/>
                <w:sz w:val="21"/>
                <w:szCs w:val="21"/>
                <w:lang w:val="en-US"/>
              </w:rPr>
              <w:t>制造</w:t>
            </w:r>
            <w:r w:rsidRPr="004A3552">
              <w:rPr>
                <w:rFonts w:ascii="Times New Roman" w:eastAsiaTheme="minorEastAsia" w:hAnsi="Times New Roman" w:cs="Times New Roman" w:hint="eastAsia"/>
                <w:bCs/>
                <w:sz w:val="21"/>
                <w:szCs w:val="21"/>
              </w:rPr>
              <w:t>等高合</w:t>
            </w:r>
            <w:proofErr w:type="gramStart"/>
            <w:r w:rsidRPr="004A3552">
              <w:rPr>
                <w:rFonts w:ascii="Times New Roman" w:eastAsiaTheme="minorEastAsia" w:hAnsi="Times New Roman" w:cs="Times New Roman" w:hint="eastAsia"/>
                <w:bCs/>
                <w:sz w:val="21"/>
                <w:szCs w:val="21"/>
              </w:rPr>
              <w:t>规</w:t>
            </w:r>
            <w:proofErr w:type="gramEnd"/>
            <w:r w:rsidRPr="004A3552">
              <w:rPr>
                <w:rFonts w:ascii="Times New Roman" w:eastAsiaTheme="minorEastAsia" w:hAnsi="Times New Roman" w:cs="Times New Roman" w:hint="eastAsia"/>
                <w:bCs/>
                <w:sz w:val="21"/>
                <w:szCs w:val="21"/>
              </w:rPr>
              <w:t>要求客户，首要需求是在数据不出境、芯片自主可控、模型可审计的前提下安全使用</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能力。</w:t>
            </w:r>
            <w:r w:rsidRPr="004A3552">
              <w:rPr>
                <w:rFonts w:ascii="Times New Roman" w:eastAsiaTheme="minorEastAsia" w:hAnsi="Times New Roman" w:cs="Times New Roman" w:hint="eastAsia"/>
                <w:bCs/>
                <w:sz w:val="21"/>
                <w:szCs w:val="21"/>
              </w:rPr>
              <w:t>L1</w:t>
            </w:r>
            <w:r w:rsidRPr="004A3552">
              <w:rPr>
                <w:rFonts w:ascii="Times New Roman" w:eastAsiaTheme="minorEastAsia" w:hAnsi="Times New Roman" w:cs="Times New Roman" w:hint="eastAsia"/>
                <w:bCs/>
                <w:sz w:val="21"/>
                <w:szCs w:val="21"/>
              </w:rPr>
              <w:t>提供国产化的多模型路由网关，统一管理调度，向客户呈现一致、合</w:t>
            </w:r>
            <w:proofErr w:type="gramStart"/>
            <w:r w:rsidRPr="004A3552">
              <w:rPr>
                <w:rFonts w:ascii="Times New Roman" w:eastAsiaTheme="minorEastAsia" w:hAnsi="Times New Roman" w:cs="Times New Roman" w:hint="eastAsia"/>
                <w:bCs/>
                <w:sz w:val="21"/>
                <w:szCs w:val="21"/>
              </w:rPr>
              <w:t>规</w:t>
            </w:r>
            <w:proofErr w:type="gramEnd"/>
            <w:r w:rsidRPr="004A3552">
              <w:rPr>
                <w:rFonts w:ascii="Times New Roman" w:eastAsiaTheme="minorEastAsia" w:hAnsi="Times New Roman" w:cs="Times New Roman" w:hint="eastAsia"/>
                <w:bCs/>
                <w:sz w:val="21"/>
                <w:szCs w:val="21"/>
              </w:rPr>
              <w:t>、安全的使用界面。这一层毛利率相对较低，但是进入客户系统的基础入口，也是</w:t>
            </w:r>
            <w:r w:rsidRPr="004A3552">
              <w:rPr>
                <w:rFonts w:ascii="Times New Roman" w:eastAsiaTheme="minorEastAsia" w:hAnsi="Times New Roman" w:cs="Times New Roman" w:hint="eastAsia"/>
                <w:bCs/>
                <w:sz w:val="21"/>
                <w:szCs w:val="21"/>
              </w:rPr>
              <w:t>L2</w:t>
            </w:r>
            <w:r w:rsidRPr="004A3552">
              <w:rPr>
                <w:rFonts w:ascii="Times New Roman" w:eastAsiaTheme="minorEastAsia" w:hAnsi="Times New Roman" w:cs="Times New Roman" w:hint="eastAsia"/>
                <w:bCs/>
                <w:sz w:val="21"/>
                <w:szCs w:val="21"/>
              </w:rPr>
              <w:t>、</w:t>
            </w:r>
            <w:r w:rsidRPr="004A3552">
              <w:rPr>
                <w:rFonts w:ascii="Times New Roman" w:eastAsiaTheme="minorEastAsia" w:hAnsi="Times New Roman" w:cs="Times New Roman" w:hint="eastAsia"/>
                <w:bCs/>
                <w:sz w:val="21"/>
                <w:szCs w:val="21"/>
              </w:rPr>
              <w:t>L3</w:t>
            </w:r>
            <w:r w:rsidRPr="004A3552">
              <w:rPr>
                <w:rFonts w:ascii="Times New Roman" w:eastAsiaTheme="minorEastAsia" w:hAnsi="Times New Roman" w:cs="Times New Roman" w:hint="eastAsia"/>
                <w:bCs/>
                <w:sz w:val="21"/>
                <w:szCs w:val="21"/>
              </w:rPr>
              <w:t>服务的底层支撑。</w:t>
            </w:r>
          </w:p>
          <w:p w14:paraId="1A38780B" w14:textId="77180184" w:rsidR="00A755E1" w:rsidRPr="004A3552" w:rsidRDefault="00000000">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r w:rsidRPr="004A3552">
              <w:rPr>
                <w:rFonts w:ascii="Times New Roman" w:eastAsiaTheme="minorEastAsia" w:hAnsi="Times New Roman" w:cs="Times New Roman" w:hint="eastAsia"/>
                <w:bCs/>
                <w:sz w:val="21"/>
                <w:szCs w:val="21"/>
              </w:rPr>
              <w:t>L2</w:t>
            </w:r>
            <w:r w:rsidRPr="004A3552">
              <w:rPr>
                <w:rFonts w:ascii="Times New Roman" w:eastAsiaTheme="minorEastAsia" w:hAnsi="Times New Roman" w:cs="Times New Roman" w:hint="eastAsia"/>
                <w:bCs/>
                <w:sz w:val="21"/>
                <w:szCs w:val="21"/>
              </w:rPr>
              <w:t>为行业智能体</w:t>
            </w:r>
            <w:r w:rsidRPr="004A3552">
              <w:rPr>
                <w:rFonts w:ascii="Times New Roman" w:eastAsiaTheme="minorEastAsia" w:hAnsi="Times New Roman" w:cs="Times New Roman" w:hint="eastAsia"/>
                <w:bCs/>
                <w:sz w:val="21"/>
                <w:szCs w:val="21"/>
              </w:rPr>
              <w:t>SKU</w:t>
            </w:r>
            <w:r w:rsidRPr="004A3552">
              <w:rPr>
                <w:rFonts w:ascii="Times New Roman" w:eastAsiaTheme="minorEastAsia" w:hAnsi="Times New Roman" w:cs="Times New Roman" w:hint="eastAsia"/>
                <w:bCs/>
                <w:sz w:val="21"/>
                <w:szCs w:val="21"/>
              </w:rPr>
              <w:t>，解决的是</w:t>
            </w:r>
            <w:r w:rsidR="004A3552">
              <w:rPr>
                <w:rFonts w:ascii="Times New Roman" w:eastAsiaTheme="minorEastAsia" w:hAnsi="Times New Roman" w:cs="Times New Roman" w:hint="eastAsia"/>
                <w:bCs/>
                <w:sz w:val="21"/>
                <w:szCs w:val="21"/>
              </w:rPr>
              <w:t>“</w:t>
            </w:r>
            <w:r w:rsidR="004A3552" w:rsidRPr="004A3552">
              <w:rPr>
                <w:rFonts w:ascii="Times New Roman" w:eastAsiaTheme="minorEastAsia" w:hAnsi="Times New Roman" w:cs="Times New Roman" w:hint="eastAsia"/>
                <w:bCs/>
                <w:sz w:val="21"/>
                <w:szCs w:val="21"/>
              </w:rPr>
              <w:t>用得好</w:t>
            </w:r>
            <w:r w:rsidR="004A3552">
              <w:rPr>
                <w:rFonts w:ascii="Times New Roman" w:eastAsiaTheme="minorEastAsia" w:hAnsi="Times New Roman" w:cs="Times New Roman" w:hint="eastAsia"/>
                <w:bCs/>
                <w:sz w:val="21"/>
                <w:szCs w:val="21"/>
              </w:rPr>
              <w:t>”</w:t>
            </w:r>
            <w:r w:rsidRPr="004A3552">
              <w:rPr>
                <w:rFonts w:ascii="Times New Roman" w:eastAsiaTheme="minorEastAsia" w:hAnsi="Times New Roman" w:cs="Times New Roman" w:hint="eastAsia"/>
                <w:bCs/>
                <w:sz w:val="21"/>
                <w:szCs w:val="21"/>
              </w:rPr>
              <w:t>的问题。公司针对具体行业场景，将十年积累的行业</w:t>
            </w:r>
            <w:r w:rsidRPr="004A3552">
              <w:rPr>
                <w:rFonts w:ascii="Times New Roman" w:eastAsiaTheme="minorEastAsia" w:hAnsi="Times New Roman" w:cs="Times New Roman" w:hint="eastAsia"/>
                <w:bCs/>
                <w:sz w:val="21"/>
                <w:szCs w:val="21"/>
              </w:rPr>
              <w:t>Know-How</w:t>
            </w:r>
            <w:r w:rsidRPr="004A3552">
              <w:rPr>
                <w:rFonts w:ascii="Times New Roman" w:eastAsiaTheme="minorEastAsia" w:hAnsi="Times New Roman" w:cs="Times New Roman" w:hint="eastAsia"/>
                <w:bCs/>
                <w:sz w:val="21"/>
                <w:szCs w:val="21"/>
              </w:rPr>
              <w:t>封装为可直接调用的智能体能力包，例如政务领域的文件审核智能体、金融领域的</w:t>
            </w:r>
            <w:proofErr w:type="gramStart"/>
            <w:r w:rsidRPr="004A3552">
              <w:rPr>
                <w:rFonts w:ascii="Times New Roman" w:eastAsiaTheme="minorEastAsia" w:hAnsi="Times New Roman" w:cs="Times New Roman" w:hint="eastAsia"/>
                <w:bCs/>
                <w:sz w:val="21"/>
                <w:szCs w:val="21"/>
              </w:rPr>
              <w:t>风控分析</w:t>
            </w:r>
            <w:proofErr w:type="gramEnd"/>
            <w:r w:rsidRPr="004A3552">
              <w:rPr>
                <w:rFonts w:ascii="Times New Roman" w:eastAsiaTheme="minorEastAsia" w:hAnsi="Times New Roman" w:cs="Times New Roman" w:hint="eastAsia"/>
                <w:bCs/>
                <w:sz w:val="21"/>
                <w:szCs w:val="21"/>
              </w:rPr>
              <w:t>智能体、交通领域的港口调度智能体，客户按需调用、按任务付费，无需自行开发。技术壁垒来源于行业专业知识的不可复制性。</w:t>
            </w:r>
          </w:p>
          <w:p w14:paraId="03620721" w14:textId="3880AE26" w:rsidR="00A755E1" w:rsidRPr="004A3552" w:rsidRDefault="00000000">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r w:rsidRPr="004A3552">
              <w:rPr>
                <w:rFonts w:ascii="Times New Roman" w:eastAsiaTheme="minorEastAsia" w:hAnsi="Times New Roman" w:cs="Times New Roman" w:hint="eastAsia"/>
                <w:bCs/>
                <w:sz w:val="21"/>
                <w:szCs w:val="21"/>
              </w:rPr>
              <w:t>L3</w:t>
            </w:r>
            <w:r w:rsidRPr="004A3552">
              <w:rPr>
                <w:rFonts w:ascii="Times New Roman" w:eastAsiaTheme="minorEastAsia" w:hAnsi="Times New Roman" w:cs="Times New Roman" w:hint="eastAsia"/>
                <w:bCs/>
                <w:sz w:val="21"/>
                <w:szCs w:val="21"/>
              </w:rPr>
              <w:t>为托管式</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岗位服务，解决的是</w:t>
            </w:r>
            <w:r w:rsidR="004A3552">
              <w:rPr>
                <w:rFonts w:ascii="Times New Roman" w:eastAsiaTheme="minorEastAsia" w:hAnsi="Times New Roman" w:cs="Times New Roman" w:hint="eastAsia"/>
                <w:bCs/>
                <w:sz w:val="21"/>
                <w:szCs w:val="21"/>
              </w:rPr>
              <w:t>“</w:t>
            </w:r>
            <w:r w:rsidR="004A3552" w:rsidRPr="004A3552">
              <w:rPr>
                <w:rFonts w:ascii="Times New Roman" w:eastAsiaTheme="minorEastAsia" w:hAnsi="Times New Roman" w:cs="Times New Roman" w:hint="eastAsia"/>
                <w:bCs/>
                <w:sz w:val="21"/>
                <w:szCs w:val="21"/>
              </w:rPr>
              <w:t>用出价值</w:t>
            </w:r>
            <w:r w:rsidR="004A3552">
              <w:rPr>
                <w:rFonts w:ascii="Times New Roman" w:eastAsiaTheme="minorEastAsia" w:hAnsi="Times New Roman" w:cs="Times New Roman" w:hint="eastAsia"/>
                <w:bCs/>
                <w:sz w:val="21"/>
                <w:szCs w:val="21"/>
              </w:rPr>
              <w:t>”</w:t>
            </w:r>
            <w:r w:rsidRPr="004A3552">
              <w:rPr>
                <w:rFonts w:ascii="Times New Roman" w:eastAsiaTheme="minorEastAsia" w:hAnsi="Times New Roman" w:cs="Times New Roman" w:hint="eastAsia"/>
                <w:bCs/>
                <w:sz w:val="21"/>
                <w:szCs w:val="21"/>
              </w:rPr>
              <w:t>的问题，也是公司毛利率最高、战略意义最深的业务形态。公司直接为客户提供可替代特定专业岗位的</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员工服务，涵盖</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审核员、</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调度员、</w:t>
            </w:r>
            <w:r w:rsidRPr="004A3552">
              <w:rPr>
                <w:rFonts w:ascii="Times New Roman" w:eastAsiaTheme="minorEastAsia" w:hAnsi="Times New Roman" w:cs="Times New Roman" w:hint="eastAsia"/>
                <w:bCs/>
                <w:sz w:val="21"/>
                <w:szCs w:val="21"/>
              </w:rPr>
              <w:t>AI</w:t>
            </w:r>
            <w:proofErr w:type="gramStart"/>
            <w:r w:rsidRPr="004A3552">
              <w:rPr>
                <w:rFonts w:ascii="Times New Roman" w:eastAsiaTheme="minorEastAsia" w:hAnsi="Times New Roman" w:cs="Times New Roman" w:hint="eastAsia"/>
                <w:bCs/>
                <w:sz w:val="21"/>
                <w:szCs w:val="21"/>
              </w:rPr>
              <w:t>治理员</w:t>
            </w:r>
            <w:proofErr w:type="gramEnd"/>
            <w:r w:rsidRPr="004A3552">
              <w:rPr>
                <w:rFonts w:ascii="Times New Roman" w:eastAsiaTheme="minorEastAsia" w:hAnsi="Times New Roman" w:cs="Times New Roman" w:hint="eastAsia"/>
                <w:bCs/>
                <w:sz w:val="21"/>
                <w:szCs w:val="21"/>
              </w:rPr>
              <w:t>等，由公司负责部署、运营与持续迭代优化，客户按</w:t>
            </w:r>
            <w:proofErr w:type="gramStart"/>
            <w:r w:rsidRPr="004A3552">
              <w:rPr>
                <w:rFonts w:ascii="Times New Roman" w:eastAsiaTheme="minorEastAsia" w:hAnsi="Times New Roman" w:cs="Times New Roman" w:hint="eastAsia"/>
                <w:bCs/>
                <w:sz w:val="21"/>
                <w:szCs w:val="21"/>
              </w:rPr>
              <w:t>岗位月</w:t>
            </w:r>
            <w:proofErr w:type="gramEnd"/>
            <w:r w:rsidRPr="004A3552">
              <w:rPr>
                <w:rFonts w:ascii="Times New Roman" w:eastAsiaTheme="minorEastAsia" w:hAnsi="Times New Roman" w:cs="Times New Roman" w:hint="eastAsia"/>
                <w:bCs/>
                <w:sz w:val="21"/>
                <w:szCs w:val="21"/>
              </w:rPr>
              <w:t>订阅</w:t>
            </w:r>
            <w:r w:rsidRPr="004A3552">
              <w:rPr>
                <w:rFonts w:ascii="Times New Roman" w:eastAsiaTheme="minorEastAsia" w:hAnsi="Times New Roman" w:cs="Times New Roman" w:hint="eastAsia"/>
                <w:bCs/>
                <w:sz w:val="21"/>
                <w:szCs w:val="21"/>
                <w:lang w:val="en-US"/>
              </w:rPr>
              <w:t>和使用量</w:t>
            </w:r>
            <w:r w:rsidRPr="004A3552">
              <w:rPr>
                <w:rFonts w:ascii="Times New Roman" w:eastAsiaTheme="minorEastAsia" w:hAnsi="Times New Roman" w:cs="Times New Roman" w:hint="eastAsia"/>
                <w:bCs/>
                <w:sz w:val="21"/>
                <w:szCs w:val="21"/>
              </w:rPr>
              <w:t>付费，亦可探索按业务</w:t>
            </w:r>
            <w:r w:rsidRPr="004A3552">
              <w:rPr>
                <w:rFonts w:ascii="Times New Roman" w:eastAsiaTheme="minorEastAsia" w:hAnsi="Times New Roman" w:cs="Times New Roman" w:hint="eastAsia"/>
                <w:bCs/>
                <w:sz w:val="21"/>
                <w:szCs w:val="21"/>
              </w:rPr>
              <w:t>KPI</w:t>
            </w:r>
            <w:r w:rsidRPr="004A3552">
              <w:rPr>
                <w:rFonts w:ascii="Times New Roman" w:eastAsiaTheme="minorEastAsia" w:hAnsi="Times New Roman" w:cs="Times New Roman" w:hint="eastAsia"/>
                <w:bCs/>
                <w:sz w:val="21"/>
                <w:szCs w:val="21"/>
              </w:rPr>
              <w:t>的效果分成模式。目前已有部分种子客户在验证这一模式，预计</w:t>
            </w:r>
            <w:r w:rsidRPr="004A3552">
              <w:rPr>
                <w:rFonts w:ascii="Times New Roman" w:eastAsiaTheme="minorEastAsia" w:hAnsi="Times New Roman" w:cs="Times New Roman" w:hint="eastAsia"/>
                <w:bCs/>
                <w:sz w:val="21"/>
                <w:szCs w:val="21"/>
                <w:lang w:val="en-US"/>
              </w:rPr>
              <w:t>这部分</w:t>
            </w:r>
            <w:r w:rsidRPr="004A3552">
              <w:rPr>
                <w:rFonts w:ascii="Times New Roman" w:eastAsiaTheme="minorEastAsia" w:hAnsi="Times New Roman" w:cs="Times New Roman" w:hint="eastAsia"/>
                <w:bCs/>
                <w:sz w:val="21"/>
                <w:szCs w:val="21"/>
              </w:rPr>
              <w:t>将于</w:t>
            </w:r>
            <w:r w:rsidRPr="004A3552">
              <w:rPr>
                <w:rFonts w:ascii="Times New Roman" w:eastAsiaTheme="minorEastAsia" w:hAnsi="Times New Roman" w:cs="Times New Roman" w:hint="eastAsia"/>
                <w:bCs/>
                <w:sz w:val="21"/>
                <w:szCs w:val="21"/>
              </w:rPr>
              <w:t>2026</w:t>
            </w:r>
            <w:r w:rsidRPr="004A3552">
              <w:rPr>
                <w:rFonts w:ascii="Times New Roman" w:eastAsiaTheme="minorEastAsia" w:hAnsi="Times New Roman" w:cs="Times New Roman" w:hint="eastAsia"/>
                <w:bCs/>
                <w:sz w:val="21"/>
                <w:szCs w:val="21"/>
              </w:rPr>
              <w:t>年下半</w:t>
            </w:r>
            <w:proofErr w:type="gramStart"/>
            <w:r w:rsidRPr="004A3552">
              <w:rPr>
                <w:rFonts w:ascii="Times New Roman" w:eastAsiaTheme="minorEastAsia" w:hAnsi="Times New Roman" w:cs="Times New Roman" w:hint="eastAsia"/>
                <w:bCs/>
                <w:sz w:val="21"/>
                <w:szCs w:val="21"/>
              </w:rPr>
              <w:t>年逐步起</w:t>
            </w:r>
            <w:proofErr w:type="gramEnd"/>
            <w:r w:rsidRPr="004A3552">
              <w:rPr>
                <w:rFonts w:ascii="Times New Roman" w:eastAsiaTheme="minorEastAsia" w:hAnsi="Times New Roman" w:cs="Times New Roman" w:hint="eastAsia"/>
                <w:bCs/>
                <w:sz w:val="21"/>
                <w:szCs w:val="21"/>
              </w:rPr>
              <w:t>量，届时公司收入结构将向经常性收入比例持续提升的方向演进。</w:t>
            </w:r>
          </w:p>
          <w:p w14:paraId="62B83B40" w14:textId="77777777" w:rsidR="00A755E1" w:rsidRPr="004A3552" w:rsidRDefault="00A755E1">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p>
          <w:p w14:paraId="50C60447" w14:textId="2358910F" w:rsidR="00A755E1" w:rsidRPr="0038047D" w:rsidRDefault="00000000">
            <w:pPr>
              <w:spacing w:beforeLines="50" w:before="120" w:afterLines="50" w:after="120" w:line="360" w:lineRule="auto"/>
              <w:ind w:firstLineChars="200" w:firstLine="422"/>
              <w:jc w:val="both"/>
              <w:rPr>
                <w:rFonts w:ascii="Times New Roman" w:eastAsiaTheme="minorEastAsia" w:hAnsi="Times New Roman" w:cs="Times New Roman"/>
                <w:b/>
                <w:sz w:val="21"/>
                <w:szCs w:val="21"/>
              </w:rPr>
            </w:pPr>
            <w:r w:rsidRPr="0038047D">
              <w:rPr>
                <w:rFonts w:ascii="Times New Roman" w:eastAsiaTheme="minorEastAsia" w:hAnsi="Times New Roman" w:cs="Times New Roman" w:hint="eastAsia"/>
                <w:b/>
                <w:sz w:val="21"/>
                <w:szCs w:val="21"/>
              </w:rPr>
              <w:t>问题</w:t>
            </w:r>
            <w:r w:rsidRPr="0038047D">
              <w:rPr>
                <w:rFonts w:ascii="Times New Roman" w:eastAsiaTheme="minorEastAsia" w:hAnsi="Times New Roman" w:cs="Times New Roman"/>
                <w:b/>
                <w:sz w:val="21"/>
                <w:szCs w:val="21"/>
              </w:rPr>
              <w:t>6</w:t>
            </w:r>
            <w:r w:rsidRPr="0038047D">
              <w:rPr>
                <w:rFonts w:ascii="Times New Roman" w:eastAsiaTheme="minorEastAsia" w:hAnsi="Times New Roman" w:cs="Times New Roman" w:hint="eastAsia"/>
                <w:b/>
                <w:sz w:val="21"/>
                <w:szCs w:val="21"/>
              </w:rPr>
              <w:t>：</w:t>
            </w:r>
            <w:r w:rsidRPr="0038047D">
              <w:rPr>
                <w:rFonts w:ascii="Times New Roman" w:eastAsiaTheme="minorEastAsia" w:hAnsi="Times New Roman" w:cs="Times New Roman"/>
                <w:b/>
                <w:sz w:val="21"/>
                <w:szCs w:val="21"/>
              </w:rPr>
              <w:t xml:space="preserve"> </w:t>
            </w:r>
            <w:r w:rsidRPr="0038047D">
              <w:rPr>
                <w:rFonts w:ascii="Times New Roman" w:eastAsiaTheme="minorEastAsia" w:hAnsi="Times New Roman" w:cs="Times New Roman" w:hint="eastAsia"/>
                <w:b/>
                <w:sz w:val="21"/>
                <w:szCs w:val="21"/>
              </w:rPr>
              <w:t>公司提出全面推进</w:t>
            </w:r>
            <w:r w:rsidR="004A3552">
              <w:rPr>
                <w:rFonts w:ascii="Times New Roman" w:eastAsiaTheme="minorEastAsia" w:hAnsi="Times New Roman" w:cs="Times New Roman" w:hint="eastAsia"/>
                <w:b/>
                <w:sz w:val="21"/>
                <w:szCs w:val="21"/>
              </w:rPr>
              <w:t>“</w:t>
            </w:r>
            <w:r w:rsidR="004A3552" w:rsidRPr="009C5B20">
              <w:rPr>
                <w:rFonts w:ascii="Times New Roman" w:eastAsiaTheme="minorEastAsia" w:hAnsi="Times New Roman" w:cs="Times New Roman"/>
                <w:b/>
                <w:sz w:val="21"/>
                <w:szCs w:val="21"/>
              </w:rPr>
              <w:t>AI Native</w:t>
            </w:r>
            <w:r w:rsidR="004A3552" w:rsidRPr="009C5B20">
              <w:rPr>
                <w:rFonts w:ascii="Times New Roman" w:eastAsiaTheme="minorEastAsia" w:hAnsi="Times New Roman" w:cs="Times New Roman" w:hint="eastAsia"/>
                <w:b/>
                <w:sz w:val="21"/>
                <w:szCs w:val="21"/>
              </w:rPr>
              <w:t>组织</w:t>
            </w:r>
            <w:r w:rsidR="004A3552">
              <w:rPr>
                <w:rFonts w:ascii="Times New Roman" w:eastAsiaTheme="minorEastAsia" w:hAnsi="Times New Roman" w:cs="Times New Roman" w:hint="eastAsia"/>
                <w:b/>
                <w:sz w:val="21"/>
                <w:szCs w:val="21"/>
              </w:rPr>
              <w:t>”</w:t>
            </w:r>
            <w:r w:rsidRPr="0038047D">
              <w:rPr>
                <w:rFonts w:ascii="Times New Roman" w:eastAsiaTheme="minorEastAsia" w:hAnsi="Times New Roman" w:cs="Times New Roman" w:hint="eastAsia"/>
                <w:b/>
                <w:sz w:val="21"/>
                <w:szCs w:val="21"/>
              </w:rPr>
              <w:t>建设，能否具体说明这一举措的内涵及其对公司降本增效的实质性贡献？</w:t>
            </w:r>
          </w:p>
          <w:p w14:paraId="0AA54320" w14:textId="7D34994E" w:rsidR="00A755E1" w:rsidRPr="004A3552" w:rsidRDefault="004A3552">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r>
              <w:rPr>
                <w:rFonts w:ascii="Times New Roman" w:eastAsiaTheme="minorEastAsia" w:hAnsi="Times New Roman" w:cs="Times New Roman" w:hint="eastAsia"/>
                <w:bCs/>
                <w:sz w:val="21"/>
                <w:szCs w:val="21"/>
              </w:rPr>
              <w:t>答：</w:t>
            </w:r>
            <w:r w:rsidRPr="004A3552">
              <w:rPr>
                <w:rFonts w:ascii="Times New Roman" w:eastAsiaTheme="minorEastAsia" w:hAnsi="Times New Roman" w:cs="Times New Roman" w:hint="eastAsia"/>
                <w:bCs/>
                <w:sz w:val="21"/>
                <w:szCs w:val="21"/>
              </w:rPr>
              <w:t>AI Native</w:t>
            </w:r>
            <w:r w:rsidRPr="004A3552">
              <w:rPr>
                <w:rFonts w:ascii="Times New Roman" w:eastAsiaTheme="minorEastAsia" w:hAnsi="Times New Roman" w:cs="Times New Roman" w:hint="eastAsia"/>
                <w:bCs/>
                <w:sz w:val="21"/>
                <w:szCs w:val="21"/>
              </w:rPr>
              <w:t>组织建设并非停留于理念层面，而是对内部工作流程的系统性重构。其核心逻辑是：</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由辅助工具转变为工作流的主要编排者，员工的角色随之分化为三类——操作者负责处理</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尚无法覆盖的边界情形，审核者负责把控</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输出的质量与合</w:t>
            </w:r>
            <w:proofErr w:type="gramStart"/>
            <w:r w:rsidRPr="004A3552">
              <w:rPr>
                <w:rFonts w:ascii="Times New Roman" w:eastAsiaTheme="minorEastAsia" w:hAnsi="Times New Roman" w:cs="Times New Roman" w:hint="eastAsia"/>
                <w:bCs/>
                <w:sz w:val="21"/>
                <w:szCs w:val="21"/>
              </w:rPr>
              <w:t>规</w:t>
            </w:r>
            <w:proofErr w:type="gramEnd"/>
            <w:r w:rsidRPr="004A3552">
              <w:rPr>
                <w:rFonts w:ascii="Times New Roman" w:eastAsiaTheme="minorEastAsia" w:hAnsi="Times New Roman" w:cs="Times New Roman" w:hint="eastAsia"/>
                <w:bCs/>
                <w:sz w:val="21"/>
                <w:szCs w:val="21"/>
              </w:rPr>
              <w:t>性，</w:t>
            </w:r>
            <w:proofErr w:type="gramStart"/>
            <w:r w:rsidRPr="004A3552">
              <w:rPr>
                <w:rFonts w:ascii="Times New Roman" w:eastAsiaTheme="minorEastAsia" w:hAnsi="Times New Roman" w:cs="Times New Roman" w:hint="eastAsia"/>
                <w:bCs/>
                <w:sz w:val="21"/>
                <w:szCs w:val="21"/>
              </w:rPr>
              <w:t>架构师</w:t>
            </w:r>
            <w:proofErr w:type="gramEnd"/>
            <w:r w:rsidRPr="004A3552">
              <w:rPr>
                <w:rFonts w:ascii="Times New Roman" w:eastAsiaTheme="minorEastAsia" w:hAnsi="Times New Roman" w:cs="Times New Roman" w:hint="eastAsia"/>
                <w:bCs/>
                <w:sz w:val="21"/>
                <w:szCs w:val="21"/>
              </w:rPr>
              <w:t>负责设计与持续优化</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工作流体系本身。</w:t>
            </w:r>
          </w:p>
          <w:p w14:paraId="010CE5FD" w14:textId="7E70E71B" w:rsidR="00A755E1" w:rsidRPr="004A3552" w:rsidRDefault="00000000">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r w:rsidRPr="004A3552">
              <w:rPr>
                <w:rFonts w:ascii="Times New Roman" w:eastAsiaTheme="minorEastAsia" w:hAnsi="Times New Roman" w:cs="Times New Roman" w:hint="eastAsia"/>
                <w:bCs/>
                <w:sz w:val="21"/>
                <w:szCs w:val="21"/>
              </w:rPr>
              <w:t>该举措已体现出明显的降本成效。</w:t>
            </w:r>
            <w:r w:rsidRPr="004A3552">
              <w:rPr>
                <w:rFonts w:ascii="Times New Roman" w:eastAsiaTheme="minorEastAsia" w:hAnsi="Times New Roman" w:cs="Times New Roman" w:hint="eastAsia"/>
                <w:bCs/>
                <w:sz w:val="21"/>
                <w:szCs w:val="21"/>
              </w:rPr>
              <w:t>2025</w:t>
            </w:r>
            <w:r w:rsidRPr="004A3552">
              <w:rPr>
                <w:rFonts w:ascii="Times New Roman" w:eastAsiaTheme="minorEastAsia" w:hAnsi="Times New Roman" w:cs="Times New Roman" w:hint="eastAsia"/>
                <w:bCs/>
                <w:sz w:val="21"/>
                <w:szCs w:val="21"/>
              </w:rPr>
              <w:t>年，管理、销售及研发三项费用合计（</w:t>
            </w:r>
            <w:proofErr w:type="gramStart"/>
            <w:r w:rsidRPr="004A3552">
              <w:rPr>
                <w:rFonts w:ascii="Times New Roman" w:eastAsiaTheme="minorEastAsia" w:hAnsi="Times New Roman" w:cs="Times New Roman" w:hint="eastAsia"/>
                <w:bCs/>
                <w:sz w:val="21"/>
                <w:szCs w:val="21"/>
              </w:rPr>
              <w:t>含开发</w:t>
            </w:r>
            <w:proofErr w:type="gramEnd"/>
            <w:r w:rsidRPr="004A3552">
              <w:rPr>
                <w:rFonts w:ascii="Times New Roman" w:eastAsiaTheme="minorEastAsia" w:hAnsi="Times New Roman" w:cs="Times New Roman" w:hint="eastAsia"/>
                <w:bCs/>
                <w:sz w:val="21"/>
                <w:szCs w:val="21"/>
              </w:rPr>
              <w:t>支出）同比下降</w:t>
            </w:r>
            <w:r w:rsidRPr="004A3552">
              <w:rPr>
                <w:rFonts w:ascii="Times New Roman" w:eastAsiaTheme="minorEastAsia" w:hAnsi="Times New Roman" w:cs="Times New Roman" w:hint="eastAsia"/>
                <w:bCs/>
                <w:sz w:val="21"/>
                <w:szCs w:val="21"/>
              </w:rPr>
              <w:t>34.17%</w:t>
            </w:r>
            <w:r w:rsidRPr="004A3552">
              <w:rPr>
                <w:rFonts w:ascii="Times New Roman" w:eastAsiaTheme="minorEastAsia" w:hAnsi="Times New Roman" w:cs="Times New Roman" w:hint="eastAsia"/>
                <w:bCs/>
                <w:sz w:val="21"/>
                <w:szCs w:val="21"/>
              </w:rPr>
              <w:t>，全年经营现金净流出从</w:t>
            </w:r>
            <w:r w:rsidRPr="004A3552">
              <w:rPr>
                <w:rFonts w:ascii="Times New Roman" w:eastAsiaTheme="minorEastAsia" w:hAnsi="Times New Roman" w:cs="Times New Roman" w:hint="eastAsia"/>
                <w:bCs/>
                <w:sz w:val="21"/>
                <w:szCs w:val="21"/>
              </w:rPr>
              <w:t>2024</w:t>
            </w:r>
            <w:r w:rsidRPr="004A3552">
              <w:rPr>
                <w:rFonts w:ascii="Times New Roman" w:eastAsiaTheme="minorEastAsia" w:hAnsi="Times New Roman" w:cs="Times New Roman" w:hint="eastAsia"/>
                <w:bCs/>
                <w:sz w:val="21"/>
                <w:szCs w:val="21"/>
              </w:rPr>
              <w:t>年的</w:t>
            </w:r>
            <w:r w:rsidRPr="004A3552">
              <w:rPr>
                <w:rFonts w:ascii="Times New Roman" w:eastAsiaTheme="minorEastAsia" w:hAnsi="Times New Roman" w:cs="Times New Roman" w:hint="eastAsia"/>
                <w:bCs/>
                <w:sz w:val="21"/>
                <w:szCs w:val="21"/>
              </w:rPr>
              <w:t>-3.07</w:t>
            </w:r>
            <w:r w:rsidRPr="004A3552">
              <w:rPr>
                <w:rFonts w:ascii="Times New Roman" w:eastAsiaTheme="minorEastAsia" w:hAnsi="Times New Roman" w:cs="Times New Roman" w:hint="eastAsia"/>
                <w:bCs/>
                <w:sz w:val="21"/>
                <w:szCs w:val="21"/>
              </w:rPr>
              <w:t>亿收窄至</w:t>
            </w:r>
            <w:r w:rsidRPr="004A3552">
              <w:rPr>
                <w:rFonts w:ascii="Times New Roman" w:eastAsiaTheme="minorEastAsia" w:hAnsi="Times New Roman" w:cs="Times New Roman" w:hint="eastAsia"/>
                <w:bCs/>
                <w:sz w:val="21"/>
                <w:szCs w:val="21"/>
              </w:rPr>
              <w:t>-0.81</w:t>
            </w:r>
            <w:r w:rsidRPr="004A3552">
              <w:rPr>
                <w:rFonts w:ascii="Times New Roman" w:eastAsiaTheme="minorEastAsia" w:hAnsi="Times New Roman" w:cs="Times New Roman" w:hint="eastAsia"/>
                <w:bCs/>
                <w:sz w:val="21"/>
                <w:szCs w:val="21"/>
              </w:rPr>
              <w:t>亿，</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原生化转型是重要贡献因素之一。目前，公司法</w:t>
            </w:r>
            <w:proofErr w:type="gramStart"/>
            <w:r w:rsidRPr="004A3552">
              <w:rPr>
                <w:rFonts w:ascii="Times New Roman" w:eastAsiaTheme="minorEastAsia" w:hAnsi="Times New Roman" w:cs="Times New Roman" w:hint="eastAsia"/>
                <w:bCs/>
                <w:sz w:val="21"/>
                <w:szCs w:val="21"/>
              </w:rPr>
              <w:t>务</w:t>
            </w:r>
            <w:proofErr w:type="gramEnd"/>
            <w:r w:rsidRPr="004A3552">
              <w:rPr>
                <w:rFonts w:ascii="Times New Roman" w:eastAsiaTheme="minorEastAsia" w:hAnsi="Times New Roman" w:cs="Times New Roman" w:hint="eastAsia"/>
                <w:bCs/>
                <w:sz w:val="21"/>
                <w:szCs w:val="21"/>
              </w:rPr>
              <w:t>、财务、人力资源及内部研究分析等职能岗位均已有智能</w:t>
            </w:r>
            <w:proofErr w:type="gramStart"/>
            <w:r w:rsidRPr="004A3552">
              <w:rPr>
                <w:rFonts w:ascii="Times New Roman" w:eastAsiaTheme="minorEastAsia" w:hAnsi="Times New Roman" w:cs="Times New Roman" w:hint="eastAsia"/>
                <w:bCs/>
                <w:sz w:val="21"/>
                <w:szCs w:val="21"/>
              </w:rPr>
              <w:t>体系统</w:t>
            </w:r>
            <w:proofErr w:type="gramEnd"/>
            <w:r w:rsidRPr="004A3552">
              <w:rPr>
                <w:rFonts w:ascii="Times New Roman" w:eastAsiaTheme="minorEastAsia" w:hAnsi="Times New Roman" w:cs="Times New Roman" w:hint="eastAsia"/>
                <w:bCs/>
                <w:sz w:val="21"/>
                <w:szCs w:val="21"/>
              </w:rPr>
              <w:t>投入运行。</w:t>
            </w:r>
          </w:p>
          <w:p w14:paraId="66DFD9B3" w14:textId="77777777" w:rsidR="00A755E1" w:rsidRPr="004A3552" w:rsidRDefault="00000000">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r w:rsidRPr="004A3552">
              <w:rPr>
                <w:rFonts w:ascii="Times New Roman" w:eastAsiaTheme="minorEastAsia" w:hAnsi="Times New Roman" w:cs="Times New Roman" w:hint="eastAsia"/>
                <w:bCs/>
                <w:sz w:val="21"/>
                <w:szCs w:val="21"/>
              </w:rPr>
              <w:t>此举亦具有重要的战略示范意义——公司将自身作为</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岗位运营的首要实践场景，在内部充分验证并完善方法论后，</w:t>
            </w:r>
            <w:r w:rsidRPr="004A3552">
              <w:rPr>
                <w:rFonts w:ascii="Times New Roman" w:eastAsiaTheme="minorEastAsia" w:hAnsi="Times New Roman" w:cs="Times New Roman" w:hint="eastAsia"/>
                <w:bCs/>
                <w:sz w:val="21"/>
                <w:szCs w:val="21"/>
                <w:lang w:val="en-US"/>
              </w:rPr>
              <w:t>其次在一些生态客户和公司进行输出，做好模式验证，最后</w:t>
            </w:r>
            <w:r w:rsidRPr="004A3552">
              <w:rPr>
                <w:rFonts w:ascii="Times New Roman" w:eastAsiaTheme="minorEastAsia" w:hAnsi="Times New Roman" w:cs="Times New Roman" w:hint="eastAsia"/>
                <w:bCs/>
                <w:sz w:val="21"/>
                <w:szCs w:val="21"/>
              </w:rPr>
              <w:t>再将这套体系作为</w:t>
            </w:r>
            <w:r w:rsidRPr="004A3552">
              <w:rPr>
                <w:rFonts w:ascii="Times New Roman" w:eastAsiaTheme="minorEastAsia" w:hAnsi="Times New Roman" w:cs="Times New Roman" w:hint="eastAsia"/>
                <w:bCs/>
                <w:sz w:val="21"/>
                <w:szCs w:val="21"/>
              </w:rPr>
              <w:t>L3</w:t>
            </w:r>
            <w:r w:rsidRPr="004A3552">
              <w:rPr>
                <w:rFonts w:ascii="Times New Roman" w:eastAsiaTheme="minorEastAsia" w:hAnsi="Times New Roman" w:cs="Times New Roman" w:hint="eastAsia"/>
                <w:bCs/>
                <w:sz w:val="21"/>
                <w:szCs w:val="21"/>
              </w:rPr>
              <w:t>服务向客户输出，以实践背书增强客户信任。</w:t>
            </w:r>
          </w:p>
          <w:p w14:paraId="34AF8A1C" w14:textId="77777777" w:rsidR="00A755E1" w:rsidRPr="004A3552" w:rsidRDefault="00A755E1">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p>
          <w:p w14:paraId="3C2BAEB2" w14:textId="4CA1E15E" w:rsidR="00A755E1" w:rsidRPr="0038047D" w:rsidRDefault="00000000">
            <w:pPr>
              <w:spacing w:beforeLines="50" w:before="120" w:afterLines="50" w:after="120" w:line="360" w:lineRule="auto"/>
              <w:ind w:firstLineChars="200" w:firstLine="422"/>
              <w:jc w:val="both"/>
              <w:rPr>
                <w:rFonts w:ascii="Times New Roman" w:eastAsiaTheme="minorEastAsia" w:hAnsi="Times New Roman" w:cs="Times New Roman"/>
                <w:b/>
                <w:sz w:val="21"/>
                <w:szCs w:val="21"/>
              </w:rPr>
            </w:pPr>
            <w:r w:rsidRPr="0038047D">
              <w:rPr>
                <w:rFonts w:ascii="Times New Roman" w:eastAsiaTheme="minorEastAsia" w:hAnsi="Times New Roman" w:cs="Times New Roman" w:hint="eastAsia"/>
                <w:b/>
                <w:sz w:val="21"/>
                <w:szCs w:val="21"/>
              </w:rPr>
              <w:t>问题</w:t>
            </w:r>
            <w:r w:rsidRPr="004A3552">
              <w:rPr>
                <w:rFonts w:ascii="Times New Roman" w:eastAsiaTheme="minorEastAsia" w:hAnsi="Times New Roman" w:cs="Times New Roman" w:hint="eastAsia"/>
                <w:b/>
                <w:sz w:val="21"/>
                <w:szCs w:val="21"/>
              </w:rPr>
              <w:t>7</w:t>
            </w:r>
            <w:r w:rsidRPr="0038047D">
              <w:rPr>
                <w:rFonts w:ascii="Times New Roman" w:eastAsiaTheme="minorEastAsia" w:hAnsi="Times New Roman" w:cs="Times New Roman" w:hint="eastAsia"/>
                <w:b/>
                <w:sz w:val="21"/>
                <w:szCs w:val="21"/>
              </w:rPr>
              <w:t>：</w:t>
            </w:r>
            <w:r w:rsidRPr="0038047D">
              <w:rPr>
                <w:rFonts w:ascii="Times New Roman" w:eastAsiaTheme="minorEastAsia" w:hAnsi="Times New Roman" w:cs="Times New Roman"/>
                <w:b/>
                <w:sz w:val="21"/>
                <w:szCs w:val="21"/>
              </w:rPr>
              <w:t xml:space="preserve"> AI</w:t>
            </w:r>
            <w:r w:rsidRPr="0038047D">
              <w:rPr>
                <w:rFonts w:ascii="Times New Roman" w:eastAsiaTheme="minorEastAsia" w:hAnsi="Times New Roman" w:cs="Times New Roman" w:hint="eastAsia"/>
                <w:b/>
                <w:sz w:val="21"/>
                <w:szCs w:val="21"/>
              </w:rPr>
              <w:t>智能体是重要的发展方向，能否举出目前落地较为成熟的典型应用场景？</w:t>
            </w:r>
          </w:p>
          <w:p w14:paraId="228C7BCB" w14:textId="502AAAFB" w:rsidR="00A755E1" w:rsidRPr="004A3552" w:rsidRDefault="004A3552">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r>
              <w:rPr>
                <w:rFonts w:ascii="Times New Roman" w:eastAsiaTheme="minorEastAsia" w:hAnsi="Times New Roman" w:cs="Times New Roman" w:hint="eastAsia"/>
                <w:bCs/>
                <w:sz w:val="21"/>
                <w:szCs w:val="21"/>
              </w:rPr>
              <w:t>答：</w:t>
            </w:r>
            <w:r w:rsidRPr="004A3552">
              <w:rPr>
                <w:rFonts w:ascii="Times New Roman" w:eastAsiaTheme="minorEastAsia" w:hAnsi="Times New Roman" w:cs="Times New Roman" w:hint="eastAsia"/>
                <w:bCs/>
                <w:sz w:val="21"/>
                <w:szCs w:val="21"/>
              </w:rPr>
              <w:t>目前</w:t>
            </w:r>
            <w:r w:rsidRPr="004A3552">
              <w:rPr>
                <w:rFonts w:ascii="Times New Roman" w:eastAsiaTheme="minorEastAsia" w:hAnsi="Times New Roman" w:cs="Times New Roman" w:hint="eastAsia"/>
                <w:bCs/>
                <w:sz w:val="21"/>
                <w:szCs w:val="21"/>
                <w:lang w:val="en-US"/>
              </w:rPr>
              <w:t>市场上</w:t>
            </w:r>
            <w:r w:rsidRPr="004A3552">
              <w:rPr>
                <w:rFonts w:ascii="Times New Roman" w:eastAsiaTheme="minorEastAsia" w:hAnsi="Times New Roman" w:cs="Times New Roman" w:hint="eastAsia"/>
                <w:bCs/>
                <w:sz w:val="21"/>
                <w:szCs w:val="21"/>
              </w:rPr>
              <w:t>在两个方向已有较为成熟的客户合作与场景验证。</w:t>
            </w:r>
          </w:p>
          <w:p w14:paraId="0275D81E" w14:textId="0FEE4ED5" w:rsidR="00A755E1" w:rsidRPr="004A3552" w:rsidRDefault="00000000">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r w:rsidRPr="004A3552">
              <w:rPr>
                <w:rFonts w:ascii="Times New Roman" w:eastAsiaTheme="minorEastAsia" w:hAnsi="Times New Roman" w:cs="Times New Roman" w:hint="eastAsia"/>
                <w:bCs/>
                <w:sz w:val="21"/>
                <w:szCs w:val="21"/>
              </w:rPr>
              <w:t>第一个方向是面向开发者、营销服务商</w:t>
            </w:r>
            <w:proofErr w:type="gramStart"/>
            <w:r w:rsidRPr="004A3552">
              <w:rPr>
                <w:rFonts w:ascii="Times New Roman" w:eastAsiaTheme="minorEastAsia" w:hAnsi="Times New Roman" w:cs="Times New Roman" w:hint="eastAsia"/>
                <w:bCs/>
                <w:sz w:val="21"/>
                <w:szCs w:val="21"/>
              </w:rPr>
              <w:t>及垂类</w:t>
            </w:r>
            <w:proofErr w:type="gramEnd"/>
            <w:r w:rsidRPr="004A3552">
              <w:rPr>
                <w:rFonts w:ascii="Times New Roman" w:eastAsiaTheme="minorEastAsia" w:hAnsi="Times New Roman" w:cs="Times New Roman" w:hint="eastAsia"/>
                <w:bCs/>
                <w:sz w:val="21"/>
                <w:szCs w:val="21"/>
              </w:rPr>
              <w:t>产品公司的营销与研发类场景。这类客户对</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工具的使用需求量大，公司将多模态能力与行业</w:t>
            </w:r>
            <w:r w:rsidRPr="004A3552">
              <w:rPr>
                <w:rFonts w:ascii="Times New Roman" w:eastAsiaTheme="minorEastAsia" w:hAnsi="Times New Roman" w:cs="Times New Roman" w:hint="eastAsia"/>
                <w:bCs/>
                <w:sz w:val="21"/>
                <w:szCs w:val="21"/>
              </w:rPr>
              <w:t>Know-How</w:t>
            </w:r>
            <w:r w:rsidRPr="004A3552">
              <w:rPr>
                <w:rFonts w:ascii="Times New Roman" w:eastAsiaTheme="minorEastAsia" w:hAnsi="Times New Roman" w:cs="Times New Roman" w:hint="eastAsia"/>
                <w:bCs/>
                <w:sz w:val="21"/>
                <w:szCs w:val="21"/>
              </w:rPr>
              <w:t>深度融合，围绕内容生产等核心场景提供封装服务，有效提升客户作业效率。</w:t>
            </w:r>
          </w:p>
          <w:p w14:paraId="7DF0A14E" w14:textId="0E07419B" w:rsidR="00A755E1" w:rsidRPr="004A3552" w:rsidRDefault="00000000">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r w:rsidRPr="004A3552">
              <w:rPr>
                <w:rFonts w:ascii="Times New Roman" w:eastAsiaTheme="minorEastAsia" w:hAnsi="Times New Roman" w:cs="Times New Roman" w:hint="eastAsia"/>
                <w:bCs/>
                <w:sz w:val="21"/>
                <w:szCs w:val="21"/>
              </w:rPr>
              <w:t>第二个方向是面向政企客户的专业岗位替代场景。以</w:t>
            </w:r>
            <w:proofErr w:type="gramStart"/>
            <w:r w:rsidRPr="004A3552">
              <w:rPr>
                <w:rFonts w:ascii="Times New Roman" w:eastAsiaTheme="minorEastAsia" w:hAnsi="Times New Roman" w:cs="Times New Roman" w:hint="eastAsia"/>
                <w:bCs/>
                <w:sz w:val="21"/>
                <w:szCs w:val="21"/>
              </w:rPr>
              <w:t>网安领域</w:t>
            </w:r>
            <w:proofErr w:type="gramEnd"/>
            <w:r w:rsidRPr="004A3552">
              <w:rPr>
                <w:rFonts w:ascii="Times New Roman" w:eastAsiaTheme="minorEastAsia" w:hAnsi="Times New Roman" w:cs="Times New Roman" w:hint="eastAsia"/>
                <w:bCs/>
                <w:sz w:val="21"/>
                <w:szCs w:val="21"/>
              </w:rPr>
              <w:t>为例，</w:t>
            </w:r>
            <w:r w:rsidRPr="004A3552">
              <w:rPr>
                <w:rFonts w:ascii="Times New Roman" w:eastAsiaTheme="minorEastAsia" w:hAnsi="Times New Roman" w:cs="Times New Roman" w:hint="eastAsia"/>
                <w:bCs/>
                <w:sz w:val="21"/>
                <w:szCs w:val="21"/>
                <w:lang w:val="en-US"/>
              </w:rPr>
              <w:t>我们</w:t>
            </w:r>
            <w:r w:rsidRPr="004A3552">
              <w:rPr>
                <w:rFonts w:ascii="Times New Roman" w:eastAsiaTheme="minorEastAsia" w:hAnsi="Times New Roman" w:cs="Times New Roman" w:hint="eastAsia"/>
                <w:bCs/>
                <w:sz w:val="21"/>
                <w:szCs w:val="21"/>
              </w:rPr>
              <w:t>公司承建了武汉临</w:t>
            </w:r>
            <w:proofErr w:type="gramStart"/>
            <w:r w:rsidRPr="004A3552">
              <w:rPr>
                <w:rFonts w:ascii="Times New Roman" w:eastAsiaTheme="minorEastAsia" w:hAnsi="Times New Roman" w:cs="Times New Roman" w:hint="eastAsia"/>
                <w:bCs/>
                <w:sz w:val="21"/>
                <w:szCs w:val="21"/>
              </w:rPr>
              <w:t>空港网安基地智算</w:t>
            </w:r>
            <w:proofErr w:type="gramEnd"/>
            <w:r w:rsidRPr="004A3552">
              <w:rPr>
                <w:rFonts w:ascii="Times New Roman" w:eastAsiaTheme="minorEastAsia" w:hAnsi="Times New Roman" w:cs="Times New Roman" w:hint="eastAsia"/>
                <w:bCs/>
                <w:sz w:val="21"/>
                <w:szCs w:val="21"/>
              </w:rPr>
              <w:t>中心项目，构建了</w:t>
            </w:r>
            <w:r w:rsidR="004A3552">
              <w:rPr>
                <w:rFonts w:ascii="Times New Roman" w:eastAsiaTheme="minorEastAsia" w:hAnsi="Times New Roman" w:cs="Times New Roman" w:hint="eastAsia"/>
                <w:bCs/>
                <w:sz w:val="21"/>
                <w:szCs w:val="21"/>
              </w:rPr>
              <w:t>“</w:t>
            </w:r>
            <w:r w:rsidR="004A3552" w:rsidRPr="004A3552">
              <w:rPr>
                <w:rFonts w:ascii="Times New Roman" w:eastAsiaTheme="minorEastAsia" w:hAnsi="Times New Roman" w:cs="Times New Roman" w:hint="eastAsia"/>
                <w:bCs/>
                <w:sz w:val="21"/>
                <w:szCs w:val="21"/>
              </w:rPr>
              <w:t>算力基建</w:t>
            </w:r>
            <w:r w:rsidR="004A3552" w:rsidRPr="004A3552">
              <w:rPr>
                <w:rFonts w:ascii="Times New Roman" w:eastAsiaTheme="minorEastAsia" w:hAnsi="Times New Roman" w:cs="Times New Roman" w:hint="eastAsia"/>
                <w:bCs/>
                <w:sz w:val="21"/>
                <w:szCs w:val="21"/>
              </w:rPr>
              <w:t>+</w:t>
            </w:r>
            <w:r w:rsidR="004A3552" w:rsidRPr="004A3552">
              <w:rPr>
                <w:rFonts w:ascii="Times New Roman" w:eastAsiaTheme="minorEastAsia" w:hAnsi="Times New Roman" w:cs="Times New Roman" w:hint="eastAsia"/>
                <w:bCs/>
                <w:sz w:val="21"/>
                <w:szCs w:val="21"/>
              </w:rPr>
              <w:t>安全模型</w:t>
            </w:r>
            <w:r w:rsidR="004A3552" w:rsidRPr="004A3552">
              <w:rPr>
                <w:rFonts w:ascii="Times New Roman" w:eastAsiaTheme="minorEastAsia" w:hAnsi="Times New Roman" w:cs="Times New Roman" w:hint="eastAsia"/>
                <w:bCs/>
                <w:sz w:val="21"/>
                <w:szCs w:val="21"/>
              </w:rPr>
              <w:t>+</w:t>
            </w:r>
            <w:r w:rsidR="004A3552" w:rsidRPr="004A3552">
              <w:rPr>
                <w:rFonts w:ascii="Times New Roman" w:eastAsiaTheme="minorEastAsia" w:hAnsi="Times New Roman" w:cs="Times New Roman" w:hint="eastAsia"/>
                <w:bCs/>
                <w:sz w:val="21"/>
                <w:szCs w:val="21"/>
              </w:rPr>
              <w:t>内容审核智能体</w:t>
            </w:r>
            <w:r w:rsidR="004A3552">
              <w:rPr>
                <w:rFonts w:ascii="Times New Roman" w:eastAsiaTheme="minorEastAsia" w:hAnsi="Times New Roman" w:cs="Times New Roman" w:hint="eastAsia"/>
                <w:bCs/>
                <w:sz w:val="21"/>
                <w:szCs w:val="21"/>
              </w:rPr>
              <w:t>”</w:t>
            </w:r>
            <w:r w:rsidRPr="004A3552">
              <w:rPr>
                <w:rFonts w:ascii="Times New Roman" w:eastAsiaTheme="minorEastAsia" w:hAnsi="Times New Roman" w:cs="Times New Roman" w:hint="eastAsia"/>
                <w:bCs/>
                <w:sz w:val="21"/>
                <w:szCs w:val="21"/>
              </w:rPr>
              <w:t>的完整解决方案，</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系统承担内容审核、安全检测等高重复性专业判断工作，相关模式已上升为国家规范，在</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安全市场形成了较高的准入壁垒。</w:t>
            </w:r>
          </w:p>
          <w:p w14:paraId="13692633" w14:textId="77777777" w:rsidR="00A755E1" w:rsidRPr="004A3552" w:rsidRDefault="00000000">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r w:rsidRPr="004A3552">
              <w:rPr>
                <w:rFonts w:ascii="Times New Roman" w:eastAsiaTheme="minorEastAsia" w:hAnsi="Times New Roman" w:cs="Times New Roman" w:hint="eastAsia"/>
                <w:bCs/>
                <w:sz w:val="21"/>
                <w:szCs w:val="21"/>
              </w:rPr>
              <w:t>此外，公司内部的法</w:t>
            </w:r>
            <w:proofErr w:type="gramStart"/>
            <w:r w:rsidRPr="004A3552">
              <w:rPr>
                <w:rFonts w:ascii="Times New Roman" w:eastAsiaTheme="minorEastAsia" w:hAnsi="Times New Roman" w:cs="Times New Roman" w:hint="eastAsia"/>
                <w:bCs/>
                <w:sz w:val="21"/>
                <w:szCs w:val="21"/>
              </w:rPr>
              <w:t>务</w:t>
            </w:r>
            <w:proofErr w:type="gramEnd"/>
            <w:r w:rsidRPr="004A3552">
              <w:rPr>
                <w:rFonts w:ascii="Times New Roman" w:eastAsiaTheme="minorEastAsia" w:hAnsi="Times New Roman" w:cs="Times New Roman" w:hint="eastAsia"/>
                <w:bCs/>
                <w:sz w:val="21"/>
                <w:szCs w:val="21"/>
              </w:rPr>
              <w:t>、财务、人力资源及研究分析等职能岗位也已投入运行智能体，以自身实践持续验证和完善</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岗位服务方法论。</w:t>
            </w:r>
          </w:p>
          <w:p w14:paraId="5B7B47DC" w14:textId="77777777" w:rsidR="00A755E1" w:rsidRPr="004A3552" w:rsidRDefault="00A755E1">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p>
          <w:p w14:paraId="2380BCAF" w14:textId="29386518" w:rsidR="00A755E1" w:rsidRPr="0038047D" w:rsidRDefault="00000000">
            <w:pPr>
              <w:spacing w:beforeLines="50" w:before="120" w:afterLines="50" w:after="120" w:line="360" w:lineRule="auto"/>
              <w:ind w:firstLineChars="200" w:firstLine="422"/>
              <w:jc w:val="both"/>
              <w:rPr>
                <w:rFonts w:ascii="Times New Roman" w:eastAsiaTheme="minorEastAsia" w:hAnsi="Times New Roman" w:cs="Times New Roman"/>
                <w:b/>
                <w:sz w:val="21"/>
                <w:szCs w:val="21"/>
              </w:rPr>
            </w:pPr>
            <w:r w:rsidRPr="0038047D">
              <w:rPr>
                <w:rFonts w:ascii="Times New Roman" w:eastAsiaTheme="minorEastAsia" w:hAnsi="Times New Roman" w:cs="Times New Roman" w:hint="eastAsia"/>
                <w:b/>
                <w:sz w:val="21"/>
                <w:szCs w:val="21"/>
              </w:rPr>
              <w:t>问题</w:t>
            </w:r>
            <w:r w:rsidRPr="0038047D">
              <w:rPr>
                <w:rFonts w:ascii="Times New Roman" w:eastAsiaTheme="minorEastAsia" w:hAnsi="Times New Roman" w:cs="Times New Roman"/>
                <w:b/>
                <w:sz w:val="21"/>
                <w:szCs w:val="21"/>
              </w:rPr>
              <w:t>8</w:t>
            </w:r>
            <w:r w:rsidRPr="0038047D">
              <w:rPr>
                <w:rFonts w:ascii="Times New Roman" w:eastAsiaTheme="minorEastAsia" w:hAnsi="Times New Roman" w:cs="Times New Roman" w:hint="eastAsia"/>
                <w:b/>
                <w:sz w:val="21"/>
                <w:szCs w:val="21"/>
              </w:rPr>
              <w:t>：</w:t>
            </w:r>
            <w:r w:rsidRPr="004A3552">
              <w:rPr>
                <w:rFonts w:ascii="Times New Roman" w:eastAsiaTheme="minorEastAsia" w:hAnsi="Times New Roman" w:cs="Times New Roman" w:hint="eastAsia"/>
                <w:b/>
                <w:sz w:val="21"/>
                <w:szCs w:val="21"/>
              </w:rPr>
              <w:t>云从目前在底层模型上采取开源与</w:t>
            </w:r>
            <w:proofErr w:type="gramStart"/>
            <w:r w:rsidRPr="004A3552">
              <w:rPr>
                <w:rFonts w:ascii="Times New Roman" w:eastAsiaTheme="minorEastAsia" w:hAnsi="Times New Roman" w:cs="Times New Roman" w:hint="eastAsia"/>
                <w:b/>
                <w:sz w:val="21"/>
                <w:szCs w:val="21"/>
              </w:rPr>
              <w:t>闭源结合</w:t>
            </w:r>
            <w:proofErr w:type="gramEnd"/>
            <w:r w:rsidRPr="004A3552">
              <w:rPr>
                <w:rFonts w:ascii="Times New Roman" w:eastAsiaTheme="minorEastAsia" w:hAnsi="Times New Roman" w:cs="Times New Roman" w:hint="eastAsia"/>
                <w:b/>
                <w:sz w:val="21"/>
                <w:szCs w:val="21"/>
              </w:rPr>
              <w:t>的策略，</w:t>
            </w:r>
            <w:r w:rsidRPr="0038047D">
              <w:rPr>
                <w:rFonts w:ascii="Times New Roman" w:eastAsiaTheme="minorEastAsia" w:hAnsi="Times New Roman" w:cs="Times New Roman" w:hint="eastAsia"/>
                <w:b/>
                <w:sz w:val="21"/>
                <w:szCs w:val="21"/>
              </w:rPr>
              <w:t>底层</w:t>
            </w:r>
            <w:r w:rsidRPr="004A3552">
              <w:rPr>
                <w:rFonts w:ascii="Times New Roman" w:eastAsiaTheme="minorEastAsia" w:hAnsi="Times New Roman" w:cs="Times New Roman" w:hint="eastAsia"/>
                <w:b/>
                <w:sz w:val="21"/>
                <w:szCs w:val="21"/>
              </w:rPr>
              <w:t>一定程度</w:t>
            </w:r>
            <w:r w:rsidRPr="0038047D">
              <w:rPr>
                <w:rFonts w:ascii="Times New Roman" w:eastAsiaTheme="minorEastAsia" w:hAnsi="Times New Roman" w:cs="Times New Roman" w:hint="eastAsia"/>
                <w:b/>
                <w:sz w:val="21"/>
                <w:szCs w:val="21"/>
              </w:rPr>
              <w:t>依赖第三方模型，公司的价值主张与利润空间如何得到保障？如何应对上下游的挤压？</w:t>
            </w:r>
          </w:p>
          <w:p w14:paraId="6F34CE66" w14:textId="66E237CF" w:rsidR="00A755E1" w:rsidRPr="004A3552" w:rsidRDefault="004A3552">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r>
              <w:rPr>
                <w:rFonts w:ascii="Times New Roman" w:eastAsiaTheme="minorEastAsia" w:hAnsi="Times New Roman" w:cs="Times New Roman" w:hint="eastAsia"/>
                <w:bCs/>
                <w:sz w:val="21"/>
                <w:szCs w:val="21"/>
              </w:rPr>
              <w:t>答：</w:t>
            </w:r>
            <w:r w:rsidRPr="004A3552">
              <w:rPr>
                <w:rFonts w:ascii="Times New Roman" w:eastAsiaTheme="minorEastAsia" w:hAnsi="Times New Roman" w:cs="Times New Roman" w:hint="eastAsia"/>
                <w:bCs/>
                <w:sz w:val="21"/>
                <w:szCs w:val="21"/>
              </w:rPr>
              <w:t>公司的价值主张不在于拥有</w:t>
            </w:r>
            <w:r w:rsidRPr="004A3552">
              <w:rPr>
                <w:rFonts w:ascii="Times New Roman" w:eastAsiaTheme="minorEastAsia" w:hAnsi="Times New Roman" w:cs="Times New Roman" w:hint="eastAsia"/>
                <w:bCs/>
                <w:sz w:val="21"/>
                <w:szCs w:val="21"/>
                <w:lang w:val="en-US"/>
              </w:rPr>
              <w:t>通用基础大</w:t>
            </w:r>
            <w:r w:rsidRPr="004A3552">
              <w:rPr>
                <w:rFonts w:ascii="Times New Roman" w:eastAsiaTheme="minorEastAsia" w:hAnsi="Times New Roman" w:cs="Times New Roman" w:hint="eastAsia"/>
                <w:bCs/>
                <w:sz w:val="21"/>
                <w:szCs w:val="21"/>
              </w:rPr>
              <w:t>模型本身，而在于能够将模型能力与行业专业知识深度融合，形成面向客户可交付、可运营的解决方案。</w:t>
            </w:r>
          </w:p>
          <w:p w14:paraId="57DF19C9" w14:textId="457898AB" w:rsidR="00A755E1" w:rsidRPr="004A3552" w:rsidRDefault="00000000">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r w:rsidRPr="004A3552">
              <w:rPr>
                <w:rFonts w:ascii="Times New Roman" w:eastAsiaTheme="minorEastAsia" w:hAnsi="Times New Roman" w:cs="Times New Roman" w:hint="eastAsia"/>
                <w:bCs/>
                <w:sz w:val="21"/>
                <w:szCs w:val="21"/>
              </w:rPr>
              <w:t>从上游角度来看，公司的</w:t>
            </w:r>
            <w:r w:rsidRPr="004A3552">
              <w:rPr>
                <w:rFonts w:ascii="Times New Roman" w:eastAsiaTheme="minorEastAsia" w:hAnsi="Times New Roman" w:cs="Times New Roman" w:hint="eastAsia"/>
                <w:bCs/>
                <w:sz w:val="21"/>
                <w:szCs w:val="21"/>
              </w:rPr>
              <w:t>GrowthOS</w:t>
            </w:r>
            <w:r w:rsidRPr="004A3552">
              <w:rPr>
                <w:rFonts w:ascii="Times New Roman" w:eastAsiaTheme="minorEastAsia" w:hAnsi="Times New Roman" w:cs="Times New Roman" w:hint="eastAsia"/>
                <w:bCs/>
                <w:sz w:val="21"/>
                <w:szCs w:val="21"/>
              </w:rPr>
              <w:t>采用多模型智能调度架构，</w:t>
            </w:r>
            <w:proofErr w:type="gramStart"/>
            <w:r w:rsidRPr="004A3552">
              <w:rPr>
                <w:rFonts w:ascii="Times New Roman" w:eastAsiaTheme="minorEastAsia" w:hAnsi="Times New Roman" w:cs="Times New Roman" w:hint="eastAsia"/>
                <w:bCs/>
                <w:sz w:val="21"/>
                <w:szCs w:val="21"/>
              </w:rPr>
              <w:t>不</w:t>
            </w:r>
            <w:proofErr w:type="gramEnd"/>
            <w:r w:rsidRPr="004A3552">
              <w:rPr>
                <w:rFonts w:ascii="Times New Roman" w:eastAsiaTheme="minorEastAsia" w:hAnsi="Times New Roman" w:cs="Times New Roman" w:hint="eastAsia"/>
                <w:bCs/>
                <w:sz w:val="21"/>
                <w:szCs w:val="21"/>
              </w:rPr>
              <w:t>绑定任何</w:t>
            </w:r>
            <w:proofErr w:type="gramStart"/>
            <w:r w:rsidRPr="004A3552">
              <w:rPr>
                <w:rFonts w:ascii="Times New Roman" w:eastAsiaTheme="minorEastAsia" w:hAnsi="Times New Roman" w:cs="Times New Roman" w:hint="eastAsia"/>
                <w:bCs/>
                <w:sz w:val="21"/>
                <w:szCs w:val="21"/>
              </w:rPr>
              <w:t>单一大</w:t>
            </w:r>
            <w:proofErr w:type="gramEnd"/>
            <w:r w:rsidRPr="004A3552">
              <w:rPr>
                <w:rFonts w:ascii="Times New Roman" w:eastAsiaTheme="minorEastAsia" w:hAnsi="Times New Roman" w:cs="Times New Roman" w:hint="eastAsia"/>
                <w:bCs/>
                <w:sz w:val="21"/>
                <w:szCs w:val="21"/>
              </w:rPr>
              <w:t>模型厂商，可根据任务需求、成本与质量目标动态调用最优模型。上游</w:t>
            </w:r>
            <w:r w:rsidRPr="004A3552">
              <w:rPr>
                <w:rFonts w:ascii="Times New Roman" w:eastAsiaTheme="minorEastAsia" w:hAnsi="Times New Roman" w:cs="Times New Roman" w:hint="eastAsia"/>
                <w:bCs/>
                <w:sz w:val="21"/>
                <w:szCs w:val="21"/>
              </w:rPr>
              <w:t>Token</w:t>
            </w:r>
            <w:r w:rsidRPr="004A3552">
              <w:rPr>
                <w:rFonts w:ascii="Times New Roman" w:eastAsiaTheme="minorEastAsia" w:hAnsi="Times New Roman" w:cs="Times New Roman" w:hint="eastAsia"/>
                <w:bCs/>
                <w:sz w:val="21"/>
                <w:szCs w:val="21"/>
              </w:rPr>
              <w:t>成本的持续下降</w:t>
            </w:r>
            <w:r w:rsidR="00B159EB">
              <w:rPr>
                <w:rFonts w:ascii="Times New Roman" w:eastAsiaTheme="minorEastAsia" w:hAnsi="Times New Roman" w:cs="Times New Roman" w:hint="eastAsia"/>
                <w:bCs/>
                <w:sz w:val="21"/>
                <w:szCs w:val="21"/>
              </w:rPr>
              <w:t>，</w:t>
            </w:r>
            <w:r w:rsidRPr="004A3552">
              <w:rPr>
                <w:rFonts w:ascii="Times New Roman" w:eastAsiaTheme="minorEastAsia" w:hAnsi="Times New Roman" w:cs="Times New Roman" w:hint="eastAsia"/>
                <w:bCs/>
                <w:sz w:val="21"/>
                <w:szCs w:val="21"/>
              </w:rPr>
              <w:t>包括</w:t>
            </w:r>
            <w:r w:rsidRPr="004A3552">
              <w:rPr>
                <w:rFonts w:ascii="Times New Roman" w:eastAsiaTheme="minorEastAsia" w:hAnsi="Times New Roman" w:cs="Times New Roman" w:hint="eastAsia"/>
                <w:bCs/>
                <w:sz w:val="21"/>
                <w:szCs w:val="21"/>
              </w:rPr>
              <w:t>DeepSeek</w:t>
            </w:r>
            <w:r w:rsidRPr="004A3552">
              <w:rPr>
                <w:rFonts w:ascii="Times New Roman" w:eastAsiaTheme="minorEastAsia" w:hAnsi="Times New Roman" w:cs="Times New Roman" w:hint="eastAsia"/>
                <w:bCs/>
                <w:sz w:val="21"/>
                <w:szCs w:val="21"/>
              </w:rPr>
              <w:t>等开源模型的普及以及</w:t>
            </w:r>
            <w:proofErr w:type="gramStart"/>
            <w:r w:rsidRPr="004A3552">
              <w:rPr>
                <w:rFonts w:ascii="Times New Roman" w:eastAsiaTheme="minorEastAsia" w:hAnsi="Times New Roman" w:cs="Times New Roman" w:hint="eastAsia"/>
                <w:bCs/>
                <w:sz w:val="21"/>
                <w:szCs w:val="21"/>
              </w:rPr>
              <w:t>国产算力的</w:t>
            </w:r>
            <w:proofErr w:type="gramEnd"/>
            <w:r w:rsidRPr="004A3552">
              <w:rPr>
                <w:rFonts w:ascii="Times New Roman" w:eastAsiaTheme="minorEastAsia" w:hAnsi="Times New Roman" w:cs="Times New Roman" w:hint="eastAsia"/>
                <w:bCs/>
                <w:sz w:val="21"/>
                <w:szCs w:val="21"/>
              </w:rPr>
              <w:t>规模化降本</w:t>
            </w:r>
            <w:r w:rsidR="00B159EB">
              <w:rPr>
                <w:rFonts w:ascii="Times New Roman" w:eastAsiaTheme="minorEastAsia" w:hAnsi="Times New Roman" w:cs="Times New Roman" w:hint="eastAsia"/>
                <w:bCs/>
                <w:sz w:val="21"/>
                <w:szCs w:val="21"/>
              </w:rPr>
              <w:t>，</w:t>
            </w:r>
            <w:r w:rsidRPr="004A3552">
              <w:rPr>
                <w:rFonts w:ascii="Times New Roman" w:eastAsiaTheme="minorEastAsia" w:hAnsi="Times New Roman" w:cs="Times New Roman" w:hint="eastAsia"/>
                <w:bCs/>
                <w:sz w:val="21"/>
                <w:szCs w:val="21"/>
              </w:rPr>
              <w:t>对公司构成利好，调度优化所释放的成本空间即为公司可获取的利润来源之一。</w:t>
            </w:r>
          </w:p>
          <w:p w14:paraId="24ED223E" w14:textId="77777777" w:rsidR="00A755E1" w:rsidRPr="004A3552" w:rsidRDefault="00000000">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r w:rsidRPr="004A3552">
              <w:rPr>
                <w:rFonts w:ascii="Times New Roman" w:eastAsiaTheme="minorEastAsia" w:hAnsi="Times New Roman" w:cs="Times New Roman" w:hint="eastAsia"/>
                <w:bCs/>
                <w:sz w:val="21"/>
                <w:szCs w:val="21"/>
              </w:rPr>
              <w:t>从下游角度来看，公司的核心壁垒体现在三个维度：其一，行业</w:t>
            </w:r>
            <w:r w:rsidRPr="004A3552">
              <w:rPr>
                <w:rFonts w:ascii="Times New Roman" w:eastAsiaTheme="minorEastAsia" w:hAnsi="Times New Roman" w:cs="Times New Roman" w:hint="eastAsia"/>
                <w:bCs/>
                <w:sz w:val="21"/>
                <w:szCs w:val="21"/>
              </w:rPr>
              <w:t>Know-How</w:t>
            </w:r>
            <w:r w:rsidRPr="004A3552">
              <w:rPr>
                <w:rFonts w:ascii="Times New Roman" w:eastAsiaTheme="minorEastAsia" w:hAnsi="Times New Roman" w:cs="Times New Roman" w:hint="eastAsia"/>
                <w:bCs/>
                <w:sz w:val="21"/>
                <w:szCs w:val="21"/>
              </w:rPr>
              <w:t>的深度编码，十年垂直行业积累所形成的专业知识体系，是短期资金投入无法快速复制的；其二，</w:t>
            </w:r>
            <w:proofErr w:type="gramStart"/>
            <w:r w:rsidRPr="004A3552">
              <w:rPr>
                <w:rFonts w:ascii="Times New Roman" w:eastAsiaTheme="minorEastAsia" w:hAnsi="Times New Roman" w:cs="Times New Roman" w:hint="eastAsia"/>
                <w:bCs/>
                <w:sz w:val="21"/>
                <w:szCs w:val="21"/>
              </w:rPr>
              <w:t>私域数据</w:t>
            </w:r>
            <w:proofErr w:type="gramEnd"/>
            <w:r w:rsidRPr="004A3552">
              <w:rPr>
                <w:rFonts w:ascii="Times New Roman" w:eastAsiaTheme="minorEastAsia" w:hAnsi="Times New Roman" w:cs="Times New Roman" w:hint="eastAsia"/>
                <w:bCs/>
                <w:sz w:val="21"/>
                <w:szCs w:val="21"/>
              </w:rPr>
              <w:t>飞轮，公司在客户现场运营所积累的脱敏业务数据，持续反哺行业模型的迭代优化，形成越用越强的数据壁垒；其三，流程嵌入与责任承担，当公司的</w:t>
            </w:r>
            <w:r w:rsidRPr="004A3552">
              <w:rPr>
                <w:rFonts w:ascii="Times New Roman" w:eastAsiaTheme="minorEastAsia" w:hAnsi="Times New Roman" w:cs="Times New Roman" w:hint="eastAsia"/>
                <w:bCs/>
                <w:sz w:val="21"/>
                <w:szCs w:val="21"/>
              </w:rPr>
              <w:t>AI</w:t>
            </w:r>
            <w:r w:rsidRPr="004A3552">
              <w:rPr>
                <w:rFonts w:ascii="Times New Roman" w:eastAsiaTheme="minorEastAsia" w:hAnsi="Times New Roman" w:cs="Times New Roman" w:hint="eastAsia"/>
                <w:bCs/>
                <w:sz w:val="21"/>
                <w:szCs w:val="21"/>
              </w:rPr>
              <w:t>员工深度集成于客户核心业务流程，客户替换供应商所面临的不只是技术迁移成本，还涉及业务中断风险与合</w:t>
            </w:r>
            <w:proofErr w:type="gramStart"/>
            <w:r w:rsidRPr="004A3552">
              <w:rPr>
                <w:rFonts w:ascii="Times New Roman" w:eastAsiaTheme="minorEastAsia" w:hAnsi="Times New Roman" w:cs="Times New Roman" w:hint="eastAsia"/>
                <w:bCs/>
                <w:sz w:val="21"/>
                <w:szCs w:val="21"/>
              </w:rPr>
              <w:t>规</w:t>
            </w:r>
            <w:proofErr w:type="gramEnd"/>
            <w:r w:rsidRPr="004A3552">
              <w:rPr>
                <w:rFonts w:ascii="Times New Roman" w:eastAsiaTheme="minorEastAsia" w:hAnsi="Times New Roman" w:cs="Times New Roman" w:hint="eastAsia"/>
                <w:bCs/>
                <w:sz w:val="21"/>
                <w:szCs w:val="21"/>
              </w:rPr>
              <w:t>连续性问题，实质性的转移成本构成了稳固的客户黏性。</w:t>
            </w:r>
          </w:p>
          <w:p w14:paraId="38475F6B" w14:textId="77777777" w:rsidR="00A755E1" w:rsidRPr="004A3552" w:rsidRDefault="00A755E1">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p>
          <w:p w14:paraId="25245CDF" w14:textId="3A2B0A47" w:rsidR="00A755E1" w:rsidRPr="0038047D" w:rsidRDefault="00000000">
            <w:pPr>
              <w:spacing w:beforeLines="50" w:before="120" w:afterLines="50" w:after="120" w:line="360" w:lineRule="auto"/>
              <w:ind w:firstLineChars="200" w:firstLine="422"/>
              <w:jc w:val="both"/>
              <w:rPr>
                <w:rFonts w:ascii="Times New Roman" w:eastAsiaTheme="minorEastAsia" w:hAnsi="Times New Roman" w:cs="Times New Roman"/>
                <w:b/>
                <w:sz w:val="21"/>
                <w:szCs w:val="21"/>
              </w:rPr>
            </w:pPr>
            <w:r w:rsidRPr="0038047D">
              <w:rPr>
                <w:rFonts w:ascii="Times New Roman" w:eastAsiaTheme="minorEastAsia" w:hAnsi="Times New Roman" w:cs="Times New Roman" w:hint="eastAsia"/>
                <w:b/>
                <w:sz w:val="21"/>
                <w:szCs w:val="21"/>
              </w:rPr>
              <w:t>问题</w:t>
            </w:r>
            <w:r w:rsidRPr="0038047D">
              <w:rPr>
                <w:rFonts w:ascii="Times New Roman" w:eastAsiaTheme="minorEastAsia" w:hAnsi="Times New Roman" w:cs="Times New Roman"/>
                <w:b/>
                <w:sz w:val="21"/>
                <w:szCs w:val="21"/>
              </w:rPr>
              <w:t>9</w:t>
            </w:r>
            <w:r w:rsidRPr="0038047D">
              <w:rPr>
                <w:rFonts w:ascii="Times New Roman" w:eastAsiaTheme="minorEastAsia" w:hAnsi="Times New Roman" w:cs="Times New Roman" w:hint="eastAsia"/>
                <w:b/>
                <w:sz w:val="21"/>
                <w:szCs w:val="21"/>
              </w:rPr>
              <w:t>：</w:t>
            </w:r>
            <w:r w:rsidRPr="0038047D">
              <w:rPr>
                <w:rFonts w:ascii="Times New Roman" w:eastAsiaTheme="minorEastAsia" w:hAnsi="Times New Roman" w:cs="Times New Roman"/>
                <w:b/>
                <w:sz w:val="21"/>
                <w:szCs w:val="21"/>
              </w:rPr>
              <w:t xml:space="preserve"> </w:t>
            </w:r>
            <w:r w:rsidRPr="0038047D">
              <w:rPr>
                <w:rFonts w:ascii="Times New Roman" w:eastAsiaTheme="minorEastAsia" w:hAnsi="Times New Roman" w:cs="Times New Roman" w:hint="eastAsia"/>
                <w:b/>
                <w:sz w:val="21"/>
                <w:szCs w:val="21"/>
              </w:rPr>
              <w:t>面对</w:t>
            </w:r>
            <w:r w:rsidRPr="0038047D">
              <w:rPr>
                <w:rFonts w:ascii="Times New Roman" w:eastAsiaTheme="minorEastAsia" w:hAnsi="Times New Roman" w:cs="Times New Roman"/>
                <w:b/>
                <w:sz w:val="21"/>
                <w:szCs w:val="21"/>
              </w:rPr>
              <w:t>to C</w:t>
            </w:r>
            <w:proofErr w:type="gramStart"/>
            <w:r w:rsidRPr="0038047D">
              <w:rPr>
                <w:rFonts w:ascii="Times New Roman" w:eastAsiaTheme="minorEastAsia" w:hAnsi="Times New Roman" w:cs="Times New Roman" w:hint="eastAsia"/>
                <w:b/>
                <w:sz w:val="21"/>
                <w:szCs w:val="21"/>
              </w:rPr>
              <w:t>端开发</w:t>
            </w:r>
            <w:proofErr w:type="gramEnd"/>
            <w:r w:rsidRPr="0038047D">
              <w:rPr>
                <w:rFonts w:ascii="Times New Roman" w:eastAsiaTheme="minorEastAsia" w:hAnsi="Times New Roman" w:cs="Times New Roman" w:hint="eastAsia"/>
                <w:b/>
                <w:sz w:val="21"/>
                <w:szCs w:val="21"/>
              </w:rPr>
              <w:t>者市场大量开源工具和标准化场景的快速迭代，以及大模型厂商向应用层下探的竞争压力，云从的应对策略是什么？</w:t>
            </w:r>
          </w:p>
          <w:p w14:paraId="7AD4F7AC" w14:textId="0F83DBC4" w:rsidR="00A755E1" w:rsidRPr="004A3552" w:rsidRDefault="004A3552">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r>
              <w:rPr>
                <w:rFonts w:ascii="Times New Roman" w:eastAsiaTheme="minorEastAsia" w:hAnsi="Times New Roman" w:cs="Times New Roman" w:hint="eastAsia"/>
                <w:bCs/>
                <w:sz w:val="21"/>
                <w:szCs w:val="21"/>
              </w:rPr>
              <w:t>答：</w:t>
            </w:r>
            <w:r w:rsidRPr="004A3552">
              <w:rPr>
                <w:rFonts w:ascii="Times New Roman" w:eastAsiaTheme="minorEastAsia" w:hAnsi="Times New Roman" w:cs="Times New Roman" w:hint="eastAsia"/>
                <w:bCs/>
                <w:sz w:val="21"/>
                <w:szCs w:val="21"/>
              </w:rPr>
              <w:t>公司对</w:t>
            </w:r>
            <w:r w:rsidRPr="004A3552">
              <w:rPr>
                <w:rFonts w:ascii="Times New Roman" w:eastAsiaTheme="minorEastAsia" w:hAnsi="Times New Roman" w:cs="Times New Roman" w:hint="eastAsia"/>
                <w:bCs/>
                <w:sz w:val="21"/>
                <w:szCs w:val="21"/>
              </w:rPr>
              <w:t>to C</w:t>
            </w:r>
            <w:r w:rsidRPr="004A3552">
              <w:rPr>
                <w:rFonts w:ascii="Times New Roman" w:eastAsiaTheme="minorEastAsia" w:hAnsi="Times New Roman" w:cs="Times New Roman" w:hint="eastAsia"/>
                <w:bCs/>
                <w:sz w:val="21"/>
                <w:szCs w:val="21"/>
              </w:rPr>
              <w:t>市场的策略是有所侧重、精准定位，而非全面铺开。</w:t>
            </w:r>
          </w:p>
          <w:p w14:paraId="572E704D" w14:textId="593FC650" w:rsidR="00A755E1" w:rsidRPr="004A3552" w:rsidRDefault="00000000">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r w:rsidRPr="004A3552">
              <w:rPr>
                <w:rFonts w:ascii="Times New Roman" w:eastAsiaTheme="minorEastAsia" w:hAnsi="Times New Roman" w:cs="Times New Roman" w:hint="eastAsia"/>
                <w:bCs/>
                <w:sz w:val="21"/>
                <w:szCs w:val="21"/>
              </w:rPr>
              <w:t>面向互联网开发者的标准化场景，市场竞争高度激烈，迭代速度快。公司不以追求开发</w:t>
            </w:r>
            <w:proofErr w:type="gramStart"/>
            <w:r w:rsidRPr="004A3552">
              <w:rPr>
                <w:rFonts w:ascii="Times New Roman" w:eastAsiaTheme="minorEastAsia" w:hAnsi="Times New Roman" w:cs="Times New Roman" w:hint="eastAsia"/>
                <w:bCs/>
                <w:sz w:val="21"/>
                <w:szCs w:val="21"/>
              </w:rPr>
              <w:t>者用户</w:t>
            </w:r>
            <w:proofErr w:type="gramEnd"/>
            <w:r w:rsidRPr="004A3552">
              <w:rPr>
                <w:rFonts w:ascii="Times New Roman" w:eastAsiaTheme="minorEastAsia" w:hAnsi="Times New Roman" w:cs="Times New Roman" w:hint="eastAsia"/>
                <w:bCs/>
                <w:sz w:val="21"/>
                <w:szCs w:val="21"/>
              </w:rPr>
              <w:t>规模为优先目标，而是聚焦于两类具备差异化价值的细分群体：一是具备一定工具使用能力、但在产品封装和底层架构上存在明显短板的应用型创业者，此类用户需要的是开箱即用、快速产出的封装能力，而非自行跟进模型迭代；二是</w:t>
            </w:r>
            <w:r w:rsidRPr="004A3552">
              <w:rPr>
                <w:rFonts w:ascii="Times New Roman" w:eastAsiaTheme="minorEastAsia" w:hAnsi="Times New Roman" w:cs="Times New Roman" w:hint="eastAsia"/>
                <w:bCs/>
                <w:sz w:val="21"/>
                <w:szCs w:val="21"/>
                <w:lang w:val="en-US"/>
              </w:rPr>
              <w:t>特定</w:t>
            </w:r>
            <w:r w:rsidRPr="004A3552">
              <w:rPr>
                <w:rFonts w:ascii="Times New Roman" w:eastAsiaTheme="minorEastAsia" w:hAnsi="Times New Roman" w:cs="Times New Roman" w:hint="eastAsia"/>
                <w:bCs/>
                <w:sz w:val="21"/>
                <w:szCs w:val="21"/>
              </w:rPr>
              <w:t>机构，这类客户对数据安全有较高要求，对外部开源工具持审慎态度，公司在此类机构中具备一定的信任基础与合作积累。</w:t>
            </w:r>
          </w:p>
          <w:p w14:paraId="6762994F" w14:textId="5AB9E230" w:rsidR="00A755E1" w:rsidRPr="004A3552" w:rsidRDefault="00000000">
            <w:pPr>
              <w:spacing w:beforeLines="50" w:before="120" w:afterLines="50" w:after="120" w:line="360" w:lineRule="auto"/>
              <w:ind w:firstLineChars="200" w:firstLine="420"/>
              <w:jc w:val="both"/>
              <w:rPr>
                <w:rFonts w:ascii="Times New Roman" w:eastAsiaTheme="minorEastAsia" w:hAnsi="Times New Roman" w:cs="Times New Roman"/>
                <w:bCs/>
                <w:sz w:val="21"/>
                <w:szCs w:val="21"/>
              </w:rPr>
            </w:pPr>
            <w:r w:rsidRPr="004A3552">
              <w:rPr>
                <w:rFonts w:ascii="Times New Roman" w:eastAsiaTheme="minorEastAsia" w:hAnsi="Times New Roman" w:cs="Times New Roman" w:hint="eastAsia"/>
                <w:bCs/>
                <w:sz w:val="21"/>
                <w:szCs w:val="21"/>
              </w:rPr>
              <w:t>针对大模型厂商向应用层延伸的竞争态势，公司认为两者在客户定位和服务深度上存在本质差异：大模型厂商倾向于提供通用化应用，且通常绑定自家模型生态；而公司专注于垂直行业的深度场景落地，以多模型路由的灵活性与行业</w:t>
            </w:r>
            <w:r w:rsidRPr="004A3552">
              <w:rPr>
                <w:rFonts w:ascii="Times New Roman" w:eastAsiaTheme="minorEastAsia" w:hAnsi="Times New Roman" w:cs="Times New Roman" w:hint="eastAsia"/>
                <w:bCs/>
                <w:sz w:val="21"/>
                <w:szCs w:val="21"/>
              </w:rPr>
              <w:t>Know-How</w:t>
            </w:r>
            <w:r w:rsidRPr="004A3552">
              <w:rPr>
                <w:rFonts w:ascii="Times New Roman" w:eastAsiaTheme="minorEastAsia" w:hAnsi="Times New Roman" w:cs="Times New Roman" w:hint="eastAsia"/>
                <w:bCs/>
                <w:sz w:val="21"/>
                <w:szCs w:val="21"/>
              </w:rPr>
              <w:t>的不可复制性构建差异化优势，在相当长的时间维度内，两条路径具有各自独立的市场空间。</w:t>
            </w:r>
          </w:p>
        </w:tc>
      </w:tr>
      <w:bookmarkEnd w:id="0"/>
      <w:tr w:rsidR="00A755E1" w:rsidRPr="004A3552" w14:paraId="43A0AF8B" w14:textId="77777777" w:rsidTr="0038047D">
        <w:trPr>
          <w:trHeight w:val="880"/>
          <w:jc w:val="center"/>
        </w:trPr>
        <w:tc>
          <w:tcPr>
            <w:tcW w:w="490" w:type="pct"/>
            <w:vAlign w:val="center"/>
          </w:tcPr>
          <w:p w14:paraId="3E10F45A" w14:textId="77777777" w:rsidR="00A755E1" w:rsidRPr="004A3552" w:rsidRDefault="00000000">
            <w:pPr>
              <w:pStyle w:val="TableParagraph"/>
              <w:jc w:val="both"/>
              <w:rPr>
                <w:rFonts w:ascii="Times New Roman" w:eastAsiaTheme="minorEastAsia" w:hAnsi="Times New Roman" w:cs="Times New Roman"/>
                <w:sz w:val="21"/>
                <w:szCs w:val="21"/>
              </w:rPr>
            </w:pPr>
            <w:r w:rsidRPr="004A3552">
              <w:rPr>
                <w:rFonts w:ascii="Times New Roman" w:eastAsiaTheme="minorEastAsia" w:hAnsi="Times New Roman" w:cs="Times New Roman"/>
                <w:sz w:val="21"/>
                <w:szCs w:val="21"/>
              </w:rPr>
              <w:lastRenderedPageBreak/>
              <w:t>附件清单</w:t>
            </w:r>
          </w:p>
          <w:p w14:paraId="2B7B082C" w14:textId="77777777" w:rsidR="00A755E1" w:rsidRPr="004A3552" w:rsidRDefault="00000000">
            <w:pPr>
              <w:pStyle w:val="TableParagraph"/>
              <w:jc w:val="both"/>
              <w:rPr>
                <w:rFonts w:ascii="Times New Roman" w:eastAsiaTheme="minorEastAsia" w:hAnsi="Times New Roman" w:cs="Times New Roman"/>
                <w:sz w:val="21"/>
                <w:szCs w:val="21"/>
              </w:rPr>
            </w:pPr>
            <w:r w:rsidRPr="004A3552">
              <w:rPr>
                <w:rFonts w:ascii="Times New Roman" w:eastAsiaTheme="minorEastAsia" w:hAnsi="Times New Roman" w:cs="Times New Roman"/>
                <w:sz w:val="21"/>
                <w:szCs w:val="21"/>
              </w:rPr>
              <w:t>（如有）</w:t>
            </w:r>
          </w:p>
        </w:tc>
        <w:tc>
          <w:tcPr>
            <w:tcW w:w="4509" w:type="pct"/>
            <w:gridSpan w:val="4"/>
            <w:vAlign w:val="center"/>
          </w:tcPr>
          <w:p w14:paraId="29F553E8" w14:textId="77777777" w:rsidR="00A755E1" w:rsidRPr="004A3552" w:rsidRDefault="00000000">
            <w:pPr>
              <w:autoSpaceDN/>
              <w:spacing w:line="440" w:lineRule="exact"/>
              <w:jc w:val="both"/>
              <w:rPr>
                <w:rFonts w:ascii="Times New Roman" w:eastAsiaTheme="minorEastAsia" w:hAnsi="Times New Roman" w:cs="Times New Roman"/>
                <w:bCs/>
                <w:sz w:val="21"/>
                <w:szCs w:val="21"/>
                <w:lang w:val="en-US" w:bidi="ar"/>
              </w:rPr>
            </w:pPr>
            <w:r w:rsidRPr="004A3552">
              <w:rPr>
                <w:rFonts w:ascii="Times New Roman" w:eastAsiaTheme="minorEastAsia" w:hAnsi="Times New Roman" w:cs="Times New Roman"/>
                <w:sz w:val="21"/>
                <w:szCs w:val="21"/>
                <w:lang w:val="en-US"/>
              </w:rPr>
              <w:t>参会人员清单</w:t>
            </w:r>
          </w:p>
        </w:tc>
      </w:tr>
      <w:tr w:rsidR="00A755E1" w:rsidRPr="004A3552" w14:paraId="790412CE" w14:textId="77777777">
        <w:trPr>
          <w:trHeight w:val="1131"/>
          <w:jc w:val="center"/>
        </w:trPr>
        <w:tc>
          <w:tcPr>
            <w:tcW w:w="490" w:type="pct"/>
            <w:vAlign w:val="center"/>
          </w:tcPr>
          <w:p w14:paraId="067B2D2F" w14:textId="77777777" w:rsidR="00A755E1" w:rsidRPr="004A3552" w:rsidRDefault="00000000">
            <w:pPr>
              <w:pStyle w:val="TableParagraph"/>
              <w:jc w:val="both"/>
              <w:rPr>
                <w:rFonts w:ascii="Times New Roman" w:eastAsiaTheme="minorEastAsia" w:hAnsi="Times New Roman" w:cs="Times New Roman"/>
                <w:sz w:val="21"/>
                <w:szCs w:val="21"/>
              </w:rPr>
            </w:pPr>
            <w:r w:rsidRPr="004A3552">
              <w:rPr>
                <w:rFonts w:ascii="Times New Roman" w:eastAsiaTheme="minorEastAsia" w:hAnsi="Times New Roman" w:cs="Times New Roman"/>
                <w:sz w:val="21"/>
                <w:szCs w:val="21"/>
              </w:rPr>
              <w:t>关于本次活动是否涉及应当披露重大信息的说明</w:t>
            </w:r>
          </w:p>
        </w:tc>
        <w:tc>
          <w:tcPr>
            <w:tcW w:w="4509" w:type="pct"/>
            <w:gridSpan w:val="4"/>
            <w:vAlign w:val="center"/>
          </w:tcPr>
          <w:p w14:paraId="3E8114B4" w14:textId="77777777" w:rsidR="00A755E1" w:rsidRPr="004A3552" w:rsidRDefault="00000000">
            <w:pPr>
              <w:autoSpaceDN/>
              <w:spacing w:line="440" w:lineRule="exact"/>
              <w:jc w:val="both"/>
              <w:rPr>
                <w:rFonts w:ascii="Times New Roman" w:eastAsiaTheme="minorEastAsia" w:hAnsi="Times New Roman" w:cs="Times New Roman"/>
                <w:b/>
                <w:sz w:val="21"/>
                <w:szCs w:val="21"/>
                <w:lang w:val="en-US" w:bidi="ar"/>
              </w:rPr>
            </w:pPr>
            <w:r w:rsidRPr="004A3552">
              <w:rPr>
                <w:rFonts w:ascii="Times New Roman" w:eastAsiaTheme="minorEastAsia" w:hAnsi="Times New Roman" w:cs="Times New Roman"/>
                <w:bCs/>
                <w:sz w:val="21"/>
                <w:szCs w:val="21"/>
                <w:lang w:val="en-US" w:bidi="ar"/>
              </w:rPr>
              <w:t>不涉及</w:t>
            </w:r>
          </w:p>
        </w:tc>
      </w:tr>
    </w:tbl>
    <w:p w14:paraId="2C526BBD" w14:textId="77777777" w:rsidR="00A755E1" w:rsidRPr="004A3552" w:rsidRDefault="00000000">
      <w:pPr>
        <w:rPr>
          <w:rFonts w:ascii="Times New Roman" w:eastAsia="宋体" w:hAnsi="Times New Roman" w:cs="Times New Roman"/>
          <w:lang w:val="en-US"/>
        </w:rPr>
      </w:pPr>
      <w:r w:rsidRPr="004A3552">
        <w:rPr>
          <w:rFonts w:ascii="Times New Roman" w:eastAsia="宋体" w:hAnsi="Times New Roman" w:cs="Times New Roman"/>
          <w:lang w:val="en-US"/>
        </w:rPr>
        <w:br w:type="page"/>
      </w:r>
    </w:p>
    <w:p w14:paraId="70FBF1B9" w14:textId="77777777" w:rsidR="00A755E1" w:rsidRPr="004A3552" w:rsidRDefault="00000000">
      <w:pPr>
        <w:widowControl/>
        <w:autoSpaceDE/>
        <w:autoSpaceDN/>
        <w:rPr>
          <w:rFonts w:ascii="Times New Roman" w:eastAsia="宋体" w:hAnsi="Times New Roman" w:cs="Times New Roman"/>
          <w:lang w:val="en-US"/>
        </w:rPr>
      </w:pPr>
      <w:r w:rsidRPr="004A3552">
        <w:rPr>
          <w:rFonts w:ascii="Times New Roman" w:eastAsia="宋体" w:hAnsi="Times New Roman" w:cs="Times New Roman" w:hint="eastAsia"/>
          <w:lang w:val="en-US"/>
        </w:rPr>
        <w:t>附：参会人员清单</w:t>
      </w:r>
    </w:p>
    <w:tbl>
      <w:tblPr>
        <w:tblStyle w:val="ac"/>
        <w:tblW w:w="5000" w:type="pct"/>
        <w:jc w:val="center"/>
        <w:tblLook w:val="04A0" w:firstRow="1" w:lastRow="0" w:firstColumn="1" w:lastColumn="0" w:noHBand="0" w:noVBand="1"/>
      </w:tblPr>
      <w:tblGrid>
        <w:gridCol w:w="1004"/>
        <w:gridCol w:w="4236"/>
        <w:gridCol w:w="1134"/>
        <w:gridCol w:w="4086"/>
      </w:tblGrid>
      <w:tr w:rsidR="00A755E1" w:rsidRPr="004A3552" w14:paraId="5BF6AF60" w14:textId="77777777">
        <w:trPr>
          <w:trHeight w:val="402"/>
          <w:tblHeader/>
          <w:jc w:val="center"/>
        </w:trPr>
        <w:tc>
          <w:tcPr>
            <w:tcW w:w="480" w:type="pct"/>
            <w:shd w:val="clear" w:color="auto" w:fill="D8D8D8" w:themeFill="background1" w:themeFillShade="D8"/>
            <w:vAlign w:val="center"/>
          </w:tcPr>
          <w:p w14:paraId="0C752BAA" w14:textId="77777777" w:rsidR="00A755E1" w:rsidRPr="0038047D" w:rsidRDefault="00000000">
            <w:pPr>
              <w:widowControl/>
              <w:jc w:val="center"/>
              <w:textAlignment w:val="center"/>
              <w:rPr>
                <w:rFonts w:ascii="Times New Roman" w:eastAsiaTheme="minorEastAsia" w:hAnsi="Times New Roman" w:cs="宋体"/>
                <w:b/>
                <w:bCs/>
                <w:sz w:val="21"/>
                <w:szCs w:val="21"/>
                <w:lang w:val="en-US"/>
              </w:rPr>
            </w:pPr>
            <w:r w:rsidRPr="0038047D">
              <w:rPr>
                <w:rFonts w:ascii="Times New Roman" w:eastAsiaTheme="minorEastAsia" w:hAnsi="Times New Roman" w:cs="宋体" w:hint="eastAsia"/>
                <w:b/>
                <w:bCs/>
                <w:sz w:val="21"/>
                <w:szCs w:val="21"/>
                <w:lang w:val="en-US" w:bidi="ar"/>
              </w:rPr>
              <w:t>姓名</w:t>
            </w:r>
          </w:p>
        </w:tc>
        <w:tc>
          <w:tcPr>
            <w:tcW w:w="2025" w:type="pct"/>
            <w:shd w:val="clear" w:color="auto" w:fill="D8D8D8" w:themeFill="background1" w:themeFillShade="D8"/>
            <w:vAlign w:val="center"/>
          </w:tcPr>
          <w:p w14:paraId="0618CA24" w14:textId="77777777" w:rsidR="00A755E1" w:rsidRPr="0038047D" w:rsidRDefault="00000000">
            <w:pPr>
              <w:widowControl/>
              <w:jc w:val="center"/>
              <w:textAlignment w:val="center"/>
              <w:rPr>
                <w:rFonts w:ascii="Times New Roman" w:eastAsiaTheme="minorEastAsia" w:hAnsi="Times New Roman" w:cs="宋体"/>
                <w:b/>
                <w:bCs/>
                <w:sz w:val="21"/>
                <w:szCs w:val="21"/>
                <w:lang w:val="en-US"/>
              </w:rPr>
            </w:pPr>
            <w:r w:rsidRPr="0038047D">
              <w:rPr>
                <w:rFonts w:ascii="Times New Roman" w:eastAsiaTheme="minorEastAsia" w:hAnsi="Times New Roman" w:cs="宋体" w:hint="eastAsia"/>
                <w:b/>
                <w:bCs/>
                <w:sz w:val="21"/>
                <w:szCs w:val="21"/>
                <w:lang w:val="en-US" w:bidi="ar"/>
              </w:rPr>
              <w:t>公司</w:t>
            </w:r>
          </w:p>
        </w:tc>
        <w:tc>
          <w:tcPr>
            <w:tcW w:w="542" w:type="pct"/>
            <w:shd w:val="clear" w:color="auto" w:fill="D8D8D8" w:themeFill="background1" w:themeFillShade="D8"/>
            <w:vAlign w:val="center"/>
          </w:tcPr>
          <w:p w14:paraId="000F6F18" w14:textId="77777777" w:rsidR="00A755E1" w:rsidRPr="0038047D" w:rsidRDefault="00000000">
            <w:pPr>
              <w:widowControl/>
              <w:jc w:val="center"/>
              <w:textAlignment w:val="center"/>
              <w:rPr>
                <w:rFonts w:ascii="Times New Roman" w:eastAsiaTheme="minorEastAsia" w:hAnsi="Times New Roman" w:cs="宋体"/>
                <w:b/>
                <w:bCs/>
                <w:sz w:val="21"/>
                <w:szCs w:val="21"/>
                <w:lang w:val="en-US"/>
              </w:rPr>
            </w:pPr>
            <w:r w:rsidRPr="0038047D">
              <w:rPr>
                <w:rFonts w:ascii="Times New Roman" w:eastAsiaTheme="minorEastAsia" w:hAnsi="Times New Roman" w:cs="宋体" w:hint="eastAsia"/>
                <w:b/>
                <w:bCs/>
                <w:sz w:val="21"/>
                <w:szCs w:val="21"/>
                <w:lang w:val="en-US" w:bidi="ar"/>
              </w:rPr>
              <w:t>姓名</w:t>
            </w:r>
          </w:p>
        </w:tc>
        <w:tc>
          <w:tcPr>
            <w:tcW w:w="1953" w:type="pct"/>
            <w:shd w:val="clear" w:color="auto" w:fill="D8D8D8" w:themeFill="background1" w:themeFillShade="D8"/>
            <w:vAlign w:val="center"/>
          </w:tcPr>
          <w:p w14:paraId="6B259F0B" w14:textId="77777777" w:rsidR="00A755E1" w:rsidRPr="0038047D" w:rsidRDefault="00000000">
            <w:pPr>
              <w:widowControl/>
              <w:jc w:val="center"/>
              <w:textAlignment w:val="center"/>
              <w:rPr>
                <w:rFonts w:ascii="Times New Roman" w:eastAsiaTheme="minorEastAsia" w:hAnsi="Times New Roman" w:cs="宋体"/>
                <w:b/>
                <w:bCs/>
                <w:sz w:val="21"/>
                <w:szCs w:val="21"/>
                <w:lang w:val="en-US"/>
              </w:rPr>
            </w:pPr>
            <w:r w:rsidRPr="0038047D">
              <w:rPr>
                <w:rFonts w:ascii="Times New Roman" w:eastAsiaTheme="minorEastAsia" w:hAnsi="Times New Roman" w:cs="宋体" w:hint="eastAsia"/>
                <w:b/>
                <w:bCs/>
                <w:sz w:val="21"/>
                <w:szCs w:val="21"/>
                <w:lang w:val="en-US" w:bidi="ar"/>
              </w:rPr>
              <w:t>公司</w:t>
            </w:r>
          </w:p>
        </w:tc>
      </w:tr>
      <w:tr w:rsidR="00A755E1" w:rsidRPr="004A3552" w14:paraId="7D3C8521" w14:textId="77777777">
        <w:trPr>
          <w:trHeight w:val="817"/>
          <w:jc w:val="center"/>
        </w:trPr>
        <w:tc>
          <w:tcPr>
            <w:tcW w:w="480" w:type="pct"/>
            <w:vAlign w:val="center"/>
          </w:tcPr>
          <w:p w14:paraId="21B2D1AA" w14:textId="77777777" w:rsidR="00A755E1" w:rsidRPr="0038047D" w:rsidRDefault="00000000">
            <w:pPr>
              <w:widowControl/>
              <w:autoSpaceDE/>
              <w:autoSpaceDN/>
              <w:jc w:val="center"/>
              <w:rPr>
                <w:rFonts w:ascii="Times New Roman" w:eastAsiaTheme="minorEastAsia" w:hAnsi="Times New Roman" w:cs="宋体"/>
                <w:color w:val="000000"/>
                <w:sz w:val="21"/>
                <w:szCs w:val="21"/>
                <w:lang w:val="en-US" w:bidi="ar-SA"/>
              </w:rPr>
            </w:pPr>
            <w:r w:rsidRPr="0038047D">
              <w:rPr>
                <w:rFonts w:ascii="Times New Roman" w:eastAsiaTheme="minorEastAsia" w:hAnsi="Times New Roman" w:hint="eastAsia"/>
                <w:color w:val="000000"/>
                <w:sz w:val="21"/>
                <w:szCs w:val="21"/>
              </w:rPr>
              <w:t>陈晖</w:t>
            </w:r>
          </w:p>
        </w:tc>
        <w:tc>
          <w:tcPr>
            <w:tcW w:w="2025" w:type="pct"/>
            <w:vAlign w:val="center"/>
          </w:tcPr>
          <w:p w14:paraId="64222DCA" w14:textId="77777777" w:rsidR="00A755E1" w:rsidRPr="0038047D" w:rsidRDefault="00000000">
            <w:pPr>
              <w:jc w:val="both"/>
              <w:rPr>
                <w:rFonts w:ascii="Times New Roman" w:eastAsiaTheme="minorEastAsia" w:hAnsi="Times New Roman"/>
                <w:color w:val="000000"/>
                <w:sz w:val="21"/>
                <w:szCs w:val="21"/>
              </w:rPr>
            </w:pPr>
            <w:proofErr w:type="gramStart"/>
            <w:r w:rsidRPr="0038047D">
              <w:rPr>
                <w:rFonts w:ascii="Times New Roman" w:eastAsiaTheme="minorEastAsia" w:hAnsi="Times New Roman" w:hint="eastAsia"/>
                <w:color w:val="000000"/>
                <w:sz w:val="21"/>
                <w:szCs w:val="21"/>
              </w:rPr>
              <w:t>砥俊投资</w:t>
            </w:r>
            <w:proofErr w:type="gramEnd"/>
          </w:p>
        </w:tc>
        <w:tc>
          <w:tcPr>
            <w:tcW w:w="542" w:type="pct"/>
            <w:vAlign w:val="center"/>
          </w:tcPr>
          <w:p w14:paraId="0E437FB8"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马剑蓓</w:t>
            </w:r>
          </w:p>
        </w:tc>
        <w:tc>
          <w:tcPr>
            <w:tcW w:w="1953" w:type="pct"/>
            <w:vAlign w:val="center"/>
          </w:tcPr>
          <w:p w14:paraId="4E876772" w14:textId="77777777" w:rsidR="00A755E1" w:rsidRPr="0038047D" w:rsidRDefault="00000000">
            <w:pPr>
              <w:jc w:val="both"/>
              <w:rPr>
                <w:rFonts w:ascii="Times New Roman" w:eastAsiaTheme="minorEastAsia" w:hAnsi="Times New Roman"/>
                <w:color w:val="000000"/>
                <w:sz w:val="21"/>
                <w:szCs w:val="21"/>
              </w:rPr>
            </w:pPr>
            <w:proofErr w:type="gramStart"/>
            <w:r w:rsidRPr="0038047D">
              <w:rPr>
                <w:rFonts w:ascii="Times New Roman" w:eastAsiaTheme="minorEastAsia" w:hAnsi="Times New Roman" w:hint="eastAsia"/>
                <w:color w:val="000000"/>
                <w:sz w:val="21"/>
                <w:szCs w:val="21"/>
              </w:rPr>
              <w:t>申万宏源证券</w:t>
            </w:r>
            <w:proofErr w:type="gramEnd"/>
          </w:p>
        </w:tc>
      </w:tr>
      <w:tr w:rsidR="00A755E1" w:rsidRPr="004A3552" w14:paraId="7E9F2820" w14:textId="77777777">
        <w:trPr>
          <w:trHeight w:val="817"/>
          <w:jc w:val="center"/>
        </w:trPr>
        <w:tc>
          <w:tcPr>
            <w:tcW w:w="480" w:type="pct"/>
            <w:vAlign w:val="center"/>
          </w:tcPr>
          <w:p w14:paraId="15CC406C" w14:textId="77777777" w:rsidR="00A755E1" w:rsidRPr="0038047D" w:rsidRDefault="00000000">
            <w:pPr>
              <w:jc w:val="center"/>
              <w:rPr>
                <w:rFonts w:ascii="Times New Roman" w:eastAsiaTheme="minorEastAsia" w:hAnsi="Times New Roman"/>
                <w:color w:val="000000"/>
                <w:sz w:val="21"/>
                <w:szCs w:val="21"/>
              </w:rPr>
            </w:pPr>
            <w:proofErr w:type="gramStart"/>
            <w:r w:rsidRPr="0038047D">
              <w:rPr>
                <w:rFonts w:ascii="Times New Roman" w:eastAsiaTheme="minorEastAsia" w:hAnsi="Times New Roman" w:hint="eastAsia"/>
                <w:color w:val="000000"/>
                <w:sz w:val="21"/>
                <w:szCs w:val="21"/>
              </w:rPr>
              <w:t>陈泽青</w:t>
            </w:r>
            <w:proofErr w:type="gramEnd"/>
          </w:p>
        </w:tc>
        <w:tc>
          <w:tcPr>
            <w:tcW w:w="2025" w:type="pct"/>
            <w:vAlign w:val="center"/>
          </w:tcPr>
          <w:p w14:paraId="57D02568" w14:textId="77777777" w:rsidR="00A755E1" w:rsidRPr="0038047D" w:rsidRDefault="00000000">
            <w:pPr>
              <w:jc w:val="both"/>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国盛研究所</w:t>
            </w:r>
          </w:p>
        </w:tc>
        <w:tc>
          <w:tcPr>
            <w:tcW w:w="542" w:type="pct"/>
            <w:vAlign w:val="center"/>
          </w:tcPr>
          <w:p w14:paraId="6737ED22"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孙德龙</w:t>
            </w:r>
          </w:p>
        </w:tc>
        <w:tc>
          <w:tcPr>
            <w:tcW w:w="1953" w:type="pct"/>
            <w:vAlign w:val="center"/>
          </w:tcPr>
          <w:p w14:paraId="67910FD6" w14:textId="77777777" w:rsidR="00A755E1" w:rsidRPr="0038047D" w:rsidRDefault="00000000">
            <w:pPr>
              <w:jc w:val="both"/>
              <w:rPr>
                <w:rFonts w:ascii="Times New Roman" w:eastAsiaTheme="minorEastAsia" w:hAnsi="Times New Roman"/>
                <w:color w:val="000000"/>
                <w:sz w:val="21"/>
                <w:szCs w:val="21"/>
              </w:rPr>
            </w:pPr>
            <w:proofErr w:type="gramStart"/>
            <w:r w:rsidRPr="0038047D">
              <w:rPr>
                <w:rFonts w:ascii="Times New Roman" w:eastAsiaTheme="minorEastAsia" w:hAnsi="Times New Roman" w:hint="eastAsia"/>
                <w:color w:val="000000"/>
                <w:sz w:val="21"/>
                <w:szCs w:val="21"/>
              </w:rPr>
              <w:t>华能贵诚信</w:t>
            </w:r>
            <w:proofErr w:type="gramEnd"/>
            <w:r w:rsidRPr="0038047D">
              <w:rPr>
                <w:rFonts w:ascii="Times New Roman" w:eastAsiaTheme="minorEastAsia" w:hAnsi="Times New Roman" w:hint="eastAsia"/>
                <w:color w:val="000000"/>
                <w:sz w:val="21"/>
                <w:szCs w:val="21"/>
              </w:rPr>
              <w:t>托</w:t>
            </w:r>
          </w:p>
        </w:tc>
      </w:tr>
      <w:tr w:rsidR="00A755E1" w:rsidRPr="004A3552" w14:paraId="77AE3638" w14:textId="77777777">
        <w:trPr>
          <w:trHeight w:val="817"/>
          <w:jc w:val="center"/>
        </w:trPr>
        <w:tc>
          <w:tcPr>
            <w:tcW w:w="480" w:type="pct"/>
            <w:vAlign w:val="center"/>
          </w:tcPr>
          <w:p w14:paraId="3AD35195"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高思维</w:t>
            </w:r>
          </w:p>
        </w:tc>
        <w:tc>
          <w:tcPr>
            <w:tcW w:w="2025" w:type="pct"/>
            <w:vAlign w:val="center"/>
          </w:tcPr>
          <w:p w14:paraId="57ED81A4" w14:textId="77777777" w:rsidR="00A755E1" w:rsidRPr="0038047D" w:rsidRDefault="00000000">
            <w:pPr>
              <w:jc w:val="both"/>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昆仑信托有限责任公司</w:t>
            </w:r>
          </w:p>
        </w:tc>
        <w:tc>
          <w:tcPr>
            <w:tcW w:w="542" w:type="pct"/>
            <w:vAlign w:val="center"/>
          </w:tcPr>
          <w:p w14:paraId="4D93597A"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童熠</w:t>
            </w:r>
          </w:p>
        </w:tc>
        <w:tc>
          <w:tcPr>
            <w:tcW w:w="1953" w:type="pct"/>
            <w:vAlign w:val="center"/>
          </w:tcPr>
          <w:p w14:paraId="28DC828D" w14:textId="77777777" w:rsidR="00A755E1" w:rsidRPr="0038047D" w:rsidRDefault="00000000">
            <w:pPr>
              <w:jc w:val="both"/>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富国基金管理有限公司</w:t>
            </w:r>
          </w:p>
        </w:tc>
      </w:tr>
      <w:tr w:rsidR="00A755E1" w:rsidRPr="004A3552" w14:paraId="7A9AC31A" w14:textId="77777777">
        <w:trPr>
          <w:trHeight w:val="817"/>
          <w:jc w:val="center"/>
        </w:trPr>
        <w:tc>
          <w:tcPr>
            <w:tcW w:w="480" w:type="pct"/>
            <w:vAlign w:val="center"/>
          </w:tcPr>
          <w:p w14:paraId="7162F641"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顾宝成</w:t>
            </w:r>
          </w:p>
        </w:tc>
        <w:tc>
          <w:tcPr>
            <w:tcW w:w="2025" w:type="pct"/>
            <w:vAlign w:val="center"/>
          </w:tcPr>
          <w:p w14:paraId="7C8E1BD0" w14:textId="77777777" w:rsidR="00A755E1" w:rsidRPr="0038047D" w:rsidRDefault="00000000">
            <w:pPr>
              <w:jc w:val="both"/>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度</w:t>
            </w:r>
            <w:proofErr w:type="gramStart"/>
            <w:r w:rsidRPr="0038047D">
              <w:rPr>
                <w:rFonts w:ascii="Times New Roman" w:eastAsiaTheme="minorEastAsia" w:hAnsi="Times New Roman" w:hint="eastAsia"/>
                <w:color w:val="000000"/>
                <w:sz w:val="21"/>
                <w:szCs w:val="21"/>
              </w:rPr>
              <w:t>势投资</w:t>
            </w:r>
            <w:proofErr w:type="gramEnd"/>
          </w:p>
        </w:tc>
        <w:tc>
          <w:tcPr>
            <w:tcW w:w="542" w:type="pct"/>
            <w:vAlign w:val="center"/>
          </w:tcPr>
          <w:p w14:paraId="72CDF2AB"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王克玉</w:t>
            </w:r>
          </w:p>
        </w:tc>
        <w:tc>
          <w:tcPr>
            <w:tcW w:w="1953" w:type="pct"/>
            <w:vAlign w:val="center"/>
          </w:tcPr>
          <w:p w14:paraId="61E390EA" w14:textId="77777777" w:rsidR="00A755E1" w:rsidRPr="0038047D" w:rsidRDefault="00000000">
            <w:pPr>
              <w:jc w:val="both"/>
              <w:rPr>
                <w:rFonts w:ascii="Times New Roman" w:eastAsiaTheme="minorEastAsia" w:hAnsi="Times New Roman"/>
                <w:color w:val="000000"/>
                <w:sz w:val="21"/>
                <w:szCs w:val="21"/>
              </w:rPr>
            </w:pPr>
            <w:proofErr w:type="gramStart"/>
            <w:r w:rsidRPr="0038047D">
              <w:rPr>
                <w:rFonts w:ascii="Times New Roman" w:eastAsiaTheme="minorEastAsia" w:hAnsi="Times New Roman" w:hint="eastAsia"/>
                <w:color w:val="000000"/>
                <w:sz w:val="21"/>
                <w:szCs w:val="21"/>
              </w:rPr>
              <w:t>泓德基金</w:t>
            </w:r>
            <w:proofErr w:type="gramEnd"/>
            <w:r w:rsidRPr="0038047D">
              <w:rPr>
                <w:rFonts w:ascii="Times New Roman" w:eastAsiaTheme="minorEastAsia" w:hAnsi="Times New Roman" w:hint="eastAsia"/>
                <w:color w:val="000000"/>
                <w:sz w:val="21"/>
                <w:szCs w:val="21"/>
              </w:rPr>
              <w:t>管理有限公司</w:t>
            </w:r>
          </w:p>
        </w:tc>
      </w:tr>
      <w:tr w:rsidR="00A755E1" w:rsidRPr="004A3552" w14:paraId="4092B4F6" w14:textId="77777777">
        <w:trPr>
          <w:trHeight w:val="817"/>
          <w:jc w:val="center"/>
        </w:trPr>
        <w:tc>
          <w:tcPr>
            <w:tcW w:w="480" w:type="pct"/>
            <w:vAlign w:val="center"/>
          </w:tcPr>
          <w:p w14:paraId="1E3BB9E1"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郭若娜</w:t>
            </w:r>
          </w:p>
        </w:tc>
        <w:tc>
          <w:tcPr>
            <w:tcW w:w="2025" w:type="pct"/>
            <w:vAlign w:val="center"/>
          </w:tcPr>
          <w:p w14:paraId="7456A2E9" w14:textId="77777777" w:rsidR="00A755E1" w:rsidRPr="0038047D" w:rsidRDefault="00000000">
            <w:pPr>
              <w:jc w:val="both"/>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中</w:t>
            </w:r>
            <w:proofErr w:type="gramStart"/>
            <w:r w:rsidRPr="0038047D">
              <w:rPr>
                <w:rFonts w:ascii="Times New Roman" w:eastAsiaTheme="minorEastAsia" w:hAnsi="Times New Roman" w:hint="eastAsia"/>
                <w:color w:val="000000"/>
                <w:sz w:val="21"/>
                <w:szCs w:val="21"/>
              </w:rPr>
              <w:t>金资管</w:t>
            </w:r>
            <w:proofErr w:type="gramEnd"/>
          </w:p>
        </w:tc>
        <w:tc>
          <w:tcPr>
            <w:tcW w:w="542" w:type="pct"/>
            <w:vAlign w:val="center"/>
          </w:tcPr>
          <w:p w14:paraId="3AB4AAFF"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王文龙</w:t>
            </w:r>
          </w:p>
        </w:tc>
        <w:tc>
          <w:tcPr>
            <w:tcW w:w="1953" w:type="pct"/>
            <w:vAlign w:val="center"/>
          </w:tcPr>
          <w:p w14:paraId="4010D745" w14:textId="77777777" w:rsidR="00A755E1" w:rsidRPr="0038047D" w:rsidRDefault="00000000">
            <w:pPr>
              <w:jc w:val="both"/>
              <w:rPr>
                <w:rFonts w:ascii="Times New Roman" w:eastAsiaTheme="minorEastAsia" w:hAnsi="Times New Roman"/>
                <w:color w:val="000000"/>
                <w:sz w:val="21"/>
                <w:szCs w:val="21"/>
              </w:rPr>
            </w:pPr>
            <w:proofErr w:type="gramStart"/>
            <w:r w:rsidRPr="0038047D">
              <w:rPr>
                <w:rFonts w:ascii="Times New Roman" w:eastAsiaTheme="minorEastAsia" w:hAnsi="Times New Roman" w:hint="eastAsia"/>
                <w:color w:val="000000"/>
                <w:sz w:val="21"/>
                <w:szCs w:val="21"/>
              </w:rPr>
              <w:t>永赢基金</w:t>
            </w:r>
            <w:proofErr w:type="gramEnd"/>
            <w:r w:rsidRPr="0038047D">
              <w:rPr>
                <w:rFonts w:ascii="Times New Roman" w:eastAsiaTheme="minorEastAsia" w:hAnsi="Times New Roman" w:hint="eastAsia"/>
                <w:color w:val="000000"/>
                <w:sz w:val="21"/>
                <w:szCs w:val="21"/>
              </w:rPr>
              <w:t>管理有限公司</w:t>
            </w:r>
          </w:p>
        </w:tc>
      </w:tr>
      <w:tr w:rsidR="00A755E1" w:rsidRPr="004A3552" w14:paraId="7F3B4823" w14:textId="77777777">
        <w:trPr>
          <w:trHeight w:val="817"/>
          <w:jc w:val="center"/>
        </w:trPr>
        <w:tc>
          <w:tcPr>
            <w:tcW w:w="480" w:type="pct"/>
            <w:vAlign w:val="center"/>
          </w:tcPr>
          <w:p w14:paraId="209EC11B"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韩林</w:t>
            </w:r>
          </w:p>
        </w:tc>
        <w:tc>
          <w:tcPr>
            <w:tcW w:w="2025" w:type="pct"/>
            <w:vAlign w:val="center"/>
          </w:tcPr>
          <w:p w14:paraId="0562FD7B" w14:textId="77777777" w:rsidR="00A755E1" w:rsidRPr="0038047D" w:rsidRDefault="00000000">
            <w:pPr>
              <w:jc w:val="both"/>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长城基金管理有限公司</w:t>
            </w:r>
          </w:p>
        </w:tc>
        <w:tc>
          <w:tcPr>
            <w:tcW w:w="542" w:type="pct"/>
            <w:vAlign w:val="center"/>
          </w:tcPr>
          <w:p w14:paraId="41A314E6"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魏炜</w:t>
            </w:r>
          </w:p>
        </w:tc>
        <w:tc>
          <w:tcPr>
            <w:tcW w:w="1953" w:type="pct"/>
            <w:vAlign w:val="center"/>
          </w:tcPr>
          <w:p w14:paraId="2865A4C1" w14:textId="77777777" w:rsidR="00A755E1" w:rsidRPr="0038047D" w:rsidRDefault="00000000">
            <w:pPr>
              <w:jc w:val="both"/>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上海益和</w:t>
            </w:r>
            <w:proofErr w:type="gramStart"/>
            <w:r w:rsidRPr="0038047D">
              <w:rPr>
                <w:rFonts w:ascii="Times New Roman" w:eastAsiaTheme="minorEastAsia" w:hAnsi="Times New Roman" w:hint="eastAsia"/>
                <w:color w:val="000000"/>
                <w:sz w:val="21"/>
                <w:szCs w:val="21"/>
              </w:rPr>
              <w:t>源资产</w:t>
            </w:r>
            <w:proofErr w:type="gramEnd"/>
            <w:r w:rsidRPr="0038047D">
              <w:rPr>
                <w:rFonts w:ascii="Times New Roman" w:eastAsiaTheme="minorEastAsia" w:hAnsi="Times New Roman" w:hint="eastAsia"/>
                <w:color w:val="000000"/>
                <w:sz w:val="21"/>
                <w:szCs w:val="21"/>
              </w:rPr>
              <w:t>管理有限公司</w:t>
            </w:r>
          </w:p>
        </w:tc>
      </w:tr>
      <w:tr w:rsidR="00A755E1" w:rsidRPr="004A3552" w14:paraId="4CB9965E" w14:textId="77777777">
        <w:trPr>
          <w:trHeight w:val="817"/>
          <w:jc w:val="center"/>
        </w:trPr>
        <w:tc>
          <w:tcPr>
            <w:tcW w:w="480" w:type="pct"/>
            <w:vAlign w:val="center"/>
          </w:tcPr>
          <w:p w14:paraId="3F254430"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黄向前</w:t>
            </w:r>
          </w:p>
        </w:tc>
        <w:tc>
          <w:tcPr>
            <w:tcW w:w="2025" w:type="pct"/>
            <w:vAlign w:val="center"/>
          </w:tcPr>
          <w:p w14:paraId="13B5C1FA" w14:textId="77777777" w:rsidR="00A755E1" w:rsidRPr="0038047D" w:rsidRDefault="00000000">
            <w:pPr>
              <w:jc w:val="both"/>
              <w:rPr>
                <w:rFonts w:ascii="Times New Roman" w:eastAsiaTheme="minorEastAsia" w:hAnsi="Times New Roman"/>
                <w:color w:val="000000"/>
                <w:sz w:val="21"/>
                <w:szCs w:val="21"/>
              </w:rPr>
            </w:pPr>
            <w:proofErr w:type="gramStart"/>
            <w:r w:rsidRPr="0038047D">
              <w:rPr>
                <w:rFonts w:ascii="Times New Roman" w:eastAsiaTheme="minorEastAsia" w:hAnsi="Times New Roman" w:hint="eastAsia"/>
                <w:color w:val="000000"/>
                <w:sz w:val="21"/>
                <w:szCs w:val="21"/>
              </w:rPr>
              <w:t>深圳市尚诚资产</w:t>
            </w:r>
            <w:proofErr w:type="gramEnd"/>
            <w:r w:rsidRPr="0038047D">
              <w:rPr>
                <w:rFonts w:ascii="Times New Roman" w:eastAsiaTheme="minorEastAsia" w:hAnsi="Times New Roman" w:hint="eastAsia"/>
                <w:color w:val="000000"/>
                <w:sz w:val="21"/>
                <w:szCs w:val="21"/>
              </w:rPr>
              <w:t>管理有限责任公司</w:t>
            </w:r>
          </w:p>
        </w:tc>
        <w:tc>
          <w:tcPr>
            <w:tcW w:w="542" w:type="pct"/>
            <w:vAlign w:val="center"/>
          </w:tcPr>
          <w:p w14:paraId="3EDF53CF"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夏</w:t>
            </w:r>
            <w:proofErr w:type="gramStart"/>
            <w:r w:rsidRPr="0038047D">
              <w:rPr>
                <w:rFonts w:ascii="Times New Roman" w:eastAsiaTheme="minorEastAsia" w:hAnsi="Times New Roman" w:hint="eastAsia"/>
                <w:color w:val="000000"/>
                <w:sz w:val="21"/>
                <w:szCs w:val="21"/>
              </w:rPr>
              <w:t>一</w:t>
            </w:r>
            <w:proofErr w:type="gramEnd"/>
          </w:p>
        </w:tc>
        <w:tc>
          <w:tcPr>
            <w:tcW w:w="1953" w:type="pct"/>
            <w:vAlign w:val="center"/>
          </w:tcPr>
          <w:p w14:paraId="189F0AB0" w14:textId="77777777" w:rsidR="00A755E1" w:rsidRPr="0038047D" w:rsidRDefault="00000000">
            <w:pPr>
              <w:jc w:val="both"/>
              <w:rPr>
                <w:rFonts w:ascii="Times New Roman" w:eastAsiaTheme="minorEastAsia" w:hAnsi="Times New Roman"/>
                <w:color w:val="000000"/>
                <w:sz w:val="21"/>
                <w:szCs w:val="21"/>
              </w:rPr>
            </w:pPr>
            <w:proofErr w:type="gramStart"/>
            <w:r w:rsidRPr="0038047D">
              <w:rPr>
                <w:rFonts w:ascii="Times New Roman" w:eastAsiaTheme="minorEastAsia" w:hAnsi="Times New Roman" w:hint="eastAsia"/>
                <w:color w:val="000000"/>
                <w:sz w:val="21"/>
                <w:szCs w:val="21"/>
              </w:rPr>
              <w:t>玄卜投资</w:t>
            </w:r>
            <w:proofErr w:type="gramEnd"/>
            <w:r w:rsidRPr="0038047D">
              <w:rPr>
                <w:rFonts w:ascii="Times New Roman" w:eastAsiaTheme="minorEastAsia" w:hAnsi="Times New Roman" w:hint="eastAsia"/>
                <w:color w:val="000000"/>
                <w:sz w:val="21"/>
                <w:szCs w:val="21"/>
              </w:rPr>
              <w:t>（上海）有限公司</w:t>
            </w:r>
          </w:p>
        </w:tc>
      </w:tr>
      <w:tr w:rsidR="00A755E1" w:rsidRPr="004A3552" w14:paraId="3473105F" w14:textId="77777777">
        <w:trPr>
          <w:trHeight w:val="817"/>
          <w:jc w:val="center"/>
        </w:trPr>
        <w:tc>
          <w:tcPr>
            <w:tcW w:w="480" w:type="pct"/>
            <w:vAlign w:val="center"/>
          </w:tcPr>
          <w:p w14:paraId="5007FFDE"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季清斌</w:t>
            </w:r>
          </w:p>
        </w:tc>
        <w:tc>
          <w:tcPr>
            <w:tcW w:w="2025" w:type="pct"/>
            <w:vAlign w:val="center"/>
          </w:tcPr>
          <w:p w14:paraId="5DEFD531" w14:textId="77777777" w:rsidR="00A755E1" w:rsidRPr="0038047D" w:rsidRDefault="00000000">
            <w:pPr>
              <w:jc w:val="both"/>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平安基金</w:t>
            </w:r>
          </w:p>
        </w:tc>
        <w:tc>
          <w:tcPr>
            <w:tcW w:w="542" w:type="pct"/>
            <w:vAlign w:val="center"/>
          </w:tcPr>
          <w:p w14:paraId="54D2A811" w14:textId="77777777" w:rsidR="00A755E1" w:rsidRPr="0038047D" w:rsidRDefault="00000000">
            <w:pPr>
              <w:jc w:val="center"/>
              <w:rPr>
                <w:rFonts w:ascii="Times New Roman" w:eastAsiaTheme="minorEastAsia" w:hAnsi="Times New Roman"/>
                <w:color w:val="000000"/>
                <w:sz w:val="21"/>
                <w:szCs w:val="21"/>
              </w:rPr>
            </w:pPr>
            <w:proofErr w:type="gramStart"/>
            <w:r w:rsidRPr="0038047D">
              <w:rPr>
                <w:rFonts w:ascii="Times New Roman" w:eastAsiaTheme="minorEastAsia" w:hAnsi="Times New Roman" w:hint="eastAsia"/>
                <w:color w:val="000000"/>
                <w:sz w:val="21"/>
                <w:szCs w:val="21"/>
              </w:rPr>
              <w:t>虞秀兰</w:t>
            </w:r>
            <w:proofErr w:type="gramEnd"/>
          </w:p>
        </w:tc>
        <w:tc>
          <w:tcPr>
            <w:tcW w:w="1953" w:type="pct"/>
            <w:vAlign w:val="center"/>
          </w:tcPr>
          <w:p w14:paraId="30868A44" w14:textId="77777777" w:rsidR="00A755E1" w:rsidRPr="0038047D" w:rsidRDefault="00000000">
            <w:pPr>
              <w:jc w:val="both"/>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招商基金</w:t>
            </w:r>
          </w:p>
        </w:tc>
      </w:tr>
      <w:tr w:rsidR="00A755E1" w:rsidRPr="004A3552" w14:paraId="4DCAF5D0" w14:textId="77777777">
        <w:trPr>
          <w:trHeight w:val="817"/>
          <w:jc w:val="center"/>
        </w:trPr>
        <w:tc>
          <w:tcPr>
            <w:tcW w:w="480" w:type="pct"/>
            <w:vAlign w:val="center"/>
          </w:tcPr>
          <w:p w14:paraId="3BFA00DE"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姜宇帆</w:t>
            </w:r>
          </w:p>
        </w:tc>
        <w:tc>
          <w:tcPr>
            <w:tcW w:w="2025" w:type="pct"/>
            <w:vAlign w:val="center"/>
          </w:tcPr>
          <w:p w14:paraId="010017E6" w14:textId="77777777" w:rsidR="00A755E1" w:rsidRPr="0038047D" w:rsidRDefault="00000000">
            <w:pPr>
              <w:jc w:val="both"/>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上海明河</w:t>
            </w:r>
          </w:p>
        </w:tc>
        <w:tc>
          <w:tcPr>
            <w:tcW w:w="542" w:type="pct"/>
            <w:vAlign w:val="center"/>
          </w:tcPr>
          <w:p w14:paraId="7BA17E76"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张东华</w:t>
            </w:r>
          </w:p>
        </w:tc>
        <w:tc>
          <w:tcPr>
            <w:tcW w:w="1953" w:type="pct"/>
            <w:vAlign w:val="center"/>
          </w:tcPr>
          <w:p w14:paraId="7D7D5FA3" w14:textId="77777777" w:rsidR="00A755E1" w:rsidRPr="0038047D" w:rsidRDefault="00000000">
            <w:pPr>
              <w:jc w:val="both"/>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泰山财产保险股份有限公司</w:t>
            </w:r>
          </w:p>
        </w:tc>
      </w:tr>
      <w:tr w:rsidR="00A755E1" w:rsidRPr="004A3552" w14:paraId="55B42833" w14:textId="77777777">
        <w:trPr>
          <w:trHeight w:val="817"/>
          <w:jc w:val="center"/>
        </w:trPr>
        <w:tc>
          <w:tcPr>
            <w:tcW w:w="480" w:type="pct"/>
            <w:vAlign w:val="center"/>
          </w:tcPr>
          <w:p w14:paraId="3E7598A1" w14:textId="77777777" w:rsidR="00A755E1" w:rsidRPr="0038047D" w:rsidRDefault="00000000">
            <w:pPr>
              <w:jc w:val="center"/>
              <w:rPr>
                <w:rFonts w:ascii="Times New Roman" w:eastAsiaTheme="minorEastAsia" w:hAnsi="Times New Roman"/>
                <w:color w:val="000000"/>
                <w:sz w:val="21"/>
                <w:szCs w:val="21"/>
              </w:rPr>
            </w:pPr>
            <w:proofErr w:type="gramStart"/>
            <w:r w:rsidRPr="0038047D">
              <w:rPr>
                <w:rFonts w:ascii="Times New Roman" w:eastAsiaTheme="minorEastAsia" w:hAnsi="Times New Roman" w:hint="eastAsia"/>
                <w:color w:val="000000"/>
                <w:sz w:val="21"/>
                <w:szCs w:val="21"/>
              </w:rPr>
              <w:t>焦阳</w:t>
            </w:r>
            <w:proofErr w:type="gramEnd"/>
          </w:p>
        </w:tc>
        <w:tc>
          <w:tcPr>
            <w:tcW w:w="2025" w:type="pct"/>
            <w:vAlign w:val="center"/>
          </w:tcPr>
          <w:p w14:paraId="406D20F2" w14:textId="77777777" w:rsidR="00A755E1" w:rsidRPr="0038047D" w:rsidRDefault="00000000">
            <w:pPr>
              <w:jc w:val="both"/>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国联基金管理有限公司</w:t>
            </w:r>
          </w:p>
        </w:tc>
        <w:tc>
          <w:tcPr>
            <w:tcW w:w="542" w:type="pct"/>
            <w:vAlign w:val="center"/>
          </w:tcPr>
          <w:p w14:paraId="3595B031"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张</w:t>
            </w:r>
            <w:proofErr w:type="gramStart"/>
            <w:r w:rsidRPr="0038047D">
              <w:rPr>
                <w:rFonts w:ascii="Times New Roman" w:eastAsiaTheme="minorEastAsia" w:hAnsi="Times New Roman" w:hint="eastAsia"/>
                <w:color w:val="000000"/>
                <w:sz w:val="21"/>
                <w:szCs w:val="21"/>
              </w:rPr>
              <w:t>浩</w:t>
            </w:r>
            <w:proofErr w:type="gramEnd"/>
          </w:p>
        </w:tc>
        <w:tc>
          <w:tcPr>
            <w:tcW w:w="1953" w:type="pct"/>
            <w:vAlign w:val="center"/>
          </w:tcPr>
          <w:p w14:paraId="4A951E31" w14:textId="77777777" w:rsidR="00A755E1" w:rsidRPr="0038047D" w:rsidRDefault="00000000">
            <w:pPr>
              <w:jc w:val="both"/>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太平基金</w:t>
            </w:r>
          </w:p>
        </w:tc>
      </w:tr>
      <w:tr w:rsidR="00A755E1" w:rsidRPr="004A3552" w14:paraId="26589555" w14:textId="77777777">
        <w:trPr>
          <w:trHeight w:val="817"/>
          <w:jc w:val="center"/>
        </w:trPr>
        <w:tc>
          <w:tcPr>
            <w:tcW w:w="480" w:type="pct"/>
            <w:vAlign w:val="center"/>
          </w:tcPr>
          <w:p w14:paraId="08BEDDF1"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李宇轩</w:t>
            </w:r>
          </w:p>
        </w:tc>
        <w:tc>
          <w:tcPr>
            <w:tcW w:w="2025" w:type="pct"/>
            <w:vAlign w:val="center"/>
          </w:tcPr>
          <w:p w14:paraId="1D5519E1" w14:textId="77777777" w:rsidR="00A755E1" w:rsidRPr="0038047D" w:rsidRDefault="00000000">
            <w:pPr>
              <w:jc w:val="both"/>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财通证券</w:t>
            </w:r>
          </w:p>
        </w:tc>
        <w:tc>
          <w:tcPr>
            <w:tcW w:w="542" w:type="pct"/>
            <w:vAlign w:val="center"/>
          </w:tcPr>
          <w:p w14:paraId="64CE9079" w14:textId="77777777" w:rsidR="00A755E1" w:rsidRPr="0038047D" w:rsidRDefault="00000000">
            <w:pPr>
              <w:jc w:val="center"/>
              <w:rPr>
                <w:rFonts w:ascii="Times New Roman" w:eastAsiaTheme="minorEastAsia" w:hAnsi="Times New Roman"/>
                <w:color w:val="000000"/>
                <w:sz w:val="21"/>
                <w:szCs w:val="21"/>
              </w:rPr>
            </w:pPr>
            <w:proofErr w:type="gramStart"/>
            <w:r w:rsidRPr="0038047D">
              <w:rPr>
                <w:rFonts w:ascii="Times New Roman" w:eastAsiaTheme="minorEastAsia" w:hAnsi="Times New Roman" w:hint="eastAsia"/>
                <w:color w:val="000000"/>
                <w:sz w:val="21"/>
                <w:szCs w:val="21"/>
              </w:rPr>
              <w:t>张令泓</w:t>
            </w:r>
            <w:proofErr w:type="gramEnd"/>
          </w:p>
        </w:tc>
        <w:tc>
          <w:tcPr>
            <w:tcW w:w="1953" w:type="pct"/>
            <w:vAlign w:val="center"/>
          </w:tcPr>
          <w:p w14:paraId="63895396" w14:textId="77777777" w:rsidR="00A755E1" w:rsidRPr="0038047D" w:rsidRDefault="00000000">
            <w:pPr>
              <w:jc w:val="both"/>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中</w:t>
            </w:r>
            <w:proofErr w:type="gramStart"/>
            <w:r w:rsidRPr="0038047D">
              <w:rPr>
                <w:rFonts w:ascii="Times New Roman" w:eastAsiaTheme="minorEastAsia" w:hAnsi="Times New Roman" w:hint="eastAsia"/>
                <w:color w:val="000000"/>
                <w:sz w:val="21"/>
                <w:szCs w:val="21"/>
              </w:rPr>
              <w:t>银基金</w:t>
            </w:r>
            <w:proofErr w:type="gramEnd"/>
            <w:r w:rsidRPr="0038047D">
              <w:rPr>
                <w:rFonts w:ascii="Times New Roman" w:eastAsiaTheme="minorEastAsia" w:hAnsi="Times New Roman" w:hint="eastAsia"/>
                <w:color w:val="000000"/>
                <w:sz w:val="21"/>
                <w:szCs w:val="21"/>
              </w:rPr>
              <w:t>管理有限公司</w:t>
            </w:r>
          </w:p>
        </w:tc>
      </w:tr>
      <w:tr w:rsidR="00A755E1" w:rsidRPr="004A3552" w14:paraId="0D48710F" w14:textId="77777777">
        <w:trPr>
          <w:trHeight w:val="817"/>
          <w:jc w:val="center"/>
        </w:trPr>
        <w:tc>
          <w:tcPr>
            <w:tcW w:w="480" w:type="pct"/>
            <w:vAlign w:val="center"/>
          </w:tcPr>
          <w:p w14:paraId="633E1F1A" w14:textId="77777777" w:rsidR="00A755E1" w:rsidRPr="0038047D" w:rsidRDefault="00000000">
            <w:pPr>
              <w:jc w:val="center"/>
              <w:rPr>
                <w:rFonts w:ascii="Times New Roman" w:eastAsiaTheme="minorEastAsia" w:hAnsi="Times New Roman"/>
                <w:color w:val="000000"/>
                <w:sz w:val="21"/>
                <w:szCs w:val="21"/>
              </w:rPr>
            </w:pPr>
            <w:proofErr w:type="gramStart"/>
            <w:r w:rsidRPr="0038047D">
              <w:rPr>
                <w:rFonts w:ascii="Times New Roman" w:eastAsiaTheme="minorEastAsia" w:hAnsi="Times New Roman" w:hint="eastAsia"/>
                <w:color w:val="000000"/>
                <w:sz w:val="21"/>
                <w:szCs w:val="21"/>
              </w:rPr>
              <w:t>梁雪</w:t>
            </w:r>
            <w:proofErr w:type="gramEnd"/>
          </w:p>
        </w:tc>
        <w:tc>
          <w:tcPr>
            <w:tcW w:w="2025" w:type="pct"/>
            <w:vAlign w:val="center"/>
          </w:tcPr>
          <w:p w14:paraId="613C0308" w14:textId="77777777" w:rsidR="00A755E1" w:rsidRPr="0038047D" w:rsidRDefault="00000000">
            <w:pPr>
              <w:jc w:val="both"/>
              <w:rPr>
                <w:rFonts w:ascii="Times New Roman" w:eastAsiaTheme="minorEastAsia" w:hAnsi="Times New Roman"/>
                <w:color w:val="000000"/>
                <w:sz w:val="21"/>
                <w:szCs w:val="21"/>
              </w:rPr>
            </w:pPr>
            <w:proofErr w:type="gramStart"/>
            <w:r w:rsidRPr="0038047D">
              <w:rPr>
                <w:rFonts w:ascii="Times New Roman" w:eastAsiaTheme="minorEastAsia" w:hAnsi="Times New Roman" w:hint="eastAsia"/>
                <w:color w:val="000000"/>
                <w:sz w:val="21"/>
                <w:szCs w:val="21"/>
              </w:rPr>
              <w:t>创金合</w:t>
            </w:r>
            <w:proofErr w:type="gramEnd"/>
            <w:r w:rsidRPr="0038047D">
              <w:rPr>
                <w:rFonts w:ascii="Times New Roman" w:eastAsiaTheme="minorEastAsia" w:hAnsi="Times New Roman" w:hint="eastAsia"/>
                <w:color w:val="000000"/>
                <w:sz w:val="21"/>
                <w:szCs w:val="21"/>
              </w:rPr>
              <w:t>信基金管理有限公司</w:t>
            </w:r>
          </w:p>
        </w:tc>
        <w:tc>
          <w:tcPr>
            <w:tcW w:w="542" w:type="pct"/>
            <w:vAlign w:val="center"/>
          </w:tcPr>
          <w:p w14:paraId="564D3AE6"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张小郭</w:t>
            </w:r>
          </w:p>
        </w:tc>
        <w:tc>
          <w:tcPr>
            <w:tcW w:w="1953" w:type="pct"/>
            <w:vAlign w:val="center"/>
          </w:tcPr>
          <w:p w14:paraId="6BD96018" w14:textId="77777777" w:rsidR="00A755E1" w:rsidRPr="0038047D" w:rsidRDefault="00000000">
            <w:pPr>
              <w:jc w:val="both"/>
              <w:rPr>
                <w:rFonts w:ascii="Times New Roman" w:eastAsiaTheme="minorEastAsia" w:hAnsi="Times New Roman"/>
                <w:color w:val="000000"/>
                <w:sz w:val="21"/>
                <w:szCs w:val="21"/>
              </w:rPr>
            </w:pPr>
            <w:proofErr w:type="gramStart"/>
            <w:r w:rsidRPr="0038047D">
              <w:rPr>
                <w:rFonts w:ascii="Times New Roman" w:eastAsiaTheme="minorEastAsia" w:hAnsi="Times New Roman" w:hint="eastAsia"/>
                <w:color w:val="000000"/>
                <w:sz w:val="21"/>
                <w:szCs w:val="21"/>
              </w:rPr>
              <w:t>创金合</w:t>
            </w:r>
            <w:proofErr w:type="gramEnd"/>
            <w:r w:rsidRPr="0038047D">
              <w:rPr>
                <w:rFonts w:ascii="Times New Roman" w:eastAsiaTheme="minorEastAsia" w:hAnsi="Times New Roman" w:hint="eastAsia"/>
                <w:color w:val="000000"/>
                <w:sz w:val="21"/>
                <w:szCs w:val="21"/>
              </w:rPr>
              <w:t>信</w:t>
            </w:r>
          </w:p>
        </w:tc>
      </w:tr>
      <w:tr w:rsidR="00A755E1" w:rsidRPr="004A3552" w14:paraId="1D046D97" w14:textId="77777777">
        <w:trPr>
          <w:trHeight w:val="817"/>
          <w:jc w:val="center"/>
        </w:trPr>
        <w:tc>
          <w:tcPr>
            <w:tcW w:w="480" w:type="pct"/>
            <w:vAlign w:val="center"/>
          </w:tcPr>
          <w:p w14:paraId="59F9750D"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刘笠</w:t>
            </w:r>
          </w:p>
        </w:tc>
        <w:tc>
          <w:tcPr>
            <w:tcW w:w="2025" w:type="pct"/>
            <w:vAlign w:val="center"/>
          </w:tcPr>
          <w:p w14:paraId="520C4CE3" w14:textId="77777777" w:rsidR="00A755E1" w:rsidRPr="0038047D" w:rsidRDefault="00000000">
            <w:pPr>
              <w:jc w:val="both"/>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华泰</w:t>
            </w:r>
            <w:proofErr w:type="gramStart"/>
            <w:r w:rsidRPr="0038047D">
              <w:rPr>
                <w:rFonts w:ascii="Times New Roman" w:eastAsiaTheme="minorEastAsia" w:hAnsi="Times New Roman" w:hint="eastAsia"/>
                <w:color w:val="000000"/>
                <w:sz w:val="21"/>
                <w:szCs w:val="21"/>
              </w:rPr>
              <w:t>保险资管</w:t>
            </w:r>
            <w:proofErr w:type="gramEnd"/>
          </w:p>
        </w:tc>
        <w:tc>
          <w:tcPr>
            <w:tcW w:w="542" w:type="pct"/>
            <w:vAlign w:val="center"/>
          </w:tcPr>
          <w:p w14:paraId="3CEE8026" w14:textId="77777777" w:rsidR="00A755E1" w:rsidRPr="0038047D" w:rsidRDefault="00000000">
            <w:pPr>
              <w:jc w:val="center"/>
              <w:rPr>
                <w:rFonts w:ascii="Times New Roman" w:eastAsiaTheme="minorEastAsia" w:hAnsi="Times New Roman"/>
                <w:color w:val="000000"/>
                <w:sz w:val="21"/>
                <w:szCs w:val="21"/>
              </w:rPr>
            </w:pPr>
            <w:proofErr w:type="gramStart"/>
            <w:r w:rsidRPr="0038047D">
              <w:rPr>
                <w:rFonts w:ascii="Times New Roman" w:eastAsiaTheme="minorEastAsia" w:hAnsi="Times New Roman" w:hint="eastAsia"/>
                <w:color w:val="000000"/>
                <w:sz w:val="21"/>
                <w:szCs w:val="21"/>
              </w:rPr>
              <w:t>赵栋</w:t>
            </w:r>
            <w:proofErr w:type="gramEnd"/>
          </w:p>
        </w:tc>
        <w:tc>
          <w:tcPr>
            <w:tcW w:w="1953" w:type="pct"/>
            <w:vAlign w:val="center"/>
          </w:tcPr>
          <w:p w14:paraId="24B709EC" w14:textId="77777777" w:rsidR="00A755E1" w:rsidRPr="0038047D" w:rsidRDefault="00000000">
            <w:pPr>
              <w:jc w:val="both"/>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青</w:t>
            </w:r>
            <w:proofErr w:type="gramStart"/>
            <w:r w:rsidRPr="0038047D">
              <w:rPr>
                <w:rFonts w:ascii="Times New Roman" w:eastAsiaTheme="minorEastAsia" w:hAnsi="Times New Roman" w:hint="eastAsia"/>
                <w:color w:val="000000"/>
                <w:sz w:val="21"/>
                <w:szCs w:val="21"/>
              </w:rPr>
              <w:t>骊</w:t>
            </w:r>
            <w:proofErr w:type="gramEnd"/>
            <w:r w:rsidRPr="0038047D">
              <w:rPr>
                <w:rFonts w:ascii="Times New Roman" w:eastAsiaTheme="minorEastAsia" w:hAnsi="Times New Roman" w:hint="eastAsia"/>
                <w:color w:val="000000"/>
                <w:sz w:val="21"/>
                <w:szCs w:val="21"/>
              </w:rPr>
              <w:t>投资</w:t>
            </w:r>
          </w:p>
        </w:tc>
      </w:tr>
      <w:tr w:rsidR="00A755E1" w:rsidRPr="004A3552" w14:paraId="12C6A224" w14:textId="77777777">
        <w:trPr>
          <w:trHeight w:val="817"/>
          <w:jc w:val="center"/>
        </w:trPr>
        <w:tc>
          <w:tcPr>
            <w:tcW w:w="480" w:type="pct"/>
            <w:vAlign w:val="center"/>
          </w:tcPr>
          <w:p w14:paraId="5DEDF1A3"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刘青林</w:t>
            </w:r>
          </w:p>
        </w:tc>
        <w:tc>
          <w:tcPr>
            <w:tcW w:w="2025" w:type="pct"/>
            <w:vAlign w:val="center"/>
          </w:tcPr>
          <w:p w14:paraId="0C5BD987" w14:textId="77777777" w:rsidR="00A755E1" w:rsidRPr="0038047D" w:rsidRDefault="00000000">
            <w:pPr>
              <w:jc w:val="both"/>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上海呈瑞投资管理有限公司</w:t>
            </w:r>
          </w:p>
        </w:tc>
        <w:tc>
          <w:tcPr>
            <w:tcW w:w="542" w:type="pct"/>
            <w:vAlign w:val="center"/>
          </w:tcPr>
          <w:p w14:paraId="3AB4C551"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钟明翰</w:t>
            </w:r>
          </w:p>
        </w:tc>
        <w:tc>
          <w:tcPr>
            <w:tcW w:w="1953" w:type="pct"/>
            <w:vAlign w:val="center"/>
          </w:tcPr>
          <w:p w14:paraId="440293E2" w14:textId="77777777" w:rsidR="00A755E1" w:rsidRPr="0038047D" w:rsidRDefault="00000000">
            <w:pPr>
              <w:jc w:val="both"/>
              <w:rPr>
                <w:rFonts w:ascii="Times New Roman" w:eastAsiaTheme="minorEastAsia" w:hAnsi="Times New Roman"/>
                <w:color w:val="000000"/>
                <w:sz w:val="21"/>
                <w:szCs w:val="21"/>
              </w:rPr>
            </w:pPr>
            <w:proofErr w:type="gramStart"/>
            <w:r w:rsidRPr="0038047D">
              <w:rPr>
                <w:rFonts w:ascii="Times New Roman" w:eastAsiaTheme="minorEastAsia" w:hAnsi="Times New Roman" w:hint="eastAsia"/>
                <w:color w:val="000000"/>
                <w:sz w:val="21"/>
                <w:szCs w:val="21"/>
              </w:rPr>
              <w:t>国泰海通</w:t>
            </w:r>
            <w:proofErr w:type="gramEnd"/>
          </w:p>
        </w:tc>
      </w:tr>
      <w:tr w:rsidR="00A755E1" w:rsidRPr="004A3552" w14:paraId="1D8B2688" w14:textId="77777777">
        <w:trPr>
          <w:trHeight w:val="817"/>
          <w:jc w:val="center"/>
        </w:trPr>
        <w:tc>
          <w:tcPr>
            <w:tcW w:w="480" w:type="pct"/>
            <w:vAlign w:val="center"/>
          </w:tcPr>
          <w:p w14:paraId="2B4D68C3" w14:textId="77777777" w:rsidR="00A755E1" w:rsidRPr="0038047D" w:rsidRDefault="00000000">
            <w:pPr>
              <w:jc w:val="center"/>
              <w:rPr>
                <w:rFonts w:ascii="Times New Roman" w:eastAsiaTheme="minorEastAsia" w:hAnsi="Times New Roman"/>
                <w:color w:val="000000"/>
                <w:sz w:val="21"/>
                <w:szCs w:val="21"/>
              </w:rPr>
            </w:pPr>
            <w:proofErr w:type="gramStart"/>
            <w:r w:rsidRPr="0038047D">
              <w:rPr>
                <w:rFonts w:ascii="Times New Roman" w:eastAsiaTheme="minorEastAsia" w:hAnsi="Times New Roman" w:hint="eastAsia"/>
                <w:color w:val="000000"/>
                <w:sz w:val="21"/>
                <w:szCs w:val="21"/>
              </w:rPr>
              <w:t>刘体劲</w:t>
            </w:r>
            <w:proofErr w:type="gramEnd"/>
          </w:p>
        </w:tc>
        <w:tc>
          <w:tcPr>
            <w:tcW w:w="2025" w:type="pct"/>
            <w:vAlign w:val="center"/>
          </w:tcPr>
          <w:p w14:paraId="53B8D6C8" w14:textId="77777777" w:rsidR="00A755E1" w:rsidRPr="0038047D" w:rsidRDefault="00000000">
            <w:pPr>
              <w:jc w:val="both"/>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野村东方国际证券有限公司</w:t>
            </w:r>
          </w:p>
        </w:tc>
        <w:tc>
          <w:tcPr>
            <w:tcW w:w="542" w:type="pct"/>
            <w:vAlign w:val="center"/>
          </w:tcPr>
          <w:p w14:paraId="75149D9B"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周昊</w:t>
            </w:r>
          </w:p>
        </w:tc>
        <w:tc>
          <w:tcPr>
            <w:tcW w:w="1953" w:type="pct"/>
            <w:vAlign w:val="center"/>
          </w:tcPr>
          <w:p w14:paraId="32EF332D" w14:textId="77777777" w:rsidR="00A755E1" w:rsidRPr="0038047D" w:rsidRDefault="00000000">
            <w:pPr>
              <w:jc w:val="both"/>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东兴基金</w:t>
            </w:r>
          </w:p>
        </w:tc>
      </w:tr>
      <w:tr w:rsidR="00A755E1" w:rsidRPr="004A3552" w14:paraId="55DA15DB" w14:textId="77777777">
        <w:trPr>
          <w:trHeight w:val="817"/>
          <w:jc w:val="center"/>
        </w:trPr>
        <w:tc>
          <w:tcPr>
            <w:tcW w:w="480" w:type="pct"/>
            <w:vAlign w:val="center"/>
          </w:tcPr>
          <w:p w14:paraId="6A1B1B29" w14:textId="77777777" w:rsidR="00A755E1" w:rsidRPr="0038047D" w:rsidRDefault="00000000">
            <w:pPr>
              <w:jc w:val="center"/>
              <w:rPr>
                <w:rFonts w:ascii="Times New Roman" w:eastAsiaTheme="minorEastAsia" w:hAnsi="Times New Roman"/>
                <w:color w:val="000000"/>
                <w:sz w:val="21"/>
                <w:szCs w:val="21"/>
              </w:rPr>
            </w:pPr>
            <w:proofErr w:type="gramStart"/>
            <w:r w:rsidRPr="0038047D">
              <w:rPr>
                <w:rFonts w:ascii="Times New Roman" w:eastAsiaTheme="minorEastAsia" w:hAnsi="Times New Roman" w:hint="eastAsia"/>
                <w:color w:val="000000"/>
                <w:sz w:val="21"/>
                <w:szCs w:val="21"/>
              </w:rPr>
              <w:t>马嘉程</w:t>
            </w:r>
            <w:proofErr w:type="gramEnd"/>
          </w:p>
        </w:tc>
        <w:tc>
          <w:tcPr>
            <w:tcW w:w="2025" w:type="pct"/>
            <w:vAlign w:val="center"/>
          </w:tcPr>
          <w:p w14:paraId="2CEDF346" w14:textId="77777777" w:rsidR="00A755E1" w:rsidRPr="0038047D" w:rsidRDefault="00000000">
            <w:pPr>
              <w:jc w:val="both"/>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西南证券</w:t>
            </w:r>
          </w:p>
        </w:tc>
        <w:tc>
          <w:tcPr>
            <w:tcW w:w="542" w:type="pct"/>
            <w:vAlign w:val="center"/>
          </w:tcPr>
          <w:p w14:paraId="3F9A962D" w14:textId="77777777" w:rsidR="00A755E1" w:rsidRPr="0038047D" w:rsidRDefault="00000000">
            <w:pPr>
              <w:jc w:val="center"/>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朱宏达</w:t>
            </w:r>
          </w:p>
        </w:tc>
        <w:tc>
          <w:tcPr>
            <w:tcW w:w="1953" w:type="pct"/>
            <w:vAlign w:val="center"/>
          </w:tcPr>
          <w:p w14:paraId="28801CB5" w14:textId="77777777" w:rsidR="00A755E1" w:rsidRPr="0038047D" w:rsidRDefault="00000000">
            <w:pPr>
              <w:jc w:val="both"/>
              <w:rPr>
                <w:rFonts w:ascii="Times New Roman" w:eastAsiaTheme="minorEastAsia" w:hAnsi="Times New Roman"/>
                <w:color w:val="000000"/>
                <w:sz w:val="21"/>
                <w:szCs w:val="21"/>
              </w:rPr>
            </w:pPr>
            <w:r w:rsidRPr="0038047D">
              <w:rPr>
                <w:rFonts w:ascii="Times New Roman" w:eastAsiaTheme="minorEastAsia" w:hAnsi="Times New Roman" w:hint="eastAsia"/>
                <w:color w:val="000000"/>
                <w:sz w:val="21"/>
                <w:szCs w:val="21"/>
              </w:rPr>
              <w:t>Willing Capital Management Limited</w:t>
            </w:r>
          </w:p>
        </w:tc>
      </w:tr>
    </w:tbl>
    <w:p w14:paraId="543258E1" w14:textId="77777777" w:rsidR="00A755E1" w:rsidRPr="004A3552" w:rsidRDefault="00A755E1">
      <w:pPr>
        <w:widowControl/>
        <w:autoSpaceDE/>
        <w:autoSpaceDN/>
        <w:rPr>
          <w:rFonts w:ascii="Times New Roman" w:eastAsia="宋体" w:hAnsi="Times New Roman" w:cs="Times New Roman"/>
          <w:lang w:val="en-US"/>
        </w:rPr>
      </w:pPr>
    </w:p>
    <w:sectPr w:rsidR="00A755E1" w:rsidRPr="004A3552">
      <w:footerReference w:type="default" r:id="rId7"/>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FAC01" w14:textId="77777777" w:rsidR="00BF2D61" w:rsidRDefault="00BF2D61">
      <w:pPr>
        <w:rPr>
          <w:rFonts w:hint="eastAsia"/>
        </w:rPr>
      </w:pPr>
      <w:r>
        <w:separator/>
      </w:r>
    </w:p>
  </w:endnote>
  <w:endnote w:type="continuationSeparator" w:id="0">
    <w:p w14:paraId="65BB40E0" w14:textId="77777777" w:rsidR="00BF2D61" w:rsidRDefault="00BF2D6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E0000AFF" w:usb1="00007843" w:usb2="00000001" w:usb3="00000000" w:csb0="400001BF" w:csb1="DFF7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4D01" w14:textId="77777777" w:rsidR="00A755E1" w:rsidRDefault="00000000">
    <w:pPr>
      <w:pStyle w:val="a5"/>
      <w:rPr>
        <w:rFonts w:hint="eastAsia"/>
      </w:rPr>
    </w:pPr>
    <w:r>
      <w:rPr>
        <w:noProof/>
      </w:rPr>
      <mc:AlternateContent>
        <mc:Choice Requires="wps">
          <w:drawing>
            <wp:anchor distT="0" distB="0" distL="114300" distR="114300" simplePos="0" relativeHeight="251659264" behindDoc="0" locked="0" layoutInCell="1" allowOverlap="1" wp14:anchorId="5806D334" wp14:editId="18E168E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21486" w14:textId="77777777" w:rsidR="00A755E1" w:rsidRDefault="00000000">
                          <w:pPr>
                            <w:pStyle w:val="a5"/>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06D33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0621486" w14:textId="77777777" w:rsidR="00A755E1" w:rsidRDefault="00000000">
                    <w:pPr>
                      <w:pStyle w:val="a5"/>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7777E" w14:textId="77777777" w:rsidR="00BF2D61" w:rsidRDefault="00BF2D61">
      <w:pPr>
        <w:rPr>
          <w:rFonts w:hint="eastAsia"/>
        </w:rPr>
      </w:pPr>
      <w:r>
        <w:separator/>
      </w:r>
    </w:p>
  </w:footnote>
  <w:footnote w:type="continuationSeparator" w:id="0">
    <w:p w14:paraId="1EE8E65C" w14:textId="77777777" w:rsidR="00BF2D61" w:rsidRDefault="00BF2D6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dkNzI0Y2I3MDRiZDdlZDE5ZjgxNzE3ODU0MDI4OTMifQ=="/>
  </w:docVars>
  <w:rsids>
    <w:rsidRoot w:val="0014355D"/>
    <w:rsid w:val="8B6F55A0"/>
    <w:rsid w:val="9F7755D7"/>
    <w:rsid w:val="9FB99F17"/>
    <w:rsid w:val="BFB51836"/>
    <w:rsid w:val="CBFFC347"/>
    <w:rsid w:val="CFB60A53"/>
    <w:rsid w:val="D6BFAFC5"/>
    <w:rsid w:val="D8EEDCF9"/>
    <w:rsid w:val="DAF5FBDA"/>
    <w:rsid w:val="DF7F9B9D"/>
    <w:rsid w:val="DF9B77ED"/>
    <w:rsid w:val="DFC749F2"/>
    <w:rsid w:val="E2DF073A"/>
    <w:rsid w:val="E73EE684"/>
    <w:rsid w:val="E7BF7A8D"/>
    <w:rsid w:val="EAF1E8E8"/>
    <w:rsid w:val="ECFF1F21"/>
    <w:rsid w:val="EEEF6429"/>
    <w:rsid w:val="F4F3B349"/>
    <w:rsid w:val="F7FEF0C0"/>
    <w:rsid w:val="F7FF4248"/>
    <w:rsid w:val="F9FEA86C"/>
    <w:rsid w:val="FA7BC11A"/>
    <w:rsid w:val="FAF797A7"/>
    <w:rsid w:val="FB5C56B5"/>
    <w:rsid w:val="FCBAD3B7"/>
    <w:rsid w:val="FE7781D1"/>
    <w:rsid w:val="FEC378E8"/>
    <w:rsid w:val="FEFFDAF7"/>
    <w:rsid w:val="FF3D4D6F"/>
    <w:rsid w:val="FF7C82AF"/>
    <w:rsid w:val="FF7F6C4F"/>
    <w:rsid w:val="FFBEC72E"/>
    <w:rsid w:val="FFBF8898"/>
    <w:rsid w:val="FFDA9B93"/>
    <w:rsid w:val="FFDB2128"/>
    <w:rsid w:val="FFDBA928"/>
    <w:rsid w:val="FFFD8D96"/>
    <w:rsid w:val="000031E0"/>
    <w:rsid w:val="00014BCD"/>
    <w:rsid w:val="00022149"/>
    <w:rsid w:val="00030543"/>
    <w:rsid w:val="00032A0C"/>
    <w:rsid w:val="0003700B"/>
    <w:rsid w:val="000450C4"/>
    <w:rsid w:val="00054AA4"/>
    <w:rsid w:val="00057D50"/>
    <w:rsid w:val="00072E8B"/>
    <w:rsid w:val="00083FF5"/>
    <w:rsid w:val="000927AE"/>
    <w:rsid w:val="00095BAD"/>
    <w:rsid w:val="000B155B"/>
    <w:rsid w:val="000B705E"/>
    <w:rsid w:val="000C4B4B"/>
    <w:rsid w:val="000C705A"/>
    <w:rsid w:val="001004D7"/>
    <w:rsid w:val="00111A14"/>
    <w:rsid w:val="0012035C"/>
    <w:rsid w:val="00127955"/>
    <w:rsid w:val="001411E8"/>
    <w:rsid w:val="0014355D"/>
    <w:rsid w:val="0014493D"/>
    <w:rsid w:val="0015341B"/>
    <w:rsid w:val="0015611C"/>
    <w:rsid w:val="00156E5C"/>
    <w:rsid w:val="00163992"/>
    <w:rsid w:val="001678C8"/>
    <w:rsid w:val="00172844"/>
    <w:rsid w:val="0017367F"/>
    <w:rsid w:val="001776CB"/>
    <w:rsid w:val="0018408F"/>
    <w:rsid w:val="00185AB9"/>
    <w:rsid w:val="001924DF"/>
    <w:rsid w:val="00197034"/>
    <w:rsid w:val="001A42D1"/>
    <w:rsid w:val="001C4C58"/>
    <w:rsid w:val="001F207D"/>
    <w:rsid w:val="002123BA"/>
    <w:rsid w:val="00231904"/>
    <w:rsid w:val="00234638"/>
    <w:rsid w:val="00237A58"/>
    <w:rsid w:val="00237C9C"/>
    <w:rsid w:val="00253366"/>
    <w:rsid w:val="0025442C"/>
    <w:rsid w:val="002576F7"/>
    <w:rsid w:val="002608C1"/>
    <w:rsid w:val="00270BAE"/>
    <w:rsid w:val="00280455"/>
    <w:rsid w:val="00287A8D"/>
    <w:rsid w:val="00292B9D"/>
    <w:rsid w:val="002A14D2"/>
    <w:rsid w:val="002A3FC1"/>
    <w:rsid w:val="002A79C4"/>
    <w:rsid w:val="002B0EDE"/>
    <w:rsid w:val="002B7A31"/>
    <w:rsid w:val="002C0E02"/>
    <w:rsid w:val="002C2DC8"/>
    <w:rsid w:val="002C4284"/>
    <w:rsid w:val="002F0A96"/>
    <w:rsid w:val="002F1159"/>
    <w:rsid w:val="003053B5"/>
    <w:rsid w:val="00305618"/>
    <w:rsid w:val="00306908"/>
    <w:rsid w:val="00327738"/>
    <w:rsid w:val="00332789"/>
    <w:rsid w:val="00332A95"/>
    <w:rsid w:val="00336945"/>
    <w:rsid w:val="003770DC"/>
    <w:rsid w:val="0038047D"/>
    <w:rsid w:val="00382EA1"/>
    <w:rsid w:val="003963E4"/>
    <w:rsid w:val="003A3335"/>
    <w:rsid w:val="003B36E7"/>
    <w:rsid w:val="003C659D"/>
    <w:rsid w:val="003D08B5"/>
    <w:rsid w:val="003D6147"/>
    <w:rsid w:val="003D6151"/>
    <w:rsid w:val="003E7AC9"/>
    <w:rsid w:val="003F09A4"/>
    <w:rsid w:val="003F1771"/>
    <w:rsid w:val="003F329F"/>
    <w:rsid w:val="003F736C"/>
    <w:rsid w:val="00400990"/>
    <w:rsid w:val="00406E33"/>
    <w:rsid w:val="00407419"/>
    <w:rsid w:val="00411778"/>
    <w:rsid w:val="00436FDD"/>
    <w:rsid w:val="00437101"/>
    <w:rsid w:val="00445B22"/>
    <w:rsid w:val="004518D9"/>
    <w:rsid w:val="00460ABD"/>
    <w:rsid w:val="00461C23"/>
    <w:rsid w:val="00461DFB"/>
    <w:rsid w:val="004622A2"/>
    <w:rsid w:val="00481405"/>
    <w:rsid w:val="00482D88"/>
    <w:rsid w:val="00485646"/>
    <w:rsid w:val="004862E3"/>
    <w:rsid w:val="00487414"/>
    <w:rsid w:val="00491CA5"/>
    <w:rsid w:val="004A3552"/>
    <w:rsid w:val="004C6E91"/>
    <w:rsid w:val="004E0FEB"/>
    <w:rsid w:val="004E32AB"/>
    <w:rsid w:val="00512F31"/>
    <w:rsid w:val="0052277F"/>
    <w:rsid w:val="00524CC3"/>
    <w:rsid w:val="00526B0C"/>
    <w:rsid w:val="00532D5C"/>
    <w:rsid w:val="0054575A"/>
    <w:rsid w:val="0054594E"/>
    <w:rsid w:val="00546CA4"/>
    <w:rsid w:val="0055097F"/>
    <w:rsid w:val="00554016"/>
    <w:rsid w:val="005547BF"/>
    <w:rsid w:val="00555109"/>
    <w:rsid w:val="005640AB"/>
    <w:rsid w:val="00571B4C"/>
    <w:rsid w:val="00571BF8"/>
    <w:rsid w:val="0058125D"/>
    <w:rsid w:val="00584B61"/>
    <w:rsid w:val="0058738B"/>
    <w:rsid w:val="00590441"/>
    <w:rsid w:val="005A68A0"/>
    <w:rsid w:val="005A7282"/>
    <w:rsid w:val="005B0B4D"/>
    <w:rsid w:val="005C078A"/>
    <w:rsid w:val="005D588D"/>
    <w:rsid w:val="005E0BDA"/>
    <w:rsid w:val="005F268D"/>
    <w:rsid w:val="005F6B92"/>
    <w:rsid w:val="00602C34"/>
    <w:rsid w:val="00631392"/>
    <w:rsid w:val="0066126A"/>
    <w:rsid w:val="0067306D"/>
    <w:rsid w:val="006A3E78"/>
    <w:rsid w:val="006A6EFA"/>
    <w:rsid w:val="006B015C"/>
    <w:rsid w:val="006B36D6"/>
    <w:rsid w:val="006E7780"/>
    <w:rsid w:val="006E7AC3"/>
    <w:rsid w:val="006F0AD1"/>
    <w:rsid w:val="006F5090"/>
    <w:rsid w:val="006F5A25"/>
    <w:rsid w:val="00711F2C"/>
    <w:rsid w:val="00713DA3"/>
    <w:rsid w:val="00714384"/>
    <w:rsid w:val="00716314"/>
    <w:rsid w:val="0073368B"/>
    <w:rsid w:val="00734A6C"/>
    <w:rsid w:val="00736437"/>
    <w:rsid w:val="00744F78"/>
    <w:rsid w:val="007500A0"/>
    <w:rsid w:val="00755BA3"/>
    <w:rsid w:val="007571BD"/>
    <w:rsid w:val="00757C08"/>
    <w:rsid w:val="0076215D"/>
    <w:rsid w:val="00762EF5"/>
    <w:rsid w:val="0078068B"/>
    <w:rsid w:val="0078408A"/>
    <w:rsid w:val="007A5372"/>
    <w:rsid w:val="007B41D8"/>
    <w:rsid w:val="007D47EF"/>
    <w:rsid w:val="007E0F27"/>
    <w:rsid w:val="007F2978"/>
    <w:rsid w:val="0081477A"/>
    <w:rsid w:val="00817A51"/>
    <w:rsid w:val="0082026E"/>
    <w:rsid w:val="00822597"/>
    <w:rsid w:val="00824948"/>
    <w:rsid w:val="008354CF"/>
    <w:rsid w:val="008432CA"/>
    <w:rsid w:val="0084581E"/>
    <w:rsid w:val="0086248A"/>
    <w:rsid w:val="008647E7"/>
    <w:rsid w:val="00872F73"/>
    <w:rsid w:val="0087340A"/>
    <w:rsid w:val="008811AD"/>
    <w:rsid w:val="00881DBB"/>
    <w:rsid w:val="008918F3"/>
    <w:rsid w:val="0089670E"/>
    <w:rsid w:val="008A5A9B"/>
    <w:rsid w:val="008A5EF1"/>
    <w:rsid w:val="008A6405"/>
    <w:rsid w:val="008A73FE"/>
    <w:rsid w:val="008C0EE2"/>
    <w:rsid w:val="008C5BCE"/>
    <w:rsid w:val="008D5F56"/>
    <w:rsid w:val="008E592B"/>
    <w:rsid w:val="008E7F7A"/>
    <w:rsid w:val="008F5ECC"/>
    <w:rsid w:val="00903133"/>
    <w:rsid w:val="00907C91"/>
    <w:rsid w:val="009118C4"/>
    <w:rsid w:val="009236C7"/>
    <w:rsid w:val="00925A71"/>
    <w:rsid w:val="0093090E"/>
    <w:rsid w:val="009319F0"/>
    <w:rsid w:val="00934033"/>
    <w:rsid w:val="0093679B"/>
    <w:rsid w:val="00937E4B"/>
    <w:rsid w:val="0094248C"/>
    <w:rsid w:val="00945672"/>
    <w:rsid w:val="00955BDF"/>
    <w:rsid w:val="00956103"/>
    <w:rsid w:val="00970AA1"/>
    <w:rsid w:val="00986C2B"/>
    <w:rsid w:val="00992B89"/>
    <w:rsid w:val="0099775E"/>
    <w:rsid w:val="009B3E73"/>
    <w:rsid w:val="009B3F79"/>
    <w:rsid w:val="009C2AF7"/>
    <w:rsid w:val="009C31B2"/>
    <w:rsid w:val="009C5506"/>
    <w:rsid w:val="009D287A"/>
    <w:rsid w:val="009D32E7"/>
    <w:rsid w:val="009D4FAA"/>
    <w:rsid w:val="009E1E3C"/>
    <w:rsid w:val="009F1986"/>
    <w:rsid w:val="00A03736"/>
    <w:rsid w:val="00A059F9"/>
    <w:rsid w:val="00A13438"/>
    <w:rsid w:val="00A21DA8"/>
    <w:rsid w:val="00A2245A"/>
    <w:rsid w:val="00A2263B"/>
    <w:rsid w:val="00A23932"/>
    <w:rsid w:val="00A31D1F"/>
    <w:rsid w:val="00A62590"/>
    <w:rsid w:val="00A625AC"/>
    <w:rsid w:val="00A63AA4"/>
    <w:rsid w:val="00A6443F"/>
    <w:rsid w:val="00A755E1"/>
    <w:rsid w:val="00A85FAC"/>
    <w:rsid w:val="00A879C5"/>
    <w:rsid w:val="00A95FE7"/>
    <w:rsid w:val="00AB4AD1"/>
    <w:rsid w:val="00AC6016"/>
    <w:rsid w:val="00AC60ED"/>
    <w:rsid w:val="00AC62F0"/>
    <w:rsid w:val="00AD19F7"/>
    <w:rsid w:val="00AD215B"/>
    <w:rsid w:val="00AD33D5"/>
    <w:rsid w:val="00AE6309"/>
    <w:rsid w:val="00AF5BF2"/>
    <w:rsid w:val="00AF7D87"/>
    <w:rsid w:val="00B03481"/>
    <w:rsid w:val="00B03CA5"/>
    <w:rsid w:val="00B05937"/>
    <w:rsid w:val="00B10F73"/>
    <w:rsid w:val="00B11462"/>
    <w:rsid w:val="00B159EB"/>
    <w:rsid w:val="00B367D1"/>
    <w:rsid w:val="00B45E33"/>
    <w:rsid w:val="00B47C91"/>
    <w:rsid w:val="00B6386A"/>
    <w:rsid w:val="00B64B86"/>
    <w:rsid w:val="00B66D47"/>
    <w:rsid w:val="00B70160"/>
    <w:rsid w:val="00B71AD2"/>
    <w:rsid w:val="00B77CD4"/>
    <w:rsid w:val="00B812FF"/>
    <w:rsid w:val="00B90D9F"/>
    <w:rsid w:val="00B97356"/>
    <w:rsid w:val="00BA2859"/>
    <w:rsid w:val="00BC2FE6"/>
    <w:rsid w:val="00BD0234"/>
    <w:rsid w:val="00BD3FE5"/>
    <w:rsid w:val="00BD4073"/>
    <w:rsid w:val="00BD72EA"/>
    <w:rsid w:val="00BE1E94"/>
    <w:rsid w:val="00BE50D4"/>
    <w:rsid w:val="00BF2D61"/>
    <w:rsid w:val="00BF6173"/>
    <w:rsid w:val="00C101AB"/>
    <w:rsid w:val="00C16687"/>
    <w:rsid w:val="00C1796D"/>
    <w:rsid w:val="00C22429"/>
    <w:rsid w:val="00C3700A"/>
    <w:rsid w:val="00C501C2"/>
    <w:rsid w:val="00C517F3"/>
    <w:rsid w:val="00C53869"/>
    <w:rsid w:val="00C63F2F"/>
    <w:rsid w:val="00C66B22"/>
    <w:rsid w:val="00C73EE7"/>
    <w:rsid w:val="00C75509"/>
    <w:rsid w:val="00C76534"/>
    <w:rsid w:val="00C84276"/>
    <w:rsid w:val="00C909F9"/>
    <w:rsid w:val="00C9165D"/>
    <w:rsid w:val="00C95E6F"/>
    <w:rsid w:val="00C9753D"/>
    <w:rsid w:val="00CB2844"/>
    <w:rsid w:val="00CB7A3D"/>
    <w:rsid w:val="00CD5F6D"/>
    <w:rsid w:val="00CE3FB7"/>
    <w:rsid w:val="00CE6B2A"/>
    <w:rsid w:val="00CF1ABE"/>
    <w:rsid w:val="00D05C77"/>
    <w:rsid w:val="00D11756"/>
    <w:rsid w:val="00D117D2"/>
    <w:rsid w:val="00D16ADB"/>
    <w:rsid w:val="00D278BC"/>
    <w:rsid w:val="00D373B4"/>
    <w:rsid w:val="00D46DC6"/>
    <w:rsid w:val="00D552E0"/>
    <w:rsid w:val="00D72217"/>
    <w:rsid w:val="00D72311"/>
    <w:rsid w:val="00D81424"/>
    <w:rsid w:val="00D83773"/>
    <w:rsid w:val="00D91681"/>
    <w:rsid w:val="00D9480B"/>
    <w:rsid w:val="00D9597A"/>
    <w:rsid w:val="00D95E7F"/>
    <w:rsid w:val="00D96BE2"/>
    <w:rsid w:val="00DD0643"/>
    <w:rsid w:val="00DD72D7"/>
    <w:rsid w:val="00DF37C2"/>
    <w:rsid w:val="00DF404A"/>
    <w:rsid w:val="00E0418C"/>
    <w:rsid w:val="00E15EA7"/>
    <w:rsid w:val="00E1626E"/>
    <w:rsid w:val="00E44D74"/>
    <w:rsid w:val="00E51106"/>
    <w:rsid w:val="00E565F9"/>
    <w:rsid w:val="00E62895"/>
    <w:rsid w:val="00E74F4B"/>
    <w:rsid w:val="00E77679"/>
    <w:rsid w:val="00E82793"/>
    <w:rsid w:val="00E916E8"/>
    <w:rsid w:val="00E93700"/>
    <w:rsid w:val="00E95E17"/>
    <w:rsid w:val="00E95EEE"/>
    <w:rsid w:val="00EA2DBF"/>
    <w:rsid w:val="00EA6377"/>
    <w:rsid w:val="00EA6ACE"/>
    <w:rsid w:val="00EB279A"/>
    <w:rsid w:val="00EB352D"/>
    <w:rsid w:val="00EB5C8A"/>
    <w:rsid w:val="00ED1E04"/>
    <w:rsid w:val="00ED511C"/>
    <w:rsid w:val="00EE17D9"/>
    <w:rsid w:val="00EE40DF"/>
    <w:rsid w:val="00EE5FDD"/>
    <w:rsid w:val="00F0054C"/>
    <w:rsid w:val="00F00D7D"/>
    <w:rsid w:val="00F01B03"/>
    <w:rsid w:val="00F0580E"/>
    <w:rsid w:val="00F13698"/>
    <w:rsid w:val="00F2364F"/>
    <w:rsid w:val="00F26DF4"/>
    <w:rsid w:val="00F32A33"/>
    <w:rsid w:val="00F741B9"/>
    <w:rsid w:val="00F7718B"/>
    <w:rsid w:val="00FB4147"/>
    <w:rsid w:val="00FB53BF"/>
    <w:rsid w:val="00FB5DEF"/>
    <w:rsid w:val="00FD028C"/>
    <w:rsid w:val="00FE5874"/>
    <w:rsid w:val="00FF522F"/>
    <w:rsid w:val="01243A97"/>
    <w:rsid w:val="0182421C"/>
    <w:rsid w:val="02AC71A7"/>
    <w:rsid w:val="0371289F"/>
    <w:rsid w:val="05882122"/>
    <w:rsid w:val="06A1119A"/>
    <w:rsid w:val="087263CA"/>
    <w:rsid w:val="08D94400"/>
    <w:rsid w:val="09FC30DE"/>
    <w:rsid w:val="0B9F4A32"/>
    <w:rsid w:val="0C022D96"/>
    <w:rsid w:val="0CD3246D"/>
    <w:rsid w:val="0CE67871"/>
    <w:rsid w:val="10C72BB8"/>
    <w:rsid w:val="11E608FC"/>
    <w:rsid w:val="143F6C24"/>
    <w:rsid w:val="16704C38"/>
    <w:rsid w:val="196F94E4"/>
    <w:rsid w:val="19CF1023"/>
    <w:rsid w:val="1A8553C8"/>
    <w:rsid w:val="1B195BAC"/>
    <w:rsid w:val="1B7BBA49"/>
    <w:rsid w:val="1D772334"/>
    <w:rsid w:val="1DE9C110"/>
    <w:rsid w:val="1E1447F6"/>
    <w:rsid w:val="1EFFEF2F"/>
    <w:rsid w:val="1F98592E"/>
    <w:rsid w:val="20EB0DA9"/>
    <w:rsid w:val="22124DF5"/>
    <w:rsid w:val="23402B4E"/>
    <w:rsid w:val="23D076B0"/>
    <w:rsid w:val="244F3DFB"/>
    <w:rsid w:val="25304D52"/>
    <w:rsid w:val="28EC7084"/>
    <w:rsid w:val="2B822FEC"/>
    <w:rsid w:val="2C7217DF"/>
    <w:rsid w:val="2DA90D03"/>
    <w:rsid w:val="2DFD4901"/>
    <w:rsid w:val="307033F9"/>
    <w:rsid w:val="30B428E0"/>
    <w:rsid w:val="30BC7436"/>
    <w:rsid w:val="31AE59E5"/>
    <w:rsid w:val="344E53F5"/>
    <w:rsid w:val="36866ACE"/>
    <w:rsid w:val="37FFB41E"/>
    <w:rsid w:val="39624003"/>
    <w:rsid w:val="3A522186"/>
    <w:rsid w:val="3A652BE9"/>
    <w:rsid w:val="3ABC017B"/>
    <w:rsid w:val="3BEF0A8A"/>
    <w:rsid w:val="3C9055B8"/>
    <w:rsid w:val="3DF5589F"/>
    <w:rsid w:val="3DFF416C"/>
    <w:rsid w:val="3FBD75E9"/>
    <w:rsid w:val="40984D90"/>
    <w:rsid w:val="410018BF"/>
    <w:rsid w:val="41F86548"/>
    <w:rsid w:val="42582D12"/>
    <w:rsid w:val="43AD4526"/>
    <w:rsid w:val="441860EF"/>
    <w:rsid w:val="44906321"/>
    <w:rsid w:val="48B41C45"/>
    <w:rsid w:val="49A21C7A"/>
    <w:rsid w:val="4A812BF5"/>
    <w:rsid w:val="4DB42C95"/>
    <w:rsid w:val="4DCA6648"/>
    <w:rsid w:val="4E8B4EF7"/>
    <w:rsid w:val="4EE91A54"/>
    <w:rsid w:val="513C1277"/>
    <w:rsid w:val="546C0FA3"/>
    <w:rsid w:val="54B83EAB"/>
    <w:rsid w:val="54BD53C9"/>
    <w:rsid w:val="582901C7"/>
    <w:rsid w:val="599172C2"/>
    <w:rsid w:val="5A44578C"/>
    <w:rsid w:val="5BFFB280"/>
    <w:rsid w:val="5C1271C4"/>
    <w:rsid w:val="5F76D95B"/>
    <w:rsid w:val="5F8F2925"/>
    <w:rsid w:val="5FA97E40"/>
    <w:rsid w:val="60F54AAD"/>
    <w:rsid w:val="60FB1AAF"/>
    <w:rsid w:val="610808F6"/>
    <w:rsid w:val="614E7C1B"/>
    <w:rsid w:val="62F4F866"/>
    <w:rsid w:val="64FD1B99"/>
    <w:rsid w:val="64FF0C55"/>
    <w:rsid w:val="65A92D3E"/>
    <w:rsid w:val="660456A8"/>
    <w:rsid w:val="6670387A"/>
    <w:rsid w:val="667C7848"/>
    <w:rsid w:val="66E7638C"/>
    <w:rsid w:val="69344C1E"/>
    <w:rsid w:val="6AFA2A24"/>
    <w:rsid w:val="6BAC3191"/>
    <w:rsid w:val="6D6BC133"/>
    <w:rsid w:val="6F0B3B1D"/>
    <w:rsid w:val="6F3A4D3D"/>
    <w:rsid w:val="7109071B"/>
    <w:rsid w:val="71B23A1F"/>
    <w:rsid w:val="72D2660D"/>
    <w:rsid w:val="73ABB769"/>
    <w:rsid w:val="74E26B2F"/>
    <w:rsid w:val="74F33324"/>
    <w:rsid w:val="76506F25"/>
    <w:rsid w:val="76533629"/>
    <w:rsid w:val="769E63B5"/>
    <w:rsid w:val="76D049B2"/>
    <w:rsid w:val="76F33C4E"/>
    <w:rsid w:val="778D1767"/>
    <w:rsid w:val="77FF9A61"/>
    <w:rsid w:val="798F0519"/>
    <w:rsid w:val="7B5D07B5"/>
    <w:rsid w:val="7EBB3ECD"/>
    <w:rsid w:val="7ED41A08"/>
    <w:rsid w:val="7F7A6E7D"/>
    <w:rsid w:val="7F7AB7F9"/>
    <w:rsid w:val="7F97FCDE"/>
    <w:rsid w:val="7FA27C5D"/>
    <w:rsid w:val="7FBEFFF8"/>
    <w:rsid w:val="7FFF6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7F344"/>
  <w15:docId w15:val="{2C06ACD4-FDD8-42C0-8679-52DE2DC0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link w:val="10"/>
    <w:autoRedefine/>
    <w:uiPriority w:val="9"/>
    <w:qFormat/>
    <w:pPr>
      <w:widowControl/>
      <w:spacing w:before="100" w:beforeAutospacing="1" w:after="100" w:afterAutospacing="1"/>
      <w:outlineLvl w:val="0"/>
    </w:pPr>
    <w:rPr>
      <w:rFonts w:ascii="宋体" w:eastAsia="宋体" w:hAnsi="宋体" w:cs="宋体"/>
      <w:b/>
      <w:bCs/>
      <w:kern w:val="36"/>
      <w:sz w:val="48"/>
      <w:szCs w:val="48"/>
    </w:rPr>
  </w:style>
  <w:style w:type="paragraph" w:styleId="2">
    <w:name w:val="heading 2"/>
    <w:basedOn w:val="a"/>
    <w:next w:val="a"/>
    <w:link w:val="20"/>
    <w:autoRedefine/>
    <w:uiPriority w:val="9"/>
    <w:qFormat/>
    <w:pPr>
      <w:widowControl/>
      <w:spacing w:before="100" w:beforeAutospacing="1" w:after="100" w:afterAutospacing="1"/>
      <w:outlineLvl w:val="1"/>
    </w:pPr>
    <w:rPr>
      <w:rFonts w:ascii="宋体" w:eastAsia="宋体" w:hAnsi="宋体" w:cs="宋体"/>
      <w:b/>
      <w:bCs/>
      <w:sz w:val="36"/>
      <w:szCs w:val="36"/>
    </w:rPr>
  </w:style>
  <w:style w:type="paragraph" w:styleId="3">
    <w:name w:val="heading 3"/>
    <w:basedOn w:val="a"/>
    <w:next w:val="a"/>
    <w:link w:val="30"/>
    <w:autoRedefine/>
    <w:uiPriority w:val="9"/>
    <w:qFormat/>
    <w:pPr>
      <w:widowControl/>
      <w:spacing w:before="100" w:beforeAutospacing="1" w:after="100" w:afterAutospacing="1"/>
      <w:outlineLvl w:val="2"/>
    </w:pPr>
    <w:rPr>
      <w:rFonts w:ascii="宋体" w:eastAsia="宋体" w:hAnsi="宋体" w:cs="宋体"/>
      <w:b/>
      <w:bCs/>
      <w:sz w:val="27"/>
      <w:szCs w:val="27"/>
    </w:rPr>
  </w:style>
  <w:style w:type="paragraph" w:styleId="7">
    <w:name w:val="heading 7"/>
    <w:basedOn w:val="a"/>
    <w:next w:val="a"/>
    <w:link w:val="70"/>
    <w:uiPriority w:val="9"/>
    <w:qFormat/>
    <w:pPr>
      <w:widowControl/>
      <w:spacing w:after="240"/>
      <w:ind w:firstLine="420"/>
      <w:outlineLvl w:val="6"/>
    </w:pPr>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unhideWhenUsed/>
    <w:qFormat/>
    <w:pPr>
      <w:widowControl/>
      <w:autoSpaceDE/>
      <w:autoSpaceDN/>
      <w:spacing w:before="100" w:beforeAutospacing="1" w:after="100" w:afterAutospacing="1"/>
    </w:pPr>
    <w:rPr>
      <w:rFonts w:ascii="宋体" w:eastAsia="宋体" w:hAnsi="宋体" w:cs="宋体"/>
      <w:sz w:val="24"/>
      <w:szCs w:val="24"/>
      <w:lang w:val="en-US" w:bidi="ar-SA"/>
    </w:rPr>
  </w:style>
  <w:style w:type="paragraph" w:styleId="aa">
    <w:name w:val="annotation subject"/>
    <w:basedOn w:val="a3"/>
    <w:next w:val="a3"/>
    <w:link w:val="ab"/>
    <w:uiPriority w:val="99"/>
    <w:semiHidden/>
    <w:unhideWhenUsed/>
    <w:rPr>
      <w:b/>
      <w:bCs/>
    </w:rPr>
  </w:style>
  <w:style w:type="table" w:styleId="ac">
    <w:name w:val="Table Grid"/>
    <w:basedOn w:val="a1"/>
    <w:autoRedefine/>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uiPriority w:val="22"/>
    <w:qFormat/>
    <w:rPr>
      <w:b/>
      <w:bCs/>
    </w:rPr>
  </w:style>
  <w:style w:type="character" w:styleId="ae">
    <w:name w:val="Hyperlink"/>
    <w:basedOn w:val="a0"/>
    <w:autoRedefine/>
    <w:uiPriority w:val="99"/>
    <w:unhideWhenUsed/>
    <w:qFormat/>
    <w:rPr>
      <w:color w:val="0563C1" w:themeColor="hyperlink"/>
      <w:u w:val="single"/>
    </w:rPr>
  </w:style>
  <w:style w:type="character" w:styleId="af">
    <w:name w:val="annotation reference"/>
    <w:basedOn w:val="a0"/>
    <w:uiPriority w:val="99"/>
    <w:semiHidden/>
    <w:unhideWhenUsed/>
    <w:rPr>
      <w:sz w:val="21"/>
      <w:szCs w:val="21"/>
    </w:rPr>
  </w:style>
  <w:style w:type="character" w:customStyle="1" w:styleId="10">
    <w:name w:val="标题 1 字符"/>
    <w:basedOn w:val="a0"/>
    <w:link w:val="1"/>
    <w:autoRedefine/>
    <w:uiPriority w:val="9"/>
    <w:qFormat/>
    <w:rPr>
      <w:rFonts w:ascii="宋体" w:eastAsia="宋体" w:hAnsi="宋体" w:cs="宋体"/>
      <w:b/>
      <w:bCs/>
      <w:kern w:val="36"/>
      <w:sz w:val="48"/>
      <w:szCs w:val="4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70">
    <w:name w:val="标题 7 字符"/>
    <w:basedOn w:val="a0"/>
    <w:link w:val="7"/>
    <w:uiPriority w:val="9"/>
    <w:qFormat/>
    <w:rPr>
      <w:rFonts w:ascii="宋体" w:eastAsia="宋体" w:hAnsi="宋体" w:cs="宋体"/>
      <w:kern w:val="0"/>
      <w:sz w:val="24"/>
      <w:szCs w:val="24"/>
    </w:rPr>
  </w:style>
  <w:style w:type="paragraph" w:customStyle="1" w:styleId="TableParagraph">
    <w:name w:val="Table Paragraph"/>
    <w:basedOn w:val="a"/>
    <w:autoRedefine/>
    <w:uiPriority w:val="1"/>
    <w:qFormat/>
  </w:style>
  <w:style w:type="paragraph" w:styleId="af0">
    <w:name w:val="List Paragraph"/>
    <w:basedOn w:val="a"/>
    <w:autoRedefine/>
    <w:uiPriority w:val="34"/>
    <w:qFormat/>
    <w:pPr>
      <w:autoSpaceDE/>
      <w:autoSpaceDN/>
      <w:ind w:firstLineChars="200" w:firstLine="420"/>
      <w:jc w:val="both"/>
    </w:pPr>
    <w:rPr>
      <w:rFonts w:asciiTheme="minorHAnsi" w:eastAsiaTheme="minorEastAsia" w:hAnsiTheme="minorHAnsi" w:cstheme="minorBidi"/>
      <w:kern w:val="2"/>
      <w:sz w:val="21"/>
      <w:lang w:val="en-US" w:bidi="ar-SA"/>
    </w:rPr>
  </w:style>
  <w:style w:type="character" w:customStyle="1" w:styleId="a8">
    <w:name w:val="页眉 字符"/>
    <w:basedOn w:val="a0"/>
    <w:link w:val="a7"/>
    <w:uiPriority w:val="99"/>
    <w:qFormat/>
    <w:rPr>
      <w:rFonts w:ascii="仿宋" w:eastAsia="仿宋" w:hAnsi="仿宋" w:cs="仿宋"/>
      <w:kern w:val="0"/>
      <w:sz w:val="18"/>
      <w:szCs w:val="18"/>
      <w:lang w:val="zh-CN" w:bidi="zh-CN"/>
    </w:rPr>
  </w:style>
  <w:style w:type="character" w:customStyle="1" w:styleId="a6">
    <w:name w:val="页脚 字符"/>
    <w:basedOn w:val="a0"/>
    <w:link w:val="a5"/>
    <w:autoRedefine/>
    <w:uiPriority w:val="99"/>
    <w:qFormat/>
    <w:rPr>
      <w:rFonts w:ascii="仿宋" w:eastAsia="仿宋" w:hAnsi="仿宋" w:cs="仿宋"/>
      <w:kern w:val="0"/>
      <w:sz w:val="18"/>
      <w:szCs w:val="18"/>
      <w:lang w:val="zh-CN" w:bidi="zh-CN"/>
    </w:rPr>
  </w:style>
  <w:style w:type="paragraph" w:customStyle="1" w:styleId="Style6">
    <w:name w:val="_Style 6"/>
    <w:basedOn w:val="a"/>
    <w:uiPriority w:val="34"/>
    <w:qFormat/>
    <w:pPr>
      <w:autoSpaceDE/>
      <w:autoSpaceDN/>
      <w:ind w:firstLineChars="200" w:firstLine="420"/>
      <w:jc w:val="both"/>
    </w:pPr>
    <w:rPr>
      <w:rFonts w:ascii="Calibri" w:eastAsia="宋体" w:hAnsi="Calibri" w:cs="Times New Roman"/>
      <w:kern w:val="2"/>
      <w:sz w:val="21"/>
      <w:lang w:val="en-US" w:bidi="ar-SA"/>
    </w:rPr>
  </w:style>
  <w:style w:type="character" w:customStyle="1" w:styleId="fontstyle01">
    <w:name w:val="fontstyle01"/>
    <w:basedOn w:val="a0"/>
    <w:autoRedefine/>
    <w:qFormat/>
    <w:rPr>
      <w:rFonts w:ascii="宋体" w:eastAsia="宋体" w:hAnsi="宋体" w:hint="eastAsia"/>
      <w:color w:val="000000"/>
      <w:sz w:val="24"/>
      <w:szCs w:val="24"/>
    </w:r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paragraph" w:customStyle="1" w:styleId="af1">
    <w:name w:val="二级正文"/>
    <w:basedOn w:val="a"/>
    <w:qFormat/>
    <w:rPr>
      <w:b/>
    </w:rPr>
  </w:style>
  <w:style w:type="paragraph" w:customStyle="1" w:styleId="12">
    <w:name w:val="修订1"/>
    <w:hidden/>
    <w:uiPriority w:val="99"/>
    <w:unhideWhenUsed/>
    <w:rPr>
      <w:rFonts w:ascii="仿宋" w:eastAsia="仿宋" w:hAnsi="仿宋" w:cs="仿宋"/>
      <w:sz w:val="22"/>
      <w:szCs w:val="22"/>
      <w:lang w:val="zh-CN" w:bidi="zh-CN"/>
    </w:rPr>
  </w:style>
  <w:style w:type="character" w:customStyle="1" w:styleId="a4">
    <w:name w:val="批注文字 字符"/>
    <w:basedOn w:val="a0"/>
    <w:link w:val="a3"/>
    <w:uiPriority w:val="99"/>
    <w:semiHidden/>
    <w:rPr>
      <w:rFonts w:ascii="仿宋" w:eastAsia="仿宋" w:hAnsi="仿宋" w:cs="仿宋"/>
      <w:sz w:val="22"/>
      <w:szCs w:val="22"/>
      <w:lang w:val="zh-CN" w:bidi="zh-CN"/>
    </w:rPr>
  </w:style>
  <w:style w:type="character" w:customStyle="1" w:styleId="ab">
    <w:name w:val="批注主题 字符"/>
    <w:basedOn w:val="a4"/>
    <w:link w:val="aa"/>
    <w:uiPriority w:val="99"/>
    <w:semiHidden/>
    <w:rPr>
      <w:rFonts w:ascii="仿宋" w:eastAsia="仿宋" w:hAnsi="仿宋" w:cs="仿宋"/>
      <w:b/>
      <w:bCs/>
      <w:sz w:val="22"/>
      <w:szCs w:val="22"/>
      <w:lang w:val="zh-CN" w:bidi="zh-CN"/>
    </w:rPr>
  </w:style>
  <w:style w:type="paragraph" w:styleId="af2">
    <w:name w:val="Revision"/>
    <w:hidden/>
    <w:uiPriority w:val="99"/>
    <w:unhideWhenUsed/>
    <w:rsid w:val="004A3552"/>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1881</Words>
  <Characters>3048</Characters>
  <Application>Microsoft Office Word</Application>
  <DocSecurity>0</DocSecurity>
  <Lines>435</Lines>
  <Paragraphs>492</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 carlo</dc:creator>
  <cp:lastModifiedBy>永粝 郭</cp:lastModifiedBy>
  <cp:revision>90</cp:revision>
  <dcterms:created xsi:type="dcterms:W3CDTF">2023-02-12T08:58:00Z</dcterms:created>
  <dcterms:modified xsi:type="dcterms:W3CDTF">2026-04-27T12:45:00Z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4F5EA353AAEBB2EF58DFEE69C8549E7F_43</vt:lpwstr>
  </property>
  <property fmtid="{D5CDD505-2E9C-101B-9397-08002B2CF9AE}" pid="4" name="KSOTemplateDocerSaveRecord">
    <vt:lpwstr>eyJoZGlkIjoiNjdkNzI0Y2I3MDRiZDdlZDE5ZjgxNzE3ODU0MDI4OTMiLCJ1c2VySWQiOiI5MzUwOTYyMTkifQ==</vt:lpwstr>
  </property>
</Properties>
</file>