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CB70" w14:textId="77777777" w:rsidR="007B3548" w:rsidRDefault="00E10F66" w:rsidP="001204E6">
      <w:pPr>
        <w:spacing w:line="360" w:lineRule="auto"/>
        <w:jc w:val="both"/>
        <w:rPr>
          <w:rFonts w:ascii="楷体" w:eastAsia="楷体" w:hAnsi="楷体"/>
          <w:sz w:val="24"/>
          <w:szCs w:val="24"/>
        </w:rPr>
      </w:pPr>
      <w:r>
        <w:rPr>
          <w:rFonts w:ascii="楷体" w:eastAsia="楷体" w:hAnsi="楷体" w:hint="eastAsia"/>
          <w:sz w:val="24"/>
          <w:szCs w:val="24"/>
        </w:rPr>
        <w:t>证券代码：6</w:t>
      </w:r>
      <w:r>
        <w:rPr>
          <w:rFonts w:ascii="楷体" w:eastAsia="楷体" w:hAnsi="楷体"/>
          <w:sz w:val="24"/>
          <w:szCs w:val="24"/>
        </w:rPr>
        <w:t xml:space="preserve">88269                                   </w:t>
      </w:r>
      <w:r>
        <w:rPr>
          <w:rFonts w:ascii="楷体" w:eastAsia="楷体" w:hAnsi="楷体" w:hint="eastAsia"/>
          <w:sz w:val="24"/>
          <w:szCs w:val="24"/>
        </w:rPr>
        <w:t>证券简称：凯立新材</w:t>
      </w:r>
    </w:p>
    <w:p w14:paraId="1C0C73F6" w14:textId="77777777" w:rsidR="007B3548" w:rsidRDefault="007B3548" w:rsidP="001204E6">
      <w:pPr>
        <w:spacing w:line="360" w:lineRule="auto"/>
        <w:jc w:val="both"/>
        <w:rPr>
          <w:rFonts w:ascii="楷体" w:eastAsia="楷体" w:hAnsi="楷体" w:cs="宋体"/>
          <w:b/>
          <w:bCs/>
          <w:sz w:val="24"/>
          <w:szCs w:val="24"/>
        </w:rPr>
      </w:pPr>
    </w:p>
    <w:p w14:paraId="24C969E7" w14:textId="77777777" w:rsidR="007B3548" w:rsidRDefault="00E10F66" w:rsidP="001204E6">
      <w:pPr>
        <w:spacing w:line="360" w:lineRule="auto"/>
        <w:jc w:val="both"/>
        <w:rPr>
          <w:rFonts w:ascii="楷体" w:eastAsia="楷体" w:hAnsi="楷体" w:cs="宋体"/>
          <w:b/>
          <w:sz w:val="24"/>
          <w:szCs w:val="24"/>
        </w:rPr>
      </w:pPr>
      <w:r>
        <w:rPr>
          <w:rFonts w:ascii="楷体" w:eastAsia="楷体" w:hAnsi="楷体" w:cs="宋体" w:hint="eastAsia"/>
          <w:b/>
          <w:bCs/>
          <w:sz w:val="24"/>
          <w:szCs w:val="24"/>
        </w:rPr>
        <w:t>西安凯立新材料股份有限公司投资者关系活动记录表</w:t>
      </w:r>
    </w:p>
    <w:p w14:paraId="5DF08BF9" w14:textId="77777777" w:rsidR="007B3548" w:rsidRDefault="007B3548" w:rsidP="001204E6">
      <w:pPr>
        <w:spacing w:before="51" w:after="32" w:line="360" w:lineRule="auto"/>
        <w:ind w:right="1739"/>
        <w:jc w:val="both"/>
        <w:rPr>
          <w:rFonts w:ascii="楷体" w:eastAsia="楷体" w:hAnsi="楷体" w:cs="宋体"/>
          <w:sz w:val="21"/>
          <w:szCs w:val="21"/>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992"/>
        <w:gridCol w:w="3277"/>
        <w:gridCol w:w="1259"/>
        <w:gridCol w:w="3544"/>
      </w:tblGrid>
      <w:tr w:rsidR="007B3548" w14:paraId="2D22DEFD" w14:textId="77777777">
        <w:trPr>
          <w:trHeight w:val="2801"/>
          <w:jc w:val="center"/>
        </w:trPr>
        <w:tc>
          <w:tcPr>
            <w:tcW w:w="1555" w:type="dxa"/>
            <w:vAlign w:val="center"/>
          </w:tcPr>
          <w:p w14:paraId="7C9C33AF" w14:textId="77777777" w:rsidR="007B3548" w:rsidRDefault="00E10F66" w:rsidP="001204E6">
            <w:pPr>
              <w:pStyle w:val="TableParagraph"/>
              <w:spacing w:before="1" w:line="360" w:lineRule="auto"/>
              <w:jc w:val="both"/>
              <w:rPr>
                <w:rFonts w:ascii="楷体" w:eastAsia="楷体" w:hAnsi="楷体" w:cs="宋体"/>
                <w:sz w:val="21"/>
                <w:szCs w:val="21"/>
              </w:rPr>
            </w:pPr>
            <w:r>
              <w:rPr>
                <w:rFonts w:ascii="楷体" w:eastAsia="楷体" w:hAnsi="楷体" w:cs="宋体" w:hint="eastAsia"/>
                <w:sz w:val="21"/>
                <w:szCs w:val="21"/>
              </w:rPr>
              <w:t>投资者关系活动类别</w:t>
            </w:r>
          </w:p>
        </w:tc>
        <w:tc>
          <w:tcPr>
            <w:tcW w:w="9072" w:type="dxa"/>
            <w:gridSpan w:val="4"/>
            <w:vAlign w:val="center"/>
          </w:tcPr>
          <w:p w14:paraId="0F77AE0C" w14:textId="77777777" w:rsidR="007B3548" w:rsidRDefault="007B3548" w:rsidP="001204E6">
            <w:pPr>
              <w:pStyle w:val="TableParagraph"/>
              <w:spacing w:before="7" w:line="360" w:lineRule="auto"/>
              <w:jc w:val="both"/>
              <w:rPr>
                <w:rFonts w:ascii="楷体" w:eastAsia="楷体" w:hAnsi="楷体" w:cs="宋体"/>
                <w:sz w:val="21"/>
                <w:szCs w:val="21"/>
              </w:rPr>
            </w:pPr>
          </w:p>
          <w:p w14:paraId="7D5CC45E" w14:textId="77777777" w:rsidR="007B3548" w:rsidRDefault="00E10F66" w:rsidP="001204E6">
            <w:pPr>
              <w:pStyle w:val="TableParagraph"/>
              <w:tabs>
                <w:tab w:val="left" w:pos="2418"/>
              </w:tabs>
              <w:spacing w:before="1" w:line="360" w:lineRule="auto"/>
              <w:ind w:left="107"/>
              <w:jc w:val="both"/>
              <w:rPr>
                <w:rFonts w:ascii="楷体" w:eastAsia="楷体" w:hAnsi="楷体" w:cs="宋体"/>
                <w:sz w:val="21"/>
                <w:szCs w:val="21"/>
              </w:rPr>
            </w:pPr>
            <w:r>
              <w:rPr>
                <w:rFonts w:ascii="楷体" w:eastAsia="楷体" w:hAnsi="楷体" w:cs="宋体" w:hint="eastAsia"/>
                <w:sz w:val="21"/>
                <w:szCs w:val="21"/>
              </w:rPr>
              <w:t>□特</w:t>
            </w:r>
            <w:r>
              <w:rPr>
                <w:rFonts w:ascii="楷体" w:eastAsia="楷体" w:hAnsi="楷体" w:cs="宋体" w:hint="eastAsia"/>
                <w:spacing w:val="-3"/>
                <w:sz w:val="21"/>
                <w:szCs w:val="21"/>
              </w:rPr>
              <w:t>定</w:t>
            </w:r>
            <w:r>
              <w:rPr>
                <w:rFonts w:ascii="楷体" w:eastAsia="楷体" w:hAnsi="楷体" w:cs="宋体" w:hint="eastAsia"/>
                <w:sz w:val="21"/>
                <w:szCs w:val="21"/>
              </w:rPr>
              <w:t>对</w:t>
            </w:r>
            <w:r>
              <w:rPr>
                <w:rFonts w:ascii="楷体" w:eastAsia="楷体" w:hAnsi="楷体" w:cs="宋体" w:hint="eastAsia"/>
                <w:spacing w:val="-3"/>
                <w:sz w:val="21"/>
                <w:szCs w:val="21"/>
              </w:rPr>
              <w:t>象</w:t>
            </w:r>
            <w:r>
              <w:rPr>
                <w:rFonts w:ascii="楷体" w:eastAsia="楷体" w:hAnsi="楷体" w:cs="宋体" w:hint="eastAsia"/>
                <w:sz w:val="21"/>
                <w:szCs w:val="21"/>
              </w:rPr>
              <w:t>调研</w:t>
            </w:r>
            <w:r>
              <w:rPr>
                <w:rFonts w:ascii="楷体" w:eastAsia="楷体" w:hAnsi="楷体" w:cs="宋体" w:hint="eastAsia"/>
                <w:sz w:val="21"/>
                <w:szCs w:val="21"/>
              </w:rPr>
              <w:tab/>
              <w:t>□分</w:t>
            </w:r>
            <w:r>
              <w:rPr>
                <w:rFonts w:ascii="楷体" w:eastAsia="楷体" w:hAnsi="楷体" w:cs="宋体" w:hint="eastAsia"/>
                <w:spacing w:val="-3"/>
                <w:sz w:val="21"/>
                <w:szCs w:val="21"/>
              </w:rPr>
              <w:t>析</w:t>
            </w:r>
            <w:r>
              <w:rPr>
                <w:rFonts w:ascii="楷体" w:eastAsia="楷体" w:hAnsi="楷体" w:cs="宋体" w:hint="eastAsia"/>
                <w:sz w:val="21"/>
                <w:szCs w:val="21"/>
              </w:rPr>
              <w:t>师</w:t>
            </w:r>
            <w:r>
              <w:rPr>
                <w:rFonts w:ascii="楷体" w:eastAsia="楷体" w:hAnsi="楷体" w:cs="宋体" w:hint="eastAsia"/>
                <w:spacing w:val="-3"/>
                <w:sz w:val="21"/>
                <w:szCs w:val="21"/>
              </w:rPr>
              <w:t>会</w:t>
            </w:r>
            <w:r>
              <w:rPr>
                <w:rFonts w:ascii="楷体" w:eastAsia="楷体" w:hAnsi="楷体" w:cs="宋体" w:hint="eastAsia"/>
                <w:sz w:val="21"/>
                <w:szCs w:val="21"/>
              </w:rPr>
              <w:t>议</w:t>
            </w:r>
          </w:p>
          <w:p w14:paraId="6AE64B53" w14:textId="77777777" w:rsidR="007B3548" w:rsidRDefault="007B3548" w:rsidP="001204E6">
            <w:pPr>
              <w:pStyle w:val="TableParagraph"/>
              <w:spacing w:before="11" w:line="360" w:lineRule="auto"/>
              <w:jc w:val="both"/>
              <w:rPr>
                <w:rFonts w:ascii="楷体" w:eastAsia="楷体" w:hAnsi="楷体" w:cs="宋体"/>
                <w:sz w:val="21"/>
                <w:szCs w:val="21"/>
              </w:rPr>
            </w:pPr>
          </w:p>
          <w:p w14:paraId="1FE48EB0" w14:textId="77777777" w:rsidR="007B3548" w:rsidRDefault="00E10F66" w:rsidP="001204E6">
            <w:pPr>
              <w:pStyle w:val="TableParagraph"/>
              <w:tabs>
                <w:tab w:val="left" w:pos="2418"/>
              </w:tabs>
              <w:spacing w:line="360" w:lineRule="auto"/>
              <w:ind w:left="107"/>
              <w:jc w:val="both"/>
              <w:rPr>
                <w:rFonts w:ascii="楷体" w:eastAsia="楷体" w:hAnsi="楷体" w:cs="宋体"/>
                <w:sz w:val="21"/>
                <w:szCs w:val="21"/>
              </w:rPr>
            </w:pPr>
            <w:r>
              <w:rPr>
                <w:rFonts w:ascii="楷体" w:eastAsia="楷体" w:hAnsi="楷体" w:cs="宋体" w:hint="eastAsia"/>
                <w:sz w:val="21"/>
                <w:szCs w:val="21"/>
              </w:rPr>
              <w:t>□媒</w:t>
            </w:r>
            <w:r>
              <w:rPr>
                <w:rFonts w:ascii="楷体" w:eastAsia="楷体" w:hAnsi="楷体" w:cs="宋体" w:hint="eastAsia"/>
                <w:spacing w:val="-3"/>
                <w:sz w:val="21"/>
                <w:szCs w:val="21"/>
              </w:rPr>
              <w:t>体</w:t>
            </w:r>
            <w:r>
              <w:rPr>
                <w:rFonts w:ascii="楷体" w:eastAsia="楷体" w:hAnsi="楷体" w:cs="宋体" w:hint="eastAsia"/>
                <w:sz w:val="21"/>
                <w:szCs w:val="21"/>
              </w:rPr>
              <w:t>采访</w:t>
            </w:r>
            <w:r>
              <w:rPr>
                <w:rFonts w:ascii="楷体" w:eastAsia="楷体" w:hAnsi="楷体" w:cs="宋体" w:hint="eastAsia"/>
                <w:sz w:val="21"/>
                <w:szCs w:val="21"/>
              </w:rPr>
              <w:tab/>
              <w:t>□业</w:t>
            </w:r>
            <w:r>
              <w:rPr>
                <w:rFonts w:ascii="楷体" w:eastAsia="楷体" w:hAnsi="楷体" w:cs="宋体" w:hint="eastAsia"/>
                <w:spacing w:val="-3"/>
                <w:sz w:val="21"/>
                <w:szCs w:val="21"/>
              </w:rPr>
              <w:t>绩</w:t>
            </w:r>
            <w:r>
              <w:rPr>
                <w:rFonts w:ascii="楷体" w:eastAsia="楷体" w:hAnsi="楷体" w:cs="宋体" w:hint="eastAsia"/>
                <w:sz w:val="21"/>
                <w:szCs w:val="21"/>
              </w:rPr>
              <w:t>说</w:t>
            </w:r>
            <w:r>
              <w:rPr>
                <w:rFonts w:ascii="楷体" w:eastAsia="楷体" w:hAnsi="楷体" w:cs="宋体" w:hint="eastAsia"/>
                <w:spacing w:val="-3"/>
                <w:sz w:val="21"/>
                <w:szCs w:val="21"/>
              </w:rPr>
              <w:t>明</w:t>
            </w:r>
            <w:r>
              <w:rPr>
                <w:rFonts w:ascii="楷体" w:eastAsia="楷体" w:hAnsi="楷体" w:cs="宋体" w:hint="eastAsia"/>
                <w:sz w:val="21"/>
                <w:szCs w:val="21"/>
              </w:rPr>
              <w:t>会</w:t>
            </w:r>
          </w:p>
          <w:p w14:paraId="1E42C032" w14:textId="77777777" w:rsidR="007B3548" w:rsidRDefault="007B3548" w:rsidP="001204E6">
            <w:pPr>
              <w:pStyle w:val="TableParagraph"/>
              <w:spacing w:before="8" w:line="360" w:lineRule="auto"/>
              <w:jc w:val="both"/>
              <w:rPr>
                <w:rFonts w:ascii="楷体" w:eastAsia="楷体" w:hAnsi="楷体" w:cs="宋体"/>
                <w:sz w:val="21"/>
                <w:szCs w:val="21"/>
              </w:rPr>
            </w:pPr>
          </w:p>
          <w:p w14:paraId="01D3F1DE" w14:textId="77777777" w:rsidR="007B3548" w:rsidRDefault="00E10F66" w:rsidP="001204E6">
            <w:pPr>
              <w:pStyle w:val="TableParagraph"/>
              <w:tabs>
                <w:tab w:val="left" w:pos="2418"/>
              </w:tabs>
              <w:spacing w:line="360" w:lineRule="auto"/>
              <w:ind w:left="107"/>
              <w:jc w:val="both"/>
              <w:rPr>
                <w:rFonts w:ascii="楷体" w:eastAsia="楷体" w:hAnsi="楷体" w:cs="宋体"/>
                <w:sz w:val="21"/>
                <w:szCs w:val="21"/>
              </w:rPr>
            </w:pPr>
            <w:r>
              <w:rPr>
                <w:rFonts w:ascii="楷体" w:eastAsia="楷体" w:hAnsi="楷体" w:cs="宋体" w:hint="eastAsia"/>
                <w:sz w:val="21"/>
                <w:szCs w:val="21"/>
              </w:rPr>
              <w:t>□新</w:t>
            </w:r>
            <w:r>
              <w:rPr>
                <w:rFonts w:ascii="楷体" w:eastAsia="楷体" w:hAnsi="楷体" w:cs="宋体" w:hint="eastAsia"/>
                <w:spacing w:val="-3"/>
                <w:sz w:val="21"/>
                <w:szCs w:val="21"/>
              </w:rPr>
              <w:t>闻</w:t>
            </w:r>
            <w:r>
              <w:rPr>
                <w:rFonts w:ascii="楷体" w:eastAsia="楷体" w:hAnsi="楷体" w:cs="宋体" w:hint="eastAsia"/>
                <w:sz w:val="21"/>
                <w:szCs w:val="21"/>
              </w:rPr>
              <w:t>发</w:t>
            </w:r>
            <w:r>
              <w:rPr>
                <w:rFonts w:ascii="楷体" w:eastAsia="楷体" w:hAnsi="楷体" w:cs="宋体" w:hint="eastAsia"/>
                <w:spacing w:val="-3"/>
                <w:sz w:val="21"/>
                <w:szCs w:val="21"/>
              </w:rPr>
              <w:t>布</w:t>
            </w:r>
            <w:r>
              <w:rPr>
                <w:rFonts w:ascii="楷体" w:eastAsia="楷体" w:hAnsi="楷体" w:cs="宋体" w:hint="eastAsia"/>
                <w:sz w:val="21"/>
                <w:szCs w:val="21"/>
              </w:rPr>
              <w:t>会</w:t>
            </w:r>
            <w:r>
              <w:rPr>
                <w:rFonts w:ascii="楷体" w:eastAsia="楷体" w:hAnsi="楷体" w:cs="宋体" w:hint="eastAsia"/>
                <w:sz w:val="21"/>
                <w:szCs w:val="21"/>
              </w:rPr>
              <w:tab/>
              <w:t>□路</w:t>
            </w:r>
            <w:r>
              <w:rPr>
                <w:rFonts w:ascii="楷体" w:eastAsia="楷体" w:hAnsi="楷体" w:cs="宋体" w:hint="eastAsia"/>
                <w:spacing w:val="-3"/>
                <w:sz w:val="21"/>
                <w:szCs w:val="21"/>
              </w:rPr>
              <w:t>演</w:t>
            </w:r>
            <w:r>
              <w:rPr>
                <w:rFonts w:ascii="楷体" w:eastAsia="楷体" w:hAnsi="楷体" w:cs="宋体" w:hint="eastAsia"/>
                <w:sz w:val="21"/>
                <w:szCs w:val="21"/>
              </w:rPr>
              <w:t>活动</w:t>
            </w:r>
          </w:p>
          <w:p w14:paraId="3AF291DD" w14:textId="77777777" w:rsidR="007B3548" w:rsidRDefault="007B3548" w:rsidP="001204E6">
            <w:pPr>
              <w:pStyle w:val="TableParagraph"/>
              <w:spacing w:before="8" w:line="360" w:lineRule="auto"/>
              <w:jc w:val="both"/>
              <w:rPr>
                <w:rFonts w:ascii="楷体" w:eastAsia="楷体" w:hAnsi="楷体" w:cs="宋体"/>
                <w:sz w:val="21"/>
                <w:szCs w:val="21"/>
              </w:rPr>
            </w:pPr>
          </w:p>
          <w:p w14:paraId="06D29851" w14:textId="77777777" w:rsidR="007B3548" w:rsidRDefault="00E10F66" w:rsidP="001204E6">
            <w:pPr>
              <w:pStyle w:val="TableParagraph"/>
              <w:spacing w:line="360" w:lineRule="auto"/>
              <w:ind w:left="107"/>
              <w:jc w:val="both"/>
              <w:rPr>
                <w:rFonts w:ascii="楷体" w:eastAsia="楷体" w:hAnsi="楷体" w:cs="宋体"/>
                <w:sz w:val="21"/>
                <w:szCs w:val="21"/>
              </w:rPr>
            </w:pPr>
            <w:r>
              <w:rPr>
                <w:rFonts w:ascii="楷体" w:eastAsia="楷体" w:hAnsi="楷体" w:cs="宋体" w:hint="eastAsia"/>
                <w:sz w:val="21"/>
                <w:szCs w:val="21"/>
              </w:rPr>
              <w:t>□现场参观</w:t>
            </w:r>
          </w:p>
          <w:p w14:paraId="582A1B6A" w14:textId="77777777" w:rsidR="007B3548" w:rsidRDefault="007B3548" w:rsidP="001204E6">
            <w:pPr>
              <w:pStyle w:val="TableParagraph"/>
              <w:spacing w:before="11" w:line="360" w:lineRule="auto"/>
              <w:jc w:val="both"/>
              <w:rPr>
                <w:rFonts w:ascii="楷体" w:eastAsia="楷体" w:hAnsi="楷体" w:cs="宋体"/>
                <w:sz w:val="21"/>
                <w:szCs w:val="21"/>
              </w:rPr>
            </w:pPr>
          </w:p>
          <w:p w14:paraId="626A8FFE" w14:textId="77777777" w:rsidR="007B3548" w:rsidRDefault="00E10F66" w:rsidP="001204E6">
            <w:pPr>
              <w:pStyle w:val="TableParagraph"/>
              <w:spacing w:line="360" w:lineRule="auto"/>
              <w:ind w:left="107"/>
              <w:jc w:val="both"/>
              <w:rPr>
                <w:rFonts w:ascii="楷体" w:eastAsia="楷体" w:hAnsi="楷体" w:cs="宋体"/>
                <w:sz w:val="21"/>
                <w:szCs w:val="21"/>
              </w:rPr>
            </w:pPr>
            <w:r>
              <w:rPr>
                <w:rFonts w:ascii="楷体" w:eastAsia="楷体" w:hAnsi="楷体" w:cs="宋体" w:hint="eastAsia"/>
                <w:sz w:val="21"/>
                <w:szCs w:val="21"/>
              </w:rPr>
              <w:sym w:font="Wingdings 2" w:char="F052"/>
            </w:r>
            <w:r>
              <w:rPr>
                <w:rFonts w:ascii="楷体" w:eastAsia="楷体" w:hAnsi="楷体" w:cs="宋体" w:hint="eastAsia"/>
                <w:sz w:val="21"/>
                <w:szCs w:val="21"/>
              </w:rPr>
              <w:t>其他（电话交流会）</w:t>
            </w:r>
          </w:p>
        </w:tc>
      </w:tr>
      <w:tr w:rsidR="007B3548" w14:paraId="68F9F3F0" w14:textId="77777777">
        <w:trPr>
          <w:trHeight w:val="39"/>
          <w:jc w:val="center"/>
        </w:trPr>
        <w:tc>
          <w:tcPr>
            <w:tcW w:w="1555" w:type="dxa"/>
            <w:vMerge w:val="restart"/>
            <w:vAlign w:val="center"/>
          </w:tcPr>
          <w:p w14:paraId="2DD14FFA" w14:textId="77777777" w:rsidR="007B3548" w:rsidRDefault="00E10F66" w:rsidP="001204E6">
            <w:pPr>
              <w:pStyle w:val="TableParagraph"/>
              <w:spacing w:line="360" w:lineRule="auto"/>
              <w:ind w:left="107" w:right="96"/>
              <w:jc w:val="both"/>
              <w:rPr>
                <w:rFonts w:ascii="楷体" w:eastAsia="楷体" w:hAnsi="楷体" w:cs="宋体"/>
                <w:sz w:val="21"/>
                <w:szCs w:val="21"/>
              </w:rPr>
            </w:pPr>
            <w:r>
              <w:rPr>
                <w:rFonts w:ascii="楷体" w:eastAsia="楷体" w:hAnsi="楷体" w:cs="宋体" w:hint="eastAsia"/>
                <w:sz w:val="21"/>
                <w:szCs w:val="21"/>
              </w:rPr>
              <w:t>参与单位名称及人员姓名</w:t>
            </w:r>
          </w:p>
        </w:tc>
        <w:tc>
          <w:tcPr>
            <w:tcW w:w="992" w:type="dxa"/>
            <w:vAlign w:val="center"/>
          </w:tcPr>
          <w:p w14:paraId="51F5E8E9" w14:textId="77777777" w:rsidR="007B3548" w:rsidRDefault="00E10F66" w:rsidP="001204E6">
            <w:pPr>
              <w:pStyle w:val="TableParagraph"/>
              <w:spacing w:line="360" w:lineRule="auto"/>
              <w:ind w:left="107" w:right="96"/>
              <w:jc w:val="both"/>
              <w:rPr>
                <w:rFonts w:ascii="楷体" w:eastAsia="楷体" w:hAnsi="楷体"/>
                <w:color w:val="000000"/>
                <w:sz w:val="21"/>
                <w:szCs w:val="21"/>
                <w:lang w:val="en-US"/>
              </w:rPr>
            </w:pPr>
            <w:r>
              <w:rPr>
                <w:rFonts w:ascii="楷体" w:eastAsia="楷体" w:hAnsi="楷体" w:cs="宋体" w:hint="eastAsia"/>
                <w:color w:val="000000"/>
                <w:sz w:val="21"/>
                <w:szCs w:val="21"/>
              </w:rPr>
              <w:t>人员</w:t>
            </w:r>
          </w:p>
        </w:tc>
        <w:tc>
          <w:tcPr>
            <w:tcW w:w="3277" w:type="dxa"/>
            <w:vAlign w:val="center"/>
          </w:tcPr>
          <w:p w14:paraId="61F50A3C" w14:textId="77777777" w:rsidR="007B3548" w:rsidRDefault="00E10F66" w:rsidP="001204E6">
            <w:pPr>
              <w:pStyle w:val="TableParagraph"/>
              <w:spacing w:line="360" w:lineRule="auto"/>
              <w:ind w:left="107" w:right="96"/>
              <w:jc w:val="both"/>
              <w:rPr>
                <w:rFonts w:ascii="楷体" w:eastAsia="楷体" w:hAnsi="楷体"/>
                <w:color w:val="000000"/>
                <w:sz w:val="21"/>
                <w:szCs w:val="21"/>
                <w:lang w:val="en-US"/>
              </w:rPr>
            </w:pPr>
            <w:r>
              <w:rPr>
                <w:rFonts w:ascii="楷体" w:eastAsia="楷体" w:hAnsi="楷体" w:cs="宋体" w:hint="eastAsia"/>
                <w:color w:val="000000"/>
                <w:sz w:val="21"/>
                <w:szCs w:val="21"/>
              </w:rPr>
              <w:t>机构名称</w:t>
            </w:r>
          </w:p>
        </w:tc>
        <w:tc>
          <w:tcPr>
            <w:tcW w:w="1259" w:type="dxa"/>
            <w:vAlign w:val="center"/>
          </w:tcPr>
          <w:p w14:paraId="1096869A" w14:textId="77777777" w:rsidR="007B3548" w:rsidRDefault="00E10F66" w:rsidP="001204E6">
            <w:pPr>
              <w:pStyle w:val="TableParagraph"/>
              <w:spacing w:line="360" w:lineRule="auto"/>
              <w:ind w:left="107" w:right="96"/>
              <w:jc w:val="both"/>
              <w:rPr>
                <w:rFonts w:ascii="楷体" w:eastAsia="楷体" w:hAnsi="楷体"/>
                <w:color w:val="000000"/>
                <w:sz w:val="21"/>
                <w:szCs w:val="21"/>
                <w:lang w:val="en-US"/>
              </w:rPr>
            </w:pPr>
            <w:r>
              <w:rPr>
                <w:rFonts w:ascii="楷体" w:eastAsia="楷体" w:hAnsi="楷体" w:cs="宋体" w:hint="eastAsia"/>
                <w:color w:val="000000"/>
                <w:sz w:val="21"/>
                <w:szCs w:val="21"/>
              </w:rPr>
              <w:t>人员</w:t>
            </w:r>
          </w:p>
        </w:tc>
        <w:tc>
          <w:tcPr>
            <w:tcW w:w="3544" w:type="dxa"/>
            <w:vAlign w:val="center"/>
          </w:tcPr>
          <w:p w14:paraId="79B67D83" w14:textId="77777777" w:rsidR="007B3548" w:rsidRDefault="00E10F66" w:rsidP="001204E6">
            <w:pPr>
              <w:pStyle w:val="TableParagraph"/>
              <w:spacing w:line="360" w:lineRule="auto"/>
              <w:ind w:left="107" w:right="96"/>
              <w:jc w:val="both"/>
              <w:rPr>
                <w:rFonts w:ascii="楷体" w:eastAsia="楷体" w:hAnsi="楷体"/>
                <w:color w:val="000000"/>
                <w:sz w:val="21"/>
                <w:szCs w:val="21"/>
                <w:lang w:val="en-US"/>
              </w:rPr>
            </w:pPr>
            <w:r>
              <w:rPr>
                <w:rFonts w:ascii="楷体" w:eastAsia="楷体" w:hAnsi="楷体" w:cs="宋体" w:hint="eastAsia"/>
                <w:color w:val="000000"/>
                <w:sz w:val="21"/>
                <w:szCs w:val="21"/>
              </w:rPr>
              <w:t>机构名称</w:t>
            </w:r>
          </w:p>
        </w:tc>
      </w:tr>
      <w:tr w:rsidR="00255081" w14:paraId="1126AD91" w14:textId="77777777">
        <w:trPr>
          <w:trHeight w:val="39"/>
          <w:jc w:val="center"/>
        </w:trPr>
        <w:tc>
          <w:tcPr>
            <w:tcW w:w="1555" w:type="dxa"/>
            <w:vMerge/>
            <w:vAlign w:val="center"/>
          </w:tcPr>
          <w:p w14:paraId="2A7206D8" w14:textId="77777777" w:rsidR="00255081" w:rsidRDefault="00255081" w:rsidP="001204E6">
            <w:pPr>
              <w:pStyle w:val="TableParagraph"/>
              <w:spacing w:line="360" w:lineRule="auto"/>
              <w:ind w:left="107" w:right="96"/>
              <w:jc w:val="both"/>
              <w:rPr>
                <w:rFonts w:ascii="楷体" w:eastAsia="楷体" w:hAnsi="楷体" w:cs="宋体"/>
                <w:sz w:val="21"/>
                <w:szCs w:val="21"/>
              </w:rPr>
            </w:pPr>
          </w:p>
        </w:tc>
        <w:tc>
          <w:tcPr>
            <w:tcW w:w="992" w:type="dxa"/>
            <w:vAlign w:val="center"/>
          </w:tcPr>
          <w:p w14:paraId="737D4C3B" w14:textId="62843D6F" w:rsidR="00255081" w:rsidRDefault="00255081" w:rsidP="001204E6">
            <w:pPr>
              <w:pStyle w:val="TableParagraph"/>
              <w:spacing w:line="360" w:lineRule="auto"/>
              <w:ind w:left="107" w:right="96"/>
              <w:jc w:val="both"/>
              <w:rPr>
                <w:rFonts w:ascii="楷体" w:eastAsia="楷体" w:hAnsi="楷体" w:cs="宋体" w:hint="eastAsia"/>
                <w:color w:val="000000"/>
                <w:sz w:val="21"/>
                <w:szCs w:val="21"/>
                <w:lang w:val="en-US"/>
              </w:rPr>
            </w:pPr>
            <w:r>
              <w:rPr>
                <w:rFonts w:ascii="楷体" w:eastAsia="楷体" w:hAnsi="楷体" w:cs="宋体" w:hint="eastAsia"/>
                <w:color w:val="000000"/>
                <w:sz w:val="21"/>
                <w:szCs w:val="21"/>
                <w:lang w:val="en-US"/>
              </w:rPr>
              <w:t>郭建奇</w:t>
            </w:r>
          </w:p>
        </w:tc>
        <w:tc>
          <w:tcPr>
            <w:tcW w:w="3277" w:type="dxa"/>
            <w:vAlign w:val="center"/>
          </w:tcPr>
          <w:p w14:paraId="28E26361" w14:textId="2B4F4581" w:rsidR="00255081" w:rsidRDefault="00255081" w:rsidP="001204E6">
            <w:pPr>
              <w:pStyle w:val="TableParagraph"/>
              <w:spacing w:line="360" w:lineRule="auto"/>
              <w:ind w:left="107" w:right="96"/>
              <w:jc w:val="both"/>
              <w:rPr>
                <w:rFonts w:ascii="楷体" w:eastAsia="楷体" w:hAnsi="楷体" w:cs="宋体" w:hint="eastAsia"/>
                <w:color w:val="000000"/>
                <w:sz w:val="21"/>
                <w:szCs w:val="21"/>
                <w:lang w:val="en-US"/>
              </w:rPr>
            </w:pPr>
            <w:r>
              <w:rPr>
                <w:rFonts w:ascii="楷体" w:eastAsia="楷体" w:hAnsi="楷体" w:cs="宋体" w:hint="eastAsia"/>
                <w:color w:val="000000"/>
                <w:sz w:val="21"/>
                <w:szCs w:val="21"/>
                <w:lang w:val="en-US"/>
              </w:rPr>
              <w:t>天风证券</w:t>
            </w:r>
          </w:p>
        </w:tc>
        <w:tc>
          <w:tcPr>
            <w:tcW w:w="1259" w:type="dxa"/>
            <w:vAlign w:val="center"/>
          </w:tcPr>
          <w:p w14:paraId="100B421A" w14:textId="3C2FB6E0" w:rsidR="00255081" w:rsidRDefault="00255081" w:rsidP="001204E6">
            <w:pPr>
              <w:pStyle w:val="TableParagraph"/>
              <w:spacing w:line="360" w:lineRule="auto"/>
              <w:ind w:left="107" w:right="96"/>
              <w:jc w:val="both"/>
              <w:rPr>
                <w:rFonts w:ascii="楷体" w:eastAsia="楷体" w:hAnsi="楷体" w:cs="宋体" w:hint="eastAsia"/>
                <w:color w:val="000000"/>
                <w:sz w:val="21"/>
                <w:szCs w:val="21"/>
                <w:lang w:val="en-US"/>
              </w:rPr>
            </w:pPr>
            <w:r w:rsidRPr="00255081">
              <w:rPr>
                <w:rFonts w:ascii="楷体" w:eastAsia="楷体" w:hAnsi="楷体" w:cs="宋体" w:hint="eastAsia"/>
                <w:color w:val="000000"/>
                <w:sz w:val="21"/>
                <w:szCs w:val="21"/>
                <w:lang w:val="en-US"/>
              </w:rPr>
              <w:t>李绍程</w:t>
            </w:r>
          </w:p>
        </w:tc>
        <w:tc>
          <w:tcPr>
            <w:tcW w:w="3544" w:type="dxa"/>
            <w:vAlign w:val="center"/>
          </w:tcPr>
          <w:p w14:paraId="1AF3AC53" w14:textId="34C8E2EF" w:rsidR="00255081" w:rsidRDefault="00255081" w:rsidP="001204E6">
            <w:pPr>
              <w:pStyle w:val="TableParagraph"/>
              <w:spacing w:line="360" w:lineRule="auto"/>
              <w:ind w:left="107" w:right="96"/>
              <w:jc w:val="both"/>
              <w:rPr>
                <w:rFonts w:ascii="楷体" w:eastAsia="楷体" w:hAnsi="楷体" w:cs="宋体" w:hint="eastAsia"/>
                <w:color w:val="000000"/>
                <w:sz w:val="21"/>
                <w:szCs w:val="21"/>
                <w:lang w:val="en-US"/>
              </w:rPr>
            </w:pPr>
            <w:r>
              <w:rPr>
                <w:rFonts w:ascii="楷体" w:eastAsia="楷体" w:hAnsi="楷体" w:cs="宋体" w:hint="eastAsia"/>
                <w:color w:val="000000"/>
                <w:sz w:val="21"/>
                <w:szCs w:val="21"/>
                <w:lang w:val="en-US"/>
              </w:rPr>
              <w:t>申万宏源</w:t>
            </w:r>
          </w:p>
        </w:tc>
      </w:tr>
      <w:tr w:rsidR="00255081" w14:paraId="3BC71AAF" w14:textId="77777777">
        <w:trPr>
          <w:trHeight w:val="39"/>
          <w:jc w:val="center"/>
        </w:trPr>
        <w:tc>
          <w:tcPr>
            <w:tcW w:w="1555" w:type="dxa"/>
            <w:vMerge/>
            <w:vAlign w:val="center"/>
          </w:tcPr>
          <w:p w14:paraId="34330CAB" w14:textId="77777777" w:rsidR="00255081" w:rsidRDefault="00255081" w:rsidP="00255081">
            <w:pPr>
              <w:pStyle w:val="TableParagraph"/>
              <w:spacing w:line="360" w:lineRule="auto"/>
              <w:ind w:left="107" w:right="96"/>
              <w:jc w:val="both"/>
              <w:rPr>
                <w:rFonts w:ascii="楷体" w:eastAsia="楷体" w:hAnsi="楷体" w:cs="宋体"/>
                <w:sz w:val="21"/>
                <w:szCs w:val="21"/>
              </w:rPr>
            </w:pPr>
          </w:p>
        </w:tc>
        <w:tc>
          <w:tcPr>
            <w:tcW w:w="992" w:type="dxa"/>
            <w:vAlign w:val="center"/>
          </w:tcPr>
          <w:p w14:paraId="2579CDDF" w14:textId="4D09EB73" w:rsidR="00255081" w:rsidRDefault="00255081" w:rsidP="00255081">
            <w:pPr>
              <w:pStyle w:val="TableParagraph"/>
              <w:spacing w:line="360" w:lineRule="auto"/>
              <w:ind w:left="107" w:right="96"/>
              <w:jc w:val="both"/>
              <w:rPr>
                <w:rFonts w:ascii="楷体" w:eastAsia="楷体" w:hAnsi="楷体" w:cs="宋体" w:hint="eastAsia"/>
                <w:color w:val="000000"/>
                <w:sz w:val="21"/>
                <w:szCs w:val="21"/>
                <w:lang w:val="en-US"/>
              </w:rPr>
            </w:pPr>
            <w:r>
              <w:rPr>
                <w:rFonts w:ascii="楷体" w:eastAsia="楷体" w:hAnsi="楷体" w:cs="宋体" w:hint="eastAsia"/>
                <w:color w:val="000000"/>
                <w:sz w:val="21"/>
                <w:szCs w:val="21"/>
                <w:lang w:val="en-US"/>
              </w:rPr>
              <w:t>许可</w:t>
            </w:r>
          </w:p>
        </w:tc>
        <w:tc>
          <w:tcPr>
            <w:tcW w:w="3277" w:type="dxa"/>
            <w:vAlign w:val="center"/>
          </w:tcPr>
          <w:p w14:paraId="4CDB9E01" w14:textId="109A6A6E" w:rsidR="00255081" w:rsidRDefault="00255081" w:rsidP="00255081">
            <w:pPr>
              <w:pStyle w:val="TableParagraph"/>
              <w:spacing w:line="360" w:lineRule="auto"/>
              <w:ind w:left="107" w:right="96"/>
              <w:jc w:val="both"/>
              <w:rPr>
                <w:rFonts w:ascii="楷体" w:eastAsia="楷体" w:hAnsi="楷体" w:cs="宋体" w:hint="eastAsia"/>
                <w:color w:val="000000"/>
                <w:sz w:val="21"/>
                <w:szCs w:val="21"/>
                <w:lang w:val="en-US"/>
              </w:rPr>
            </w:pPr>
            <w:r>
              <w:rPr>
                <w:rFonts w:ascii="楷体" w:eastAsia="楷体" w:hAnsi="楷体" w:cs="宋体" w:hint="eastAsia"/>
                <w:color w:val="000000"/>
                <w:sz w:val="21"/>
                <w:szCs w:val="21"/>
                <w:lang w:val="en-US"/>
              </w:rPr>
              <w:t>朱雀基金</w:t>
            </w:r>
          </w:p>
        </w:tc>
        <w:tc>
          <w:tcPr>
            <w:tcW w:w="1259" w:type="dxa"/>
            <w:vAlign w:val="center"/>
          </w:tcPr>
          <w:p w14:paraId="20497CD5" w14:textId="21202FF3" w:rsidR="00255081" w:rsidRDefault="00255081" w:rsidP="00255081">
            <w:pPr>
              <w:pStyle w:val="TableParagraph"/>
              <w:spacing w:line="360" w:lineRule="auto"/>
              <w:ind w:left="107" w:right="96"/>
              <w:jc w:val="both"/>
              <w:rPr>
                <w:rFonts w:ascii="楷体" w:eastAsia="楷体" w:hAnsi="楷体" w:cs="宋体" w:hint="eastAsia"/>
                <w:color w:val="000000"/>
                <w:sz w:val="21"/>
                <w:szCs w:val="21"/>
                <w:lang w:val="en-US"/>
              </w:rPr>
            </w:pPr>
            <w:r>
              <w:rPr>
                <w:rFonts w:ascii="楷体" w:eastAsia="楷体" w:hAnsi="楷体" w:cs="宋体" w:hint="eastAsia"/>
                <w:color w:val="000000"/>
                <w:sz w:val="21"/>
                <w:szCs w:val="21"/>
                <w:lang w:val="en-US"/>
              </w:rPr>
              <w:t>于珅</w:t>
            </w:r>
          </w:p>
        </w:tc>
        <w:tc>
          <w:tcPr>
            <w:tcW w:w="3544" w:type="dxa"/>
            <w:vAlign w:val="center"/>
          </w:tcPr>
          <w:p w14:paraId="3E46C382" w14:textId="6ADC4D86" w:rsidR="00255081" w:rsidRDefault="00255081" w:rsidP="00255081">
            <w:pPr>
              <w:pStyle w:val="TableParagraph"/>
              <w:spacing w:line="360" w:lineRule="auto"/>
              <w:ind w:left="107" w:right="96"/>
              <w:jc w:val="both"/>
              <w:rPr>
                <w:rFonts w:ascii="楷体" w:eastAsia="楷体" w:hAnsi="楷体" w:cs="宋体" w:hint="eastAsia"/>
                <w:color w:val="000000"/>
                <w:sz w:val="21"/>
                <w:szCs w:val="21"/>
                <w:lang w:val="en-US"/>
              </w:rPr>
            </w:pPr>
            <w:r>
              <w:rPr>
                <w:rFonts w:ascii="楷体" w:eastAsia="楷体" w:hAnsi="楷体" w:cs="宋体" w:hint="eastAsia"/>
                <w:color w:val="000000"/>
                <w:sz w:val="21"/>
                <w:szCs w:val="21"/>
                <w:lang w:val="en-US"/>
              </w:rPr>
              <w:t>朱雀基金</w:t>
            </w:r>
          </w:p>
        </w:tc>
      </w:tr>
      <w:tr w:rsidR="00255081" w14:paraId="362ABBFF" w14:textId="77777777">
        <w:trPr>
          <w:trHeight w:val="39"/>
          <w:jc w:val="center"/>
        </w:trPr>
        <w:tc>
          <w:tcPr>
            <w:tcW w:w="1555" w:type="dxa"/>
            <w:vMerge/>
            <w:vAlign w:val="center"/>
          </w:tcPr>
          <w:p w14:paraId="1356D6E1" w14:textId="77777777" w:rsidR="00255081" w:rsidRDefault="00255081" w:rsidP="00255081">
            <w:pPr>
              <w:pStyle w:val="TableParagraph"/>
              <w:spacing w:line="360" w:lineRule="auto"/>
              <w:ind w:left="107" w:right="96"/>
              <w:jc w:val="both"/>
              <w:rPr>
                <w:rFonts w:ascii="楷体" w:eastAsia="楷体" w:hAnsi="楷体" w:cs="宋体"/>
                <w:sz w:val="21"/>
                <w:szCs w:val="21"/>
              </w:rPr>
            </w:pPr>
          </w:p>
        </w:tc>
        <w:tc>
          <w:tcPr>
            <w:tcW w:w="992" w:type="dxa"/>
            <w:vAlign w:val="center"/>
          </w:tcPr>
          <w:p w14:paraId="0AC25644" w14:textId="2C52378D" w:rsidR="00255081" w:rsidRDefault="00255081" w:rsidP="00255081">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胡靓</w:t>
            </w:r>
          </w:p>
        </w:tc>
        <w:tc>
          <w:tcPr>
            <w:tcW w:w="3277" w:type="dxa"/>
            <w:vAlign w:val="center"/>
          </w:tcPr>
          <w:p w14:paraId="30616B80" w14:textId="6929D624" w:rsidR="00255081" w:rsidRDefault="00255081" w:rsidP="00255081">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富国基金</w:t>
            </w:r>
          </w:p>
        </w:tc>
        <w:tc>
          <w:tcPr>
            <w:tcW w:w="1259" w:type="dxa"/>
            <w:vAlign w:val="center"/>
          </w:tcPr>
          <w:p w14:paraId="70ED7A4B" w14:textId="554875C5" w:rsidR="00255081" w:rsidRDefault="00255081" w:rsidP="00255081">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王少南</w:t>
            </w:r>
          </w:p>
        </w:tc>
        <w:tc>
          <w:tcPr>
            <w:tcW w:w="3544" w:type="dxa"/>
            <w:vAlign w:val="center"/>
          </w:tcPr>
          <w:p w14:paraId="5D777699" w14:textId="57DAF383" w:rsidR="00255081" w:rsidRDefault="00255081" w:rsidP="00255081">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银河基金</w:t>
            </w:r>
          </w:p>
        </w:tc>
      </w:tr>
      <w:tr w:rsidR="00255081" w14:paraId="52F8B410" w14:textId="77777777">
        <w:trPr>
          <w:trHeight w:val="39"/>
          <w:jc w:val="center"/>
        </w:trPr>
        <w:tc>
          <w:tcPr>
            <w:tcW w:w="1555" w:type="dxa"/>
            <w:vMerge/>
            <w:vAlign w:val="center"/>
          </w:tcPr>
          <w:p w14:paraId="0BDD1968" w14:textId="77777777" w:rsidR="00255081" w:rsidRDefault="00255081" w:rsidP="00255081">
            <w:pPr>
              <w:pStyle w:val="TableParagraph"/>
              <w:spacing w:line="360" w:lineRule="auto"/>
              <w:ind w:left="107" w:right="96"/>
              <w:jc w:val="both"/>
              <w:rPr>
                <w:rFonts w:ascii="楷体" w:eastAsia="楷体" w:hAnsi="楷体" w:cs="宋体"/>
                <w:sz w:val="21"/>
                <w:szCs w:val="21"/>
              </w:rPr>
            </w:pPr>
          </w:p>
        </w:tc>
        <w:tc>
          <w:tcPr>
            <w:tcW w:w="992" w:type="dxa"/>
            <w:vAlign w:val="center"/>
          </w:tcPr>
          <w:p w14:paraId="2B582A52" w14:textId="3BC23A49" w:rsidR="00255081" w:rsidRDefault="00255081" w:rsidP="00255081">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李平祝</w:t>
            </w:r>
          </w:p>
        </w:tc>
        <w:tc>
          <w:tcPr>
            <w:tcW w:w="3277" w:type="dxa"/>
            <w:vAlign w:val="center"/>
          </w:tcPr>
          <w:p w14:paraId="0591D205" w14:textId="115A239B" w:rsidR="00255081" w:rsidRDefault="00255081" w:rsidP="00255081">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建信养老</w:t>
            </w:r>
          </w:p>
        </w:tc>
        <w:tc>
          <w:tcPr>
            <w:tcW w:w="1259" w:type="dxa"/>
            <w:vAlign w:val="center"/>
          </w:tcPr>
          <w:p w14:paraId="34409E99" w14:textId="2AEC737B" w:rsidR="00255081" w:rsidRDefault="00255081" w:rsidP="00255081">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谢秉稚</w:t>
            </w:r>
          </w:p>
        </w:tc>
        <w:tc>
          <w:tcPr>
            <w:tcW w:w="3544" w:type="dxa"/>
            <w:vAlign w:val="center"/>
          </w:tcPr>
          <w:p w14:paraId="3ABF7057" w14:textId="4C16FCF1" w:rsidR="00255081" w:rsidRDefault="00255081" w:rsidP="00255081">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中国国际金融股份</w:t>
            </w:r>
          </w:p>
        </w:tc>
      </w:tr>
      <w:tr w:rsidR="00CC61DE" w14:paraId="7182EFA1" w14:textId="77777777">
        <w:trPr>
          <w:trHeight w:val="39"/>
          <w:jc w:val="center"/>
        </w:trPr>
        <w:tc>
          <w:tcPr>
            <w:tcW w:w="1555" w:type="dxa"/>
            <w:vMerge/>
            <w:vAlign w:val="center"/>
          </w:tcPr>
          <w:p w14:paraId="3F46B6CB"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0677611D" w14:textId="3EC7F528"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陈子洋</w:t>
            </w:r>
          </w:p>
        </w:tc>
        <w:tc>
          <w:tcPr>
            <w:tcW w:w="3277" w:type="dxa"/>
            <w:vAlign w:val="center"/>
          </w:tcPr>
          <w:p w14:paraId="4ACE2626" w14:textId="1814CCDC"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前海开源基金</w:t>
            </w:r>
          </w:p>
        </w:tc>
        <w:tc>
          <w:tcPr>
            <w:tcW w:w="1259" w:type="dxa"/>
            <w:vAlign w:val="center"/>
          </w:tcPr>
          <w:p w14:paraId="3314BBC7" w14:textId="53485AB1"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刘平</w:t>
            </w:r>
          </w:p>
        </w:tc>
        <w:tc>
          <w:tcPr>
            <w:tcW w:w="3544" w:type="dxa"/>
            <w:vAlign w:val="center"/>
          </w:tcPr>
          <w:p w14:paraId="7ED0C59D" w14:textId="19CC21A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汐泰</w:t>
            </w:r>
          </w:p>
        </w:tc>
      </w:tr>
      <w:tr w:rsidR="00CC61DE" w14:paraId="6BB4FD7C" w14:textId="77777777">
        <w:trPr>
          <w:trHeight w:val="39"/>
          <w:jc w:val="center"/>
        </w:trPr>
        <w:tc>
          <w:tcPr>
            <w:tcW w:w="1555" w:type="dxa"/>
            <w:vMerge/>
            <w:vAlign w:val="center"/>
          </w:tcPr>
          <w:p w14:paraId="5DF8A55A"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163E9598"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吴頔</w:t>
            </w:r>
          </w:p>
        </w:tc>
        <w:tc>
          <w:tcPr>
            <w:tcW w:w="3277" w:type="dxa"/>
            <w:vAlign w:val="center"/>
          </w:tcPr>
          <w:p w14:paraId="140314F7" w14:textId="3CF0A11A"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浦银安盛基金</w:t>
            </w:r>
          </w:p>
        </w:tc>
        <w:tc>
          <w:tcPr>
            <w:tcW w:w="1259" w:type="dxa"/>
            <w:vAlign w:val="center"/>
          </w:tcPr>
          <w:p w14:paraId="48F4CFC9"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戴晨阳</w:t>
            </w:r>
          </w:p>
        </w:tc>
        <w:tc>
          <w:tcPr>
            <w:tcW w:w="3544" w:type="dxa"/>
            <w:vAlign w:val="center"/>
          </w:tcPr>
          <w:p w14:paraId="74D250B1" w14:textId="2C5B12E5"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浦银安盛基金</w:t>
            </w:r>
          </w:p>
        </w:tc>
      </w:tr>
      <w:tr w:rsidR="00CC61DE" w14:paraId="0740BC4A" w14:textId="77777777">
        <w:trPr>
          <w:trHeight w:val="39"/>
          <w:jc w:val="center"/>
        </w:trPr>
        <w:tc>
          <w:tcPr>
            <w:tcW w:w="1555" w:type="dxa"/>
            <w:vMerge/>
            <w:vAlign w:val="center"/>
          </w:tcPr>
          <w:p w14:paraId="726AC38E"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7E742C61" w14:textId="7E1D2B7B"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邓艺</w:t>
            </w:r>
          </w:p>
        </w:tc>
        <w:tc>
          <w:tcPr>
            <w:tcW w:w="3277" w:type="dxa"/>
            <w:vAlign w:val="center"/>
          </w:tcPr>
          <w:p w14:paraId="1216FD42" w14:textId="401A051F"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招商基金</w:t>
            </w:r>
          </w:p>
        </w:tc>
        <w:tc>
          <w:tcPr>
            <w:tcW w:w="1259" w:type="dxa"/>
            <w:vAlign w:val="center"/>
          </w:tcPr>
          <w:p w14:paraId="3ECFD58F"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蓝爱</w:t>
            </w:r>
          </w:p>
        </w:tc>
        <w:tc>
          <w:tcPr>
            <w:tcW w:w="3544" w:type="dxa"/>
            <w:vAlign w:val="center"/>
          </w:tcPr>
          <w:p w14:paraId="0E24470C" w14:textId="0847913E"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巨杉（上海）资产管理</w:t>
            </w:r>
          </w:p>
        </w:tc>
      </w:tr>
      <w:tr w:rsidR="00CC61DE" w14:paraId="62615E46" w14:textId="77777777">
        <w:trPr>
          <w:trHeight w:val="39"/>
          <w:jc w:val="center"/>
        </w:trPr>
        <w:tc>
          <w:tcPr>
            <w:tcW w:w="1555" w:type="dxa"/>
            <w:vMerge/>
            <w:vAlign w:val="center"/>
          </w:tcPr>
          <w:p w14:paraId="68B9D237"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4FB1F90D"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刘汉思</w:t>
            </w:r>
          </w:p>
        </w:tc>
        <w:tc>
          <w:tcPr>
            <w:tcW w:w="3277" w:type="dxa"/>
            <w:vAlign w:val="center"/>
          </w:tcPr>
          <w:p w14:paraId="076543BE" w14:textId="39D2DB24"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国泰君安资产管理</w:t>
            </w:r>
          </w:p>
        </w:tc>
        <w:tc>
          <w:tcPr>
            <w:tcW w:w="1259" w:type="dxa"/>
            <w:vAlign w:val="center"/>
          </w:tcPr>
          <w:p w14:paraId="62878736"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费征帅</w:t>
            </w:r>
          </w:p>
        </w:tc>
        <w:tc>
          <w:tcPr>
            <w:tcW w:w="3544" w:type="dxa"/>
            <w:vAlign w:val="center"/>
          </w:tcPr>
          <w:p w14:paraId="79CB51E7" w14:textId="3C9BAEE5"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北京信弘天禾</w:t>
            </w:r>
          </w:p>
        </w:tc>
      </w:tr>
      <w:tr w:rsidR="00CC61DE" w14:paraId="2FB6E6C9" w14:textId="77777777">
        <w:trPr>
          <w:trHeight w:val="39"/>
          <w:jc w:val="center"/>
        </w:trPr>
        <w:tc>
          <w:tcPr>
            <w:tcW w:w="1555" w:type="dxa"/>
            <w:vMerge/>
            <w:vAlign w:val="center"/>
          </w:tcPr>
          <w:p w14:paraId="014B1DC9"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1E87A5AA"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张小郭</w:t>
            </w:r>
          </w:p>
        </w:tc>
        <w:tc>
          <w:tcPr>
            <w:tcW w:w="3277" w:type="dxa"/>
            <w:vAlign w:val="center"/>
          </w:tcPr>
          <w:p w14:paraId="5C7B1305" w14:textId="692DC36D"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创金合信基金</w:t>
            </w:r>
          </w:p>
        </w:tc>
        <w:tc>
          <w:tcPr>
            <w:tcW w:w="1259" w:type="dxa"/>
            <w:vAlign w:val="center"/>
          </w:tcPr>
          <w:p w14:paraId="5B0FFA5A" w14:textId="7C85DD1B"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钱坤</w:t>
            </w:r>
          </w:p>
        </w:tc>
        <w:tc>
          <w:tcPr>
            <w:tcW w:w="3544" w:type="dxa"/>
            <w:vAlign w:val="center"/>
          </w:tcPr>
          <w:p w14:paraId="63053EF2" w14:textId="36805D8E"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浙江益恒投资</w:t>
            </w:r>
          </w:p>
        </w:tc>
      </w:tr>
      <w:tr w:rsidR="00CC61DE" w14:paraId="521648D2" w14:textId="77777777">
        <w:trPr>
          <w:trHeight w:val="39"/>
          <w:jc w:val="center"/>
        </w:trPr>
        <w:tc>
          <w:tcPr>
            <w:tcW w:w="1555" w:type="dxa"/>
            <w:vMerge/>
            <w:vAlign w:val="center"/>
          </w:tcPr>
          <w:p w14:paraId="0F86AB09"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20AEDC3A"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温劭秋</w:t>
            </w:r>
          </w:p>
        </w:tc>
        <w:tc>
          <w:tcPr>
            <w:tcW w:w="3277" w:type="dxa"/>
            <w:vAlign w:val="center"/>
          </w:tcPr>
          <w:p w14:paraId="7943D31C" w14:textId="1BE6FCCE"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上海彤源投资</w:t>
            </w:r>
          </w:p>
        </w:tc>
        <w:tc>
          <w:tcPr>
            <w:tcW w:w="1259" w:type="dxa"/>
            <w:vAlign w:val="center"/>
          </w:tcPr>
          <w:p w14:paraId="55C7094D"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石川林</w:t>
            </w:r>
          </w:p>
        </w:tc>
        <w:tc>
          <w:tcPr>
            <w:tcW w:w="3544" w:type="dxa"/>
            <w:vAlign w:val="center"/>
          </w:tcPr>
          <w:p w14:paraId="3757BCDE" w14:textId="26A4D0B2"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青骊投资管理</w:t>
            </w:r>
          </w:p>
        </w:tc>
      </w:tr>
      <w:tr w:rsidR="00CC61DE" w14:paraId="0B38514A" w14:textId="77777777">
        <w:trPr>
          <w:trHeight w:val="39"/>
          <w:jc w:val="center"/>
        </w:trPr>
        <w:tc>
          <w:tcPr>
            <w:tcW w:w="1555" w:type="dxa"/>
            <w:vMerge/>
            <w:vAlign w:val="center"/>
          </w:tcPr>
          <w:p w14:paraId="13B2498D"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5A236626"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杜玙</w:t>
            </w:r>
          </w:p>
        </w:tc>
        <w:tc>
          <w:tcPr>
            <w:tcW w:w="3277" w:type="dxa"/>
            <w:vAlign w:val="center"/>
          </w:tcPr>
          <w:p w14:paraId="2192F419" w14:textId="077D30E6"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天风证券</w:t>
            </w:r>
          </w:p>
        </w:tc>
        <w:tc>
          <w:tcPr>
            <w:tcW w:w="1259" w:type="dxa"/>
            <w:vAlign w:val="center"/>
          </w:tcPr>
          <w:p w14:paraId="6BD429C6" w14:textId="06ED3303"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刘鹏</w:t>
            </w:r>
          </w:p>
        </w:tc>
        <w:tc>
          <w:tcPr>
            <w:tcW w:w="3544" w:type="dxa"/>
            <w:vAlign w:val="center"/>
          </w:tcPr>
          <w:p w14:paraId="2EBA32AD" w14:textId="54CABFEC"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江苏养正基金</w:t>
            </w:r>
          </w:p>
        </w:tc>
      </w:tr>
      <w:tr w:rsidR="00CC61DE" w14:paraId="5C1DFCDD" w14:textId="77777777">
        <w:trPr>
          <w:trHeight w:val="39"/>
          <w:jc w:val="center"/>
        </w:trPr>
        <w:tc>
          <w:tcPr>
            <w:tcW w:w="1555" w:type="dxa"/>
            <w:vMerge/>
            <w:vAlign w:val="center"/>
          </w:tcPr>
          <w:p w14:paraId="556B4E06"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706B4AF0"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王璐</w:t>
            </w:r>
          </w:p>
        </w:tc>
        <w:tc>
          <w:tcPr>
            <w:tcW w:w="3277" w:type="dxa"/>
            <w:vAlign w:val="center"/>
          </w:tcPr>
          <w:p w14:paraId="3C919B03" w14:textId="68C994A9"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天风证券</w:t>
            </w:r>
          </w:p>
        </w:tc>
        <w:tc>
          <w:tcPr>
            <w:tcW w:w="1259" w:type="dxa"/>
            <w:vAlign w:val="center"/>
          </w:tcPr>
          <w:p w14:paraId="22221B45" w14:textId="7928159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刘勇</w:t>
            </w:r>
          </w:p>
        </w:tc>
        <w:tc>
          <w:tcPr>
            <w:tcW w:w="3544" w:type="dxa"/>
            <w:vAlign w:val="center"/>
          </w:tcPr>
          <w:p w14:paraId="2491B7BD" w14:textId="11D1401D"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光大证券</w:t>
            </w:r>
          </w:p>
        </w:tc>
      </w:tr>
      <w:tr w:rsidR="00CC61DE" w14:paraId="43816F2C" w14:textId="77777777">
        <w:trPr>
          <w:trHeight w:val="39"/>
          <w:jc w:val="center"/>
        </w:trPr>
        <w:tc>
          <w:tcPr>
            <w:tcW w:w="1555" w:type="dxa"/>
            <w:vMerge/>
            <w:vAlign w:val="center"/>
          </w:tcPr>
          <w:p w14:paraId="51732B29"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7CC7C3BA"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孙鹏</w:t>
            </w:r>
          </w:p>
        </w:tc>
        <w:tc>
          <w:tcPr>
            <w:tcW w:w="3277" w:type="dxa"/>
            <w:vAlign w:val="center"/>
          </w:tcPr>
          <w:p w14:paraId="3B6D81DE" w14:textId="3BE495DD"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中信建投基金</w:t>
            </w:r>
          </w:p>
        </w:tc>
        <w:tc>
          <w:tcPr>
            <w:tcW w:w="1259" w:type="dxa"/>
            <w:vAlign w:val="center"/>
          </w:tcPr>
          <w:p w14:paraId="731BFA10" w14:textId="69962D52"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李曦辰</w:t>
            </w:r>
          </w:p>
        </w:tc>
        <w:tc>
          <w:tcPr>
            <w:tcW w:w="3544" w:type="dxa"/>
            <w:vAlign w:val="center"/>
          </w:tcPr>
          <w:p w14:paraId="13551E8B" w14:textId="4155A145"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阳光资产</w:t>
            </w:r>
          </w:p>
        </w:tc>
      </w:tr>
      <w:tr w:rsidR="00CC61DE" w14:paraId="2AAB234C" w14:textId="77777777">
        <w:trPr>
          <w:trHeight w:val="39"/>
          <w:jc w:val="center"/>
        </w:trPr>
        <w:tc>
          <w:tcPr>
            <w:tcW w:w="1555" w:type="dxa"/>
            <w:vMerge/>
            <w:vAlign w:val="center"/>
          </w:tcPr>
          <w:p w14:paraId="29E01E47"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338CE1ED" w14:textId="77777777"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魏巍</w:t>
            </w:r>
          </w:p>
        </w:tc>
        <w:tc>
          <w:tcPr>
            <w:tcW w:w="3277" w:type="dxa"/>
            <w:vAlign w:val="center"/>
          </w:tcPr>
          <w:p w14:paraId="2D18E0B1" w14:textId="4B562483"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中信证券</w:t>
            </w:r>
          </w:p>
        </w:tc>
        <w:tc>
          <w:tcPr>
            <w:tcW w:w="1259" w:type="dxa"/>
            <w:vAlign w:val="center"/>
          </w:tcPr>
          <w:p w14:paraId="3AA38474"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杨婷</w:t>
            </w:r>
          </w:p>
        </w:tc>
        <w:tc>
          <w:tcPr>
            <w:tcW w:w="3544" w:type="dxa"/>
            <w:vAlign w:val="center"/>
          </w:tcPr>
          <w:p w14:paraId="7673F230" w14:textId="42C39EA4"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复星保德信人寿保险</w:t>
            </w:r>
          </w:p>
        </w:tc>
      </w:tr>
      <w:tr w:rsidR="00CC61DE" w14:paraId="0174779A" w14:textId="77777777">
        <w:trPr>
          <w:trHeight w:val="39"/>
          <w:jc w:val="center"/>
        </w:trPr>
        <w:tc>
          <w:tcPr>
            <w:tcW w:w="1555" w:type="dxa"/>
            <w:vMerge/>
            <w:vAlign w:val="center"/>
          </w:tcPr>
          <w:p w14:paraId="3E8114FB"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5D873BAB" w14:textId="77777777"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冯明远</w:t>
            </w:r>
          </w:p>
        </w:tc>
        <w:tc>
          <w:tcPr>
            <w:tcW w:w="3277" w:type="dxa"/>
            <w:vAlign w:val="center"/>
          </w:tcPr>
          <w:p w14:paraId="0DBD6AF0" w14:textId="3D2C580C"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信达澳亚基金</w:t>
            </w:r>
          </w:p>
        </w:tc>
        <w:tc>
          <w:tcPr>
            <w:tcW w:w="1259" w:type="dxa"/>
            <w:vAlign w:val="center"/>
          </w:tcPr>
          <w:p w14:paraId="6A3623A7"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焦阳</w:t>
            </w:r>
          </w:p>
        </w:tc>
        <w:tc>
          <w:tcPr>
            <w:tcW w:w="3544" w:type="dxa"/>
            <w:vAlign w:val="center"/>
          </w:tcPr>
          <w:p w14:paraId="4280CA0B" w14:textId="65A9C661"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国联基金</w:t>
            </w:r>
          </w:p>
        </w:tc>
      </w:tr>
      <w:tr w:rsidR="00CC61DE" w14:paraId="37E76DBD" w14:textId="77777777">
        <w:trPr>
          <w:trHeight w:val="39"/>
          <w:jc w:val="center"/>
        </w:trPr>
        <w:tc>
          <w:tcPr>
            <w:tcW w:w="1555" w:type="dxa"/>
            <w:vMerge/>
            <w:vAlign w:val="center"/>
          </w:tcPr>
          <w:p w14:paraId="626B781B"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4168F4FA" w14:textId="77777777"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郭鹏</w:t>
            </w:r>
          </w:p>
        </w:tc>
        <w:tc>
          <w:tcPr>
            <w:tcW w:w="3277" w:type="dxa"/>
            <w:vAlign w:val="center"/>
          </w:tcPr>
          <w:p w14:paraId="366001C6" w14:textId="693A91E8"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华商基金</w:t>
            </w:r>
          </w:p>
        </w:tc>
        <w:tc>
          <w:tcPr>
            <w:tcW w:w="1259" w:type="dxa"/>
            <w:vAlign w:val="center"/>
          </w:tcPr>
          <w:p w14:paraId="676C71AA"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张小郭</w:t>
            </w:r>
          </w:p>
        </w:tc>
        <w:tc>
          <w:tcPr>
            <w:tcW w:w="3544" w:type="dxa"/>
            <w:vAlign w:val="center"/>
          </w:tcPr>
          <w:p w14:paraId="5C50D374" w14:textId="06FC716A"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创金合信基金</w:t>
            </w:r>
          </w:p>
        </w:tc>
      </w:tr>
      <w:tr w:rsidR="00CC61DE" w14:paraId="0621217E" w14:textId="77777777">
        <w:trPr>
          <w:trHeight w:val="39"/>
          <w:jc w:val="center"/>
        </w:trPr>
        <w:tc>
          <w:tcPr>
            <w:tcW w:w="1555" w:type="dxa"/>
            <w:vMerge/>
            <w:vAlign w:val="center"/>
          </w:tcPr>
          <w:p w14:paraId="23252332"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18262AEE" w14:textId="77777777"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王剑敏</w:t>
            </w:r>
          </w:p>
        </w:tc>
        <w:tc>
          <w:tcPr>
            <w:tcW w:w="3277" w:type="dxa"/>
            <w:vAlign w:val="center"/>
          </w:tcPr>
          <w:p w14:paraId="0378F25A" w14:textId="5B0FC957"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北京鑫翰资本</w:t>
            </w:r>
          </w:p>
        </w:tc>
        <w:tc>
          <w:tcPr>
            <w:tcW w:w="1259" w:type="dxa"/>
            <w:vAlign w:val="center"/>
          </w:tcPr>
          <w:p w14:paraId="197D2164"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李曦辰</w:t>
            </w:r>
          </w:p>
        </w:tc>
        <w:tc>
          <w:tcPr>
            <w:tcW w:w="3544" w:type="dxa"/>
            <w:vAlign w:val="center"/>
          </w:tcPr>
          <w:p w14:paraId="6F77C723" w14:textId="1D9793DA"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阳光资产管理</w:t>
            </w:r>
          </w:p>
        </w:tc>
      </w:tr>
      <w:tr w:rsidR="00CC61DE" w14:paraId="16BE447A" w14:textId="77777777">
        <w:trPr>
          <w:trHeight w:val="39"/>
          <w:jc w:val="center"/>
        </w:trPr>
        <w:tc>
          <w:tcPr>
            <w:tcW w:w="1555" w:type="dxa"/>
            <w:vMerge/>
            <w:vAlign w:val="center"/>
          </w:tcPr>
          <w:p w14:paraId="1C965A39"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2D86D262" w14:textId="77777777"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高娃</w:t>
            </w:r>
          </w:p>
        </w:tc>
        <w:tc>
          <w:tcPr>
            <w:tcW w:w="3277" w:type="dxa"/>
            <w:vAlign w:val="center"/>
          </w:tcPr>
          <w:p w14:paraId="068EE314" w14:textId="6CF50190"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恒泰证券</w:t>
            </w:r>
          </w:p>
        </w:tc>
        <w:tc>
          <w:tcPr>
            <w:tcW w:w="1259" w:type="dxa"/>
            <w:vAlign w:val="center"/>
          </w:tcPr>
          <w:p w14:paraId="3A0DF7A6"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何川</w:t>
            </w:r>
          </w:p>
        </w:tc>
        <w:tc>
          <w:tcPr>
            <w:tcW w:w="3544" w:type="dxa"/>
            <w:vAlign w:val="center"/>
          </w:tcPr>
          <w:p w14:paraId="25FB8552" w14:textId="330C5FF0"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巨杉（上海）资产管理</w:t>
            </w:r>
          </w:p>
        </w:tc>
      </w:tr>
      <w:tr w:rsidR="00CC61DE" w14:paraId="32E4A368" w14:textId="77777777">
        <w:trPr>
          <w:trHeight w:val="39"/>
          <w:jc w:val="center"/>
        </w:trPr>
        <w:tc>
          <w:tcPr>
            <w:tcW w:w="1555" w:type="dxa"/>
            <w:vMerge/>
            <w:vAlign w:val="center"/>
          </w:tcPr>
          <w:p w14:paraId="31E82275"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127FFA09" w14:textId="77777777"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梁悦芹</w:t>
            </w:r>
          </w:p>
        </w:tc>
        <w:tc>
          <w:tcPr>
            <w:tcW w:w="3277" w:type="dxa"/>
            <w:vAlign w:val="center"/>
          </w:tcPr>
          <w:p w14:paraId="5F0BAFB6" w14:textId="516A5092"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闻天私募证券投资基金</w:t>
            </w:r>
          </w:p>
        </w:tc>
        <w:tc>
          <w:tcPr>
            <w:tcW w:w="1259" w:type="dxa"/>
            <w:vAlign w:val="center"/>
          </w:tcPr>
          <w:p w14:paraId="4F8A04DC"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李峰</w:t>
            </w:r>
          </w:p>
        </w:tc>
        <w:tc>
          <w:tcPr>
            <w:tcW w:w="3544" w:type="dxa"/>
            <w:vAlign w:val="center"/>
          </w:tcPr>
          <w:p w14:paraId="697F1CFF" w14:textId="7CC94BB5"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平安证券</w:t>
            </w:r>
          </w:p>
        </w:tc>
      </w:tr>
      <w:tr w:rsidR="00CC61DE" w14:paraId="0C84062A" w14:textId="77777777">
        <w:trPr>
          <w:trHeight w:val="39"/>
          <w:jc w:val="center"/>
        </w:trPr>
        <w:tc>
          <w:tcPr>
            <w:tcW w:w="1555" w:type="dxa"/>
            <w:vMerge/>
            <w:vAlign w:val="center"/>
          </w:tcPr>
          <w:p w14:paraId="0FD35DE0"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17B8BE21" w14:textId="77777777"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黄鹏</w:t>
            </w:r>
          </w:p>
        </w:tc>
        <w:tc>
          <w:tcPr>
            <w:tcW w:w="3277" w:type="dxa"/>
            <w:vAlign w:val="center"/>
          </w:tcPr>
          <w:p w14:paraId="2462BAC8" w14:textId="76A1C794"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广州瑞民投资管理</w:t>
            </w:r>
          </w:p>
        </w:tc>
        <w:tc>
          <w:tcPr>
            <w:tcW w:w="1259" w:type="dxa"/>
            <w:vAlign w:val="center"/>
          </w:tcPr>
          <w:p w14:paraId="6A31C6B4"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陈慧超</w:t>
            </w:r>
          </w:p>
        </w:tc>
        <w:tc>
          <w:tcPr>
            <w:tcW w:w="3544" w:type="dxa"/>
            <w:vAlign w:val="center"/>
          </w:tcPr>
          <w:p w14:paraId="14519500" w14:textId="3772711A"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上海隆象私募基金</w:t>
            </w:r>
          </w:p>
        </w:tc>
      </w:tr>
      <w:tr w:rsidR="00CC61DE" w14:paraId="38CDE873" w14:textId="77777777">
        <w:trPr>
          <w:trHeight w:val="39"/>
          <w:jc w:val="center"/>
        </w:trPr>
        <w:tc>
          <w:tcPr>
            <w:tcW w:w="1555" w:type="dxa"/>
            <w:vMerge/>
            <w:vAlign w:val="center"/>
          </w:tcPr>
          <w:p w14:paraId="5AAD1D8F"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1158A3A0" w14:textId="4F7E33F7"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完永东</w:t>
            </w:r>
          </w:p>
        </w:tc>
        <w:tc>
          <w:tcPr>
            <w:tcW w:w="3277" w:type="dxa"/>
            <w:vAlign w:val="center"/>
          </w:tcPr>
          <w:p w14:paraId="277632CC" w14:textId="379C6518"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北京诚盛投资</w:t>
            </w:r>
          </w:p>
        </w:tc>
        <w:tc>
          <w:tcPr>
            <w:tcW w:w="1259" w:type="dxa"/>
            <w:vAlign w:val="center"/>
          </w:tcPr>
          <w:p w14:paraId="188AA1DE"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麦浩明</w:t>
            </w:r>
          </w:p>
        </w:tc>
        <w:tc>
          <w:tcPr>
            <w:tcW w:w="3544" w:type="dxa"/>
            <w:vAlign w:val="center"/>
          </w:tcPr>
          <w:p w14:paraId="5B1D3048" w14:textId="3C69C17F"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广州市航长投资管理</w:t>
            </w:r>
          </w:p>
        </w:tc>
      </w:tr>
      <w:tr w:rsidR="00CC61DE" w14:paraId="608CFE40" w14:textId="77777777">
        <w:trPr>
          <w:trHeight w:val="39"/>
          <w:jc w:val="center"/>
        </w:trPr>
        <w:tc>
          <w:tcPr>
            <w:tcW w:w="1555" w:type="dxa"/>
            <w:vMerge/>
            <w:vAlign w:val="center"/>
          </w:tcPr>
          <w:p w14:paraId="79E32662"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4A272BF1" w14:textId="05DF25CF"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陈万里</w:t>
            </w:r>
          </w:p>
        </w:tc>
        <w:tc>
          <w:tcPr>
            <w:tcW w:w="3277" w:type="dxa"/>
            <w:vAlign w:val="center"/>
          </w:tcPr>
          <w:p w14:paraId="01C9C46B" w14:textId="5CBA32BD"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诚通基金</w:t>
            </w:r>
          </w:p>
        </w:tc>
        <w:tc>
          <w:tcPr>
            <w:tcW w:w="1259" w:type="dxa"/>
            <w:vAlign w:val="center"/>
          </w:tcPr>
          <w:p w14:paraId="16BACB2C" w14:textId="1879EF10"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黄垲锐</w:t>
            </w:r>
          </w:p>
        </w:tc>
        <w:tc>
          <w:tcPr>
            <w:tcW w:w="3544" w:type="dxa"/>
            <w:vAlign w:val="center"/>
          </w:tcPr>
          <w:p w14:paraId="64155B48" w14:textId="18D507CA"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远信投资</w:t>
            </w:r>
          </w:p>
        </w:tc>
      </w:tr>
      <w:tr w:rsidR="00CC61DE" w14:paraId="53E2A127" w14:textId="77777777">
        <w:trPr>
          <w:trHeight w:val="39"/>
          <w:jc w:val="center"/>
        </w:trPr>
        <w:tc>
          <w:tcPr>
            <w:tcW w:w="1555" w:type="dxa"/>
            <w:vMerge/>
            <w:vAlign w:val="center"/>
          </w:tcPr>
          <w:p w14:paraId="41EC6C83"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13C78B7D" w14:textId="6E3973DE"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戴晨阳</w:t>
            </w:r>
          </w:p>
        </w:tc>
        <w:tc>
          <w:tcPr>
            <w:tcW w:w="3277" w:type="dxa"/>
            <w:vAlign w:val="center"/>
          </w:tcPr>
          <w:p w14:paraId="02BF1371" w14:textId="2D1F0B7A"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浦银安盛基金</w:t>
            </w:r>
          </w:p>
        </w:tc>
        <w:tc>
          <w:tcPr>
            <w:tcW w:w="1259" w:type="dxa"/>
            <w:vAlign w:val="center"/>
          </w:tcPr>
          <w:p w14:paraId="6A4D9AEC"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周户</w:t>
            </w:r>
          </w:p>
        </w:tc>
        <w:tc>
          <w:tcPr>
            <w:tcW w:w="3544" w:type="dxa"/>
            <w:vAlign w:val="center"/>
          </w:tcPr>
          <w:p w14:paraId="70C6EE9E"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中信建投基金</w:t>
            </w:r>
          </w:p>
        </w:tc>
      </w:tr>
      <w:tr w:rsidR="00CC61DE" w14:paraId="6021A0A9" w14:textId="77777777">
        <w:trPr>
          <w:trHeight w:val="39"/>
          <w:jc w:val="center"/>
        </w:trPr>
        <w:tc>
          <w:tcPr>
            <w:tcW w:w="1555" w:type="dxa"/>
            <w:vMerge/>
            <w:vAlign w:val="center"/>
          </w:tcPr>
          <w:p w14:paraId="6BBFACF6"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2783CA35" w14:textId="1B081CAB"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赵军华</w:t>
            </w:r>
          </w:p>
        </w:tc>
        <w:tc>
          <w:tcPr>
            <w:tcW w:w="3277" w:type="dxa"/>
            <w:vAlign w:val="center"/>
          </w:tcPr>
          <w:p w14:paraId="06648F47" w14:textId="21407B54"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中兵投资</w:t>
            </w:r>
          </w:p>
        </w:tc>
        <w:tc>
          <w:tcPr>
            <w:tcW w:w="1259" w:type="dxa"/>
            <w:vAlign w:val="center"/>
          </w:tcPr>
          <w:p w14:paraId="4EB8CCA4"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高云</w:t>
            </w:r>
          </w:p>
        </w:tc>
        <w:tc>
          <w:tcPr>
            <w:tcW w:w="3544" w:type="dxa"/>
            <w:vAlign w:val="center"/>
          </w:tcPr>
          <w:p w14:paraId="4A6F581D" w14:textId="6F0B1068"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武汉美阳投资管理</w:t>
            </w:r>
          </w:p>
        </w:tc>
      </w:tr>
      <w:tr w:rsidR="00CC61DE" w14:paraId="6F5BD874" w14:textId="77777777">
        <w:trPr>
          <w:trHeight w:val="39"/>
          <w:jc w:val="center"/>
        </w:trPr>
        <w:tc>
          <w:tcPr>
            <w:tcW w:w="1555" w:type="dxa"/>
            <w:vMerge/>
            <w:vAlign w:val="center"/>
          </w:tcPr>
          <w:p w14:paraId="1D89FA93"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66122E87" w14:textId="41C809A0"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贾凡</w:t>
            </w:r>
          </w:p>
        </w:tc>
        <w:tc>
          <w:tcPr>
            <w:tcW w:w="3277" w:type="dxa"/>
            <w:vAlign w:val="center"/>
          </w:tcPr>
          <w:p w14:paraId="18E77B6E" w14:textId="16815820"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碧云银霞投资管理</w:t>
            </w:r>
          </w:p>
        </w:tc>
        <w:tc>
          <w:tcPr>
            <w:tcW w:w="1259" w:type="dxa"/>
            <w:vAlign w:val="center"/>
          </w:tcPr>
          <w:p w14:paraId="1D3E91EA"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戴启明</w:t>
            </w:r>
          </w:p>
        </w:tc>
        <w:tc>
          <w:tcPr>
            <w:tcW w:w="3544" w:type="dxa"/>
            <w:vAlign w:val="center"/>
          </w:tcPr>
          <w:p w14:paraId="35E2B852" w14:textId="77777777"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兴业期货</w:t>
            </w:r>
          </w:p>
        </w:tc>
      </w:tr>
      <w:tr w:rsidR="00CC61DE" w14:paraId="664B3D29" w14:textId="77777777">
        <w:trPr>
          <w:trHeight w:val="39"/>
          <w:jc w:val="center"/>
        </w:trPr>
        <w:tc>
          <w:tcPr>
            <w:tcW w:w="1555" w:type="dxa"/>
            <w:vMerge/>
            <w:vAlign w:val="center"/>
          </w:tcPr>
          <w:p w14:paraId="6CE93EA5"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3855A42B" w14:textId="5F67A9D5"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李小斌</w:t>
            </w:r>
          </w:p>
        </w:tc>
        <w:tc>
          <w:tcPr>
            <w:tcW w:w="3277" w:type="dxa"/>
            <w:vAlign w:val="center"/>
          </w:tcPr>
          <w:p w14:paraId="75A361C1" w14:textId="26EB486A" w:rsidR="00CC61DE" w:rsidRDefault="00CC61DE" w:rsidP="00CC61DE">
            <w:pPr>
              <w:pStyle w:val="TableParagraph"/>
              <w:spacing w:line="360" w:lineRule="auto"/>
              <w:ind w:left="107" w:right="96"/>
              <w:jc w:val="both"/>
              <w:rPr>
                <w:rFonts w:ascii="楷体" w:eastAsia="楷体" w:hAnsi="楷体" w:cs="宋体"/>
                <w:color w:val="000000"/>
                <w:sz w:val="21"/>
                <w:szCs w:val="21"/>
                <w:lang w:val="en-US"/>
              </w:rPr>
            </w:pPr>
            <w:r>
              <w:rPr>
                <w:rFonts w:ascii="楷体" w:eastAsia="楷体" w:hAnsi="楷体" w:cs="宋体" w:hint="eastAsia"/>
                <w:color w:val="000000"/>
                <w:sz w:val="21"/>
                <w:szCs w:val="21"/>
                <w:lang w:val="en-US"/>
              </w:rPr>
              <w:t>深圳宏鼎</w:t>
            </w:r>
          </w:p>
        </w:tc>
        <w:tc>
          <w:tcPr>
            <w:tcW w:w="1259" w:type="dxa"/>
            <w:vAlign w:val="center"/>
          </w:tcPr>
          <w:p w14:paraId="24C17C78" w14:textId="1ED9C296"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胡聪玲</w:t>
            </w:r>
          </w:p>
        </w:tc>
        <w:tc>
          <w:tcPr>
            <w:tcW w:w="3544" w:type="dxa"/>
            <w:vAlign w:val="center"/>
          </w:tcPr>
          <w:p w14:paraId="59439D64" w14:textId="230AA57F" w:rsidR="00CC61DE" w:rsidRDefault="00CC61DE" w:rsidP="00CC61DE">
            <w:pPr>
              <w:pStyle w:val="TableParagraph"/>
              <w:spacing w:line="360" w:lineRule="auto"/>
              <w:ind w:left="107" w:right="96"/>
              <w:jc w:val="both"/>
              <w:rPr>
                <w:rFonts w:ascii="楷体" w:eastAsia="楷体" w:hAnsi="楷体" w:cs="宋体"/>
                <w:color w:val="000000"/>
                <w:sz w:val="21"/>
                <w:szCs w:val="21"/>
              </w:rPr>
            </w:pPr>
            <w:r>
              <w:rPr>
                <w:rFonts w:ascii="楷体" w:eastAsia="楷体" w:hAnsi="楷体" w:cs="宋体" w:hint="eastAsia"/>
                <w:color w:val="000000"/>
                <w:sz w:val="21"/>
                <w:szCs w:val="21"/>
                <w:lang w:val="en-US"/>
              </w:rPr>
              <w:t>全天候私募</w:t>
            </w:r>
          </w:p>
        </w:tc>
      </w:tr>
      <w:tr w:rsidR="00CC61DE" w14:paraId="7CF9A199" w14:textId="77777777">
        <w:trPr>
          <w:trHeight w:val="39"/>
          <w:jc w:val="center"/>
        </w:trPr>
        <w:tc>
          <w:tcPr>
            <w:tcW w:w="1555" w:type="dxa"/>
            <w:vMerge/>
            <w:vAlign w:val="center"/>
          </w:tcPr>
          <w:p w14:paraId="6981877E" w14:textId="77777777" w:rsidR="00CC61DE" w:rsidRDefault="00CC61DE" w:rsidP="00CC61DE">
            <w:pPr>
              <w:pStyle w:val="TableParagraph"/>
              <w:spacing w:line="360" w:lineRule="auto"/>
              <w:ind w:left="107" w:right="96"/>
              <w:jc w:val="both"/>
              <w:rPr>
                <w:rFonts w:ascii="楷体" w:eastAsia="楷体" w:hAnsi="楷体" w:cs="宋体"/>
                <w:sz w:val="21"/>
                <w:szCs w:val="21"/>
              </w:rPr>
            </w:pPr>
          </w:p>
        </w:tc>
        <w:tc>
          <w:tcPr>
            <w:tcW w:w="992" w:type="dxa"/>
            <w:vAlign w:val="center"/>
          </w:tcPr>
          <w:p w14:paraId="2937E7A8" w14:textId="2B45E3E6" w:rsidR="00CC61DE" w:rsidRDefault="00CC61DE" w:rsidP="00CC61DE">
            <w:pPr>
              <w:pStyle w:val="TableParagraph"/>
              <w:spacing w:line="360" w:lineRule="auto"/>
              <w:ind w:left="107" w:right="96"/>
              <w:jc w:val="both"/>
              <w:rPr>
                <w:rFonts w:ascii="楷体" w:eastAsia="楷体" w:hAnsi="楷体" w:cs="宋体" w:hint="eastAsia"/>
                <w:color w:val="000000"/>
                <w:sz w:val="21"/>
                <w:szCs w:val="21"/>
                <w:lang w:val="en-US"/>
              </w:rPr>
            </w:pPr>
            <w:r>
              <w:rPr>
                <w:rFonts w:ascii="楷体" w:eastAsia="楷体" w:hAnsi="楷体" w:cs="宋体" w:hint="eastAsia"/>
                <w:color w:val="000000"/>
                <w:sz w:val="21"/>
                <w:szCs w:val="21"/>
                <w:lang w:val="en-US"/>
              </w:rPr>
              <w:t>汪自兵</w:t>
            </w:r>
          </w:p>
        </w:tc>
        <w:tc>
          <w:tcPr>
            <w:tcW w:w="3277" w:type="dxa"/>
            <w:vAlign w:val="center"/>
          </w:tcPr>
          <w:p w14:paraId="60BEEDAC" w14:textId="3344BCC8" w:rsidR="00CC61DE" w:rsidRDefault="00CC61DE" w:rsidP="00CC61DE">
            <w:pPr>
              <w:pStyle w:val="TableParagraph"/>
              <w:spacing w:line="360" w:lineRule="auto"/>
              <w:ind w:left="107" w:right="96"/>
              <w:jc w:val="both"/>
              <w:rPr>
                <w:rFonts w:ascii="楷体" w:eastAsia="楷体" w:hAnsi="楷体" w:cs="宋体" w:hint="eastAsia"/>
                <w:color w:val="000000"/>
                <w:sz w:val="21"/>
                <w:szCs w:val="21"/>
                <w:lang w:val="en-US"/>
              </w:rPr>
            </w:pPr>
            <w:r>
              <w:rPr>
                <w:rFonts w:ascii="楷体" w:eastAsia="楷体" w:hAnsi="楷体" w:cs="宋体" w:hint="eastAsia"/>
                <w:color w:val="000000"/>
                <w:sz w:val="21"/>
                <w:szCs w:val="21"/>
                <w:lang w:val="en-US"/>
              </w:rPr>
              <w:t>上海方物私募基金</w:t>
            </w:r>
          </w:p>
        </w:tc>
        <w:tc>
          <w:tcPr>
            <w:tcW w:w="1259" w:type="dxa"/>
            <w:vAlign w:val="center"/>
          </w:tcPr>
          <w:p w14:paraId="17B0D0EE" w14:textId="63914E8F" w:rsidR="00CC61DE" w:rsidRDefault="00CC61DE" w:rsidP="00CC61DE">
            <w:pPr>
              <w:pStyle w:val="TableParagraph"/>
              <w:spacing w:line="360" w:lineRule="auto"/>
              <w:ind w:left="107" w:right="96"/>
              <w:jc w:val="both"/>
              <w:rPr>
                <w:rFonts w:ascii="楷体" w:eastAsia="楷体" w:hAnsi="楷体" w:cs="宋体" w:hint="eastAsia"/>
                <w:color w:val="000000"/>
                <w:sz w:val="21"/>
                <w:szCs w:val="21"/>
                <w:lang w:val="en-US"/>
              </w:rPr>
            </w:pPr>
          </w:p>
        </w:tc>
        <w:tc>
          <w:tcPr>
            <w:tcW w:w="3544" w:type="dxa"/>
            <w:vAlign w:val="center"/>
          </w:tcPr>
          <w:p w14:paraId="754BEE15" w14:textId="7050B735" w:rsidR="00CC61DE" w:rsidRDefault="00CC61DE" w:rsidP="00CC61DE">
            <w:pPr>
              <w:pStyle w:val="TableParagraph"/>
              <w:spacing w:line="360" w:lineRule="auto"/>
              <w:ind w:left="107" w:right="96"/>
              <w:jc w:val="both"/>
              <w:rPr>
                <w:rFonts w:ascii="楷体" w:eastAsia="楷体" w:hAnsi="楷体" w:cs="宋体" w:hint="eastAsia"/>
                <w:color w:val="000000"/>
                <w:sz w:val="21"/>
                <w:szCs w:val="21"/>
                <w:lang w:val="en-US"/>
              </w:rPr>
            </w:pPr>
          </w:p>
        </w:tc>
      </w:tr>
      <w:tr w:rsidR="00CC61DE" w14:paraId="29029176" w14:textId="77777777">
        <w:trPr>
          <w:trHeight w:val="558"/>
          <w:jc w:val="center"/>
        </w:trPr>
        <w:tc>
          <w:tcPr>
            <w:tcW w:w="1555" w:type="dxa"/>
            <w:tcBorders>
              <w:bottom w:val="single" w:sz="4" w:space="0" w:color="auto"/>
            </w:tcBorders>
            <w:vAlign w:val="center"/>
          </w:tcPr>
          <w:p w14:paraId="22FDC492" w14:textId="77777777" w:rsidR="00CC61DE" w:rsidRDefault="00CC61DE" w:rsidP="00CC61DE">
            <w:pPr>
              <w:pStyle w:val="TableParagraph"/>
              <w:spacing w:before="1" w:line="360" w:lineRule="auto"/>
              <w:ind w:firstLineChars="100" w:firstLine="210"/>
              <w:jc w:val="both"/>
              <w:rPr>
                <w:rFonts w:ascii="楷体" w:eastAsia="楷体" w:hAnsi="楷体" w:cs="宋体"/>
                <w:sz w:val="21"/>
                <w:szCs w:val="21"/>
              </w:rPr>
            </w:pPr>
            <w:r>
              <w:rPr>
                <w:rFonts w:ascii="楷体" w:eastAsia="楷体" w:hAnsi="楷体" w:cs="宋体" w:hint="eastAsia"/>
                <w:sz w:val="21"/>
                <w:szCs w:val="21"/>
              </w:rPr>
              <w:t>时间</w:t>
            </w:r>
          </w:p>
        </w:tc>
        <w:tc>
          <w:tcPr>
            <w:tcW w:w="9072" w:type="dxa"/>
            <w:gridSpan w:val="4"/>
            <w:tcBorders>
              <w:bottom w:val="single" w:sz="4" w:space="0" w:color="auto"/>
            </w:tcBorders>
            <w:vAlign w:val="center"/>
          </w:tcPr>
          <w:p w14:paraId="7C6AD1E1" w14:textId="77777777" w:rsidR="00CC61DE" w:rsidRDefault="00CC61DE" w:rsidP="00CC61DE">
            <w:pPr>
              <w:pStyle w:val="TableParagraph"/>
              <w:spacing w:line="360" w:lineRule="auto"/>
              <w:jc w:val="both"/>
              <w:rPr>
                <w:rFonts w:ascii="楷体" w:eastAsia="楷体" w:hAnsi="楷体" w:cs="宋体"/>
                <w:sz w:val="21"/>
                <w:szCs w:val="21"/>
              </w:rPr>
            </w:pPr>
            <w:r>
              <w:rPr>
                <w:rFonts w:ascii="楷体" w:eastAsia="楷体" w:hAnsi="楷体" w:cs="宋体" w:hint="eastAsia"/>
                <w:sz w:val="21"/>
                <w:szCs w:val="21"/>
              </w:rPr>
              <w:t>2</w:t>
            </w:r>
            <w:r>
              <w:rPr>
                <w:rFonts w:ascii="楷体" w:eastAsia="楷体" w:hAnsi="楷体" w:cs="宋体"/>
                <w:sz w:val="21"/>
                <w:szCs w:val="21"/>
              </w:rPr>
              <w:t>02</w:t>
            </w:r>
            <w:r>
              <w:rPr>
                <w:rFonts w:ascii="楷体" w:eastAsia="楷体" w:hAnsi="楷体" w:cs="宋体" w:hint="eastAsia"/>
                <w:sz w:val="21"/>
                <w:szCs w:val="21"/>
                <w:lang w:val="en-US"/>
              </w:rPr>
              <w:t>6</w:t>
            </w:r>
            <w:r>
              <w:rPr>
                <w:rFonts w:ascii="楷体" w:eastAsia="楷体" w:hAnsi="楷体" w:cs="宋体" w:hint="eastAsia"/>
                <w:sz w:val="21"/>
                <w:szCs w:val="21"/>
              </w:rPr>
              <w:t>年</w:t>
            </w:r>
            <w:r>
              <w:rPr>
                <w:rFonts w:ascii="楷体" w:eastAsia="楷体" w:hAnsi="楷体" w:cs="宋体" w:hint="eastAsia"/>
                <w:sz w:val="21"/>
                <w:szCs w:val="21"/>
                <w:lang w:val="en-US"/>
              </w:rPr>
              <w:t>04</w:t>
            </w:r>
            <w:r>
              <w:rPr>
                <w:rFonts w:ascii="楷体" w:eastAsia="楷体" w:hAnsi="楷体" w:cs="宋体" w:hint="eastAsia"/>
                <w:sz w:val="21"/>
                <w:szCs w:val="21"/>
              </w:rPr>
              <w:t>月</w:t>
            </w:r>
            <w:r>
              <w:rPr>
                <w:rFonts w:ascii="楷体" w:eastAsia="楷体" w:hAnsi="楷体" w:cs="宋体" w:hint="eastAsia"/>
                <w:sz w:val="21"/>
                <w:szCs w:val="21"/>
                <w:lang w:val="en-US"/>
              </w:rPr>
              <w:t>24</w:t>
            </w:r>
            <w:r>
              <w:rPr>
                <w:rFonts w:ascii="楷体" w:eastAsia="楷体" w:hAnsi="楷体" w:cs="宋体"/>
                <w:sz w:val="21"/>
                <w:szCs w:val="21"/>
              </w:rPr>
              <w:t>日</w:t>
            </w:r>
          </w:p>
        </w:tc>
      </w:tr>
      <w:tr w:rsidR="00CC61DE" w14:paraId="077EB17B" w14:textId="77777777">
        <w:trPr>
          <w:trHeight w:val="492"/>
          <w:jc w:val="center"/>
        </w:trPr>
        <w:tc>
          <w:tcPr>
            <w:tcW w:w="1555" w:type="dxa"/>
            <w:tcBorders>
              <w:top w:val="single" w:sz="4" w:space="0" w:color="auto"/>
              <w:left w:val="single" w:sz="4" w:space="0" w:color="auto"/>
              <w:bottom w:val="single" w:sz="4" w:space="0" w:color="auto"/>
              <w:right w:val="single" w:sz="4" w:space="0" w:color="auto"/>
            </w:tcBorders>
            <w:vAlign w:val="center"/>
          </w:tcPr>
          <w:p w14:paraId="629324EC" w14:textId="77777777" w:rsidR="00CC61DE" w:rsidRDefault="00CC61DE" w:rsidP="00CC61DE">
            <w:pPr>
              <w:pStyle w:val="TableParagraph"/>
              <w:spacing w:before="1" w:line="360" w:lineRule="auto"/>
              <w:ind w:right="96" w:firstLineChars="100" w:firstLine="210"/>
              <w:jc w:val="both"/>
              <w:rPr>
                <w:rFonts w:ascii="楷体" w:eastAsia="楷体" w:hAnsi="楷体" w:cs="宋体"/>
                <w:sz w:val="21"/>
                <w:szCs w:val="21"/>
              </w:rPr>
            </w:pPr>
            <w:r>
              <w:rPr>
                <w:rFonts w:ascii="楷体" w:eastAsia="楷体" w:hAnsi="楷体" w:cs="宋体" w:hint="eastAsia"/>
                <w:sz w:val="21"/>
                <w:szCs w:val="21"/>
              </w:rPr>
              <w:t>地点</w:t>
            </w:r>
          </w:p>
        </w:tc>
        <w:tc>
          <w:tcPr>
            <w:tcW w:w="9072" w:type="dxa"/>
            <w:gridSpan w:val="4"/>
            <w:tcBorders>
              <w:top w:val="single" w:sz="4" w:space="0" w:color="auto"/>
              <w:left w:val="single" w:sz="4" w:space="0" w:color="auto"/>
              <w:bottom w:val="single" w:sz="4" w:space="0" w:color="auto"/>
              <w:right w:val="single" w:sz="4" w:space="0" w:color="auto"/>
            </w:tcBorders>
            <w:vAlign w:val="center"/>
          </w:tcPr>
          <w:p w14:paraId="41FC4F65" w14:textId="77777777" w:rsidR="00CC61DE" w:rsidRDefault="00CC61DE" w:rsidP="00CC61DE">
            <w:pPr>
              <w:pStyle w:val="TableParagraph"/>
              <w:spacing w:before="1" w:line="360" w:lineRule="auto"/>
              <w:jc w:val="both"/>
              <w:rPr>
                <w:rFonts w:ascii="楷体" w:eastAsia="楷体" w:hAnsi="楷体" w:cs="宋体"/>
                <w:sz w:val="21"/>
                <w:szCs w:val="21"/>
              </w:rPr>
            </w:pPr>
            <w:r>
              <w:rPr>
                <w:rFonts w:ascii="楷体" w:eastAsia="楷体" w:hAnsi="楷体" w:cs="宋体" w:hint="eastAsia"/>
                <w:sz w:val="21"/>
                <w:szCs w:val="21"/>
              </w:rPr>
              <w:t>西安凯立新材料股份有限公司公司综合楼办公室</w:t>
            </w:r>
          </w:p>
        </w:tc>
      </w:tr>
      <w:tr w:rsidR="00CC61DE" w14:paraId="58B73452" w14:textId="77777777">
        <w:trPr>
          <w:trHeight w:val="558"/>
          <w:jc w:val="center"/>
        </w:trPr>
        <w:tc>
          <w:tcPr>
            <w:tcW w:w="1555" w:type="dxa"/>
            <w:tcBorders>
              <w:top w:val="single" w:sz="4" w:space="0" w:color="auto"/>
            </w:tcBorders>
            <w:vAlign w:val="center"/>
          </w:tcPr>
          <w:p w14:paraId="226B82B8" w14:textId="77777777" w:rsidR="00CC61DE" w:rsidRDefault="00CC61DE" w:rsidP="00CC61DE">
            <w:pPr>
              <w:pStyle w:val="TableParagraph"/>
              <w:spacing w:before="1" w:line="360" w:lineRule="auto"/>
              <w:jc w:val="both"/>
              <w:rPr>
                <w:rFonts w:ascii="楷体" w:eastAsia="楷体" w:hAnsi="楷体" w:cs="宋体"/>
                <w:sz w:val="21"/>
                <w:szCs w:val="21"/>
              </w:rPr>
            </w:pPr>
            <w:r>
              <w:rPr>
                <w:rFonts w:ascii="楷体" w:eastAsia="楷体" w:hAnsi="楷体" w:cs="宋体" w:hint="eastAsia"/>
                <w:sz w:val="21"/>
                <w:szCs w:val="21"/>
              </w:rPr>
              <w:t>公司接待人员姓名</w:t>
            </w:r>
          </w:p>
        </w:tc>
        <w:tc>
          <w:tcPr>
            <w:tcW w:w="9072" w:type="dxa"/>
            <w:gridSpan w:val="4"/>
            <w:tcBorders>
              <w:top w:val="single" w:sz="4" w:space="0" w:color="auto"/>
            </w:tcBorders>
            <w:vAlign w:val="center"/>
          </w:tcPr>
          <w:p w14:paraId="118287D1" w14:textId="77777777" w:rsidR="00CC61DE" w:rsidRDefault="00CC61DE" w:rsidP="00CC61DE">
            <w:pPr>
              <w:pStyle w:val="TableParagraph"/>
              <w:spacing w:line="360" w:lineRule="auto"/>
              <w:jc w:val="both"/>
              <w:rPr>
                <w:rFonts w:ascii="楷体" w:eastAsia="楷体" w:hAnsi="楷体" w:cs="宋体"/>
                <w:sz w:val="21"/>
                <w:szCs w:val="21"/>
              </w:rPr>
            </w:pPr>
            <w:r>
              <w:rPr>
                <w:rFonts w:ascii="楷体" w:eastAsia="楷体" w:hAnsi="楷体" w:cs="宋体" w:hint="eastAsia"/>
                <w:sz w:val="21"/>
                <w:szCs w:val="21"/>
              </w:rPr>
              <w:t>财务总监兼董事会秘书：曾利辉</w:t>
            </w:r>
          </w:p>
          <w:p w14:paraId="57A10E87" w14:textId="77777777" w:rsidR="00CC61DE" w:rsidRDefault="00CC61DE" w:rsidP="00CC61DE">
            <w:pPr>
              <w:pStyle w:val="TableParagraph"/>
              <w:spacing w:line="360" w:lineRule="auto"/>
              <w:jc w:val="both"/>
              <w:rPr>
                <w:rFonts w:ascii="楷体" w:eastAsia="楷体" w:hAnsi="楷体" w:cs="宋体"/>
                <w:sz w:val="21"/>
                <w:szCs w:val="21"/>
              </w:rPr>
            </w:pPr>
            <w:r>
              <w:rPr>
                <w:rFonts w:ascii="楷体" w:eastAsia="楷体" w:hAnsi="楷体" w:cs="宋体" w:hint="eastAsia"/>
                <w:sz w:val="21"/>
                <w:szCs w:val="21"/>
              </w:rPr>
              <w:t>证券事务代表：石婧文、曹渤杨</w:t>
            </w:r>
          </w:p>
        </w:tc>
      </w:tr>
      <w:tr w:rsidR="00CC61DE" w14:paraId="7ED2692C" w14:textId="77777777">
        <w:trPr>
          <w:trHeight w:val="1408"/>
          <w:jc w:val="center"/>
        </w:trPr>
        <w:tc>
          <w:tcPr>
            <w:tcW w:w="1555" w:type="dxa"/>
            <w:vAlign w:val="center"/>
          </w:tcPr>
          <w:p w14:paraId="3B171B90" w14:textId="77777777" w:rsidR="00CC61DE" w:rsidRDefault="00CC61DE" w:rsidP="00CC61DE">
            <w:pPr>
              <w:pStyle w:val="TableParagraph"/>
              <w:spacing w:before="1" w:line="360" w:lineRule="auto"/>
              <w:ind w:right="96"/>
              <w:jc w:val="both"/>
              <w:rPr>
                <w:rFonts w:ascii="楷体" w:eastAsia="楷体" w:hAnsi="楷体" w:cs="宋体"/>
                <w:sz w:val="21"/>
                <w:szCs w:val="21"/>
              </w:rPr>
            </w:pPr>
            <w:r>
              <w:rPr>
                <w:rFonts w:ascii="楷体" w:eastAsia="楷体" w:hAnsi="楷体" w:cs="宋体" w:hint="eastAsia"/>
                <w:sz w:val="21"/>
                <w:szCs w:val="21"/>
              </w:rPr>
              <w:t>投资者关系活动主要内容介绍</w:t>
            </w:r>
          </w:p>
        </w:tc>
        <w:tc>
          <w:tcPr>
            <w:tcW w:w="9072" w:type="dxa"/>
            <w:gridSpan w:val="4"/>
            <w:vAlign w:val="center"/>
          </w:tcPr>
          <w:p w14:paraId="5B0A0027" w14:textId="09B301F6" w:rsidR="00CC61DE" w:rsidRDefault="00CC61DE" w:rsidP="00CC61DE">
            <w:pPr>
              <w:spacing w:line="360" w:lineRule="auto"/>
              <w:jc w:val="both"/>
              <w:rPr>
                <w:rFonts w:ascii="楷体" w:eastAsia="楷体" w:hAnsi="楷体" w:cs="楷体"/>
                <w:b/>
                <w:bCs/>
                <w:sz w:val="24"/>
                <w:szCs w:val="24"/>
              </w:rPr>
            </w:pPr>
            <w:r>
              <w:rPr>
                <w:rFonts w:ascii="楷体" w:eastAsia="楷体" w:hAnsi="楷体" w:cs="楷体" w:hint="eastAsia"/>
                <w:b/>
                <w:bCs/>
                <w:sz w:val="24"/>
                <w:szCs w:val="24"/>
              </w:rPr>
              <w:t>1.请介绍公司2025年及2026年一季度整体经营与业绩情况？</w:t>
            </w:r>
          </w:p>
          <w:p w14:paraId="6AD5F3A1" w14:textId="7EE04E8A" w:rsidR="00CC61DE" w:rsidRDefault="00CC61DE" w:rsidP="00CC61DE">
            <w:pPr>
              <w:spacing w:line="360" w:lineRule="auto"/>
              <w:jc w:val="both"/>
              <w:rPr>
                <w:rFonts w:ascii="楷体" w:eastAsia="楷体" w:hAnsi="楷体" w:cs="楷体"/>
                <w:sz w:val="24"/>
                <w:szCs w:val="24"/>
              </w:rPr>
            </w:pPr>
            <w:r>
              <w:rPr>
                <w:rFonts w:ascii="楷体" w:eastAsia="楷体" w:hAnsi="楷体" w:cs="楷体" w:hint="eastAsia"/>
                <w:sz w:val="24"/>
                <w:szCs w:val="24"/>
              </w:rPr>
              <w:t>尊敬的投资者您好！近两年公司募投项目产能释放节奏符合预期，新产品落地和新市场开拓进展顺利，业绩企稳回升趋势已经形成，拐点已现并且呈现加速增长的态势，2025年和2026年一季度公司营收和利润均实现双增长，2025年公司营业收入20.3</w:t>
            </w:r>
            <w:r>
              <w:rPr>
                <w:rFonts w:ascii="楷体" w:eastAsia="楷体" w:hAnsi="楷体" w:cs="楷体"/>
                <w:sz w:val="24"/>
                <w:szCs w:val="24"/>
              </w:rPr>
              <w:t>1</w:t>
            </w:r>
            <w:r>
              <w:rPr>
                <w:rFonts w:ascii="楷体" w:eastAsia="楷体" w:hAnsi="楷体" w:cs="楷体" w:hint="eastAsia"/>
                <w:sz w:val="24"/>
                <w:szCs w:val="24"/>
              </w:rPr>
              <w:t>亿元，同比增长20.43%，扣非净利润1.17亿元，同比增长38.71%，2026年一季度营业收入7.5</w:t>
            </w:r>
            <w:r>
              <w:rPr>
                <w:rFonts w:ascii="楷体" w:eastAsia="楷体" w:hAnsi="楷体" w:cs="楷体"/>
                <w:sz w:val="24"/>
                <w:szCs w:val="24"/>
              </w:rPr>
              <w:t>5</w:t>
            </w:r>
            <w:r>
              <w:rPr>
                <w:rFonts w:ascii="楷体" w:eastAsia="楷体" w:hAnsi="楷体" w:cs="楷体" w:hint="eastAsia"/>
                <w:sz w:val="24"/>
                <w:szCs w:val="24"/>
              </w:rPr>
              <w:t>亿元，同比增长20.5</w:t>
            </w:r>
            <w:r>
              <w:rPr>
                <w:rFonts w:ascii="楷体" w:eastAsia="楷体" w:hAnsi="楷体" w:cs="楷体"/>
                <w:sz w:val="24"/>
                <w:szCs w:val="24"/>
              </w:rPr>
              <w:t>9</w:t>
            </w:r>
            <w:r>
              <w:rPr>
                <w:rFonts w:ascii="楷体" w:eastAsia="楷体" w:hAnsi="楷体" w:cs="楷体" w:hint="eastAsia"/>
                <w:sz w:val="24"/>
                <w:szCs w:val="24"/>
              </w:rPr>
              <w:t>%，扣非净利润4</w:t>
            </w:r>
            <w:r>
              <w:rPr>
                <w:rFonts w:ascii="楷体" w:eastAsia="楷体" w:hAnsi="楷体" w:cs="楷体"/>
                <w:sz w:val="24"/>
                <w:szCs w:val="24"/>
              </w:rPr>
              <w:t>,</w:t>
            </w:r>
            <w:r>
              <w:rPr>
                <w:rFonts w:ascii="楷体" w:eastAsia="楷体" w:hAnsi="楷体" w:cs="楷体" w:hint="eastAsia"/>
                <w:sz w:val="24"/>
                <w:szCs w:val="24"/>
              </w:rPr>
              <w:t>176</w:t>
            </w:r>
            <w:r>
              <w:rPr>
                <w:rFonts w:ascii="楷体" w:eastAsia="楷体" w:hAnsi="楷体" w:cs="楷体"/>
                <w:sz w:val="24"/>
                <w:szCs w:val="24"/>
              </w:rPr>
              <w:t>.56</w:t>
            </w:r>
            <w:r>
              <w:rPr>
                <w:rFonts w:ascii="楷体" w:eastAsia="楷体" w:hAnsi="楷体" w:cs="楷体" w:hint="eastAsia"/>
                <w:sz w:val="24"/>
                <w:szCs w:val="24"/>
              </w:rPr>
              <w:t>万元，同比增长78</w:t>
            </w:r>
            <w:r>
              <w:rPr>
                <w:rFonts w:ascii="楷体" w:eastAsia="楷体" w:hAnsi="楷体" w:cs="楷体"/>
                <w:sz w:val="24"/>
                <w:szCs w:val="24"/>
              </w:rPr>
              <w:t>.04</w:t>
            </w:r>
            <w:r>
              <w:rPr>
                <w:rFonts w:ascii="楷体" w:eastAsia="楷体" w:hAnsi="楷体" w:cs="楷体" w:hint="eastAsia"/>
                <w:sz w:val="24"/>
                <w:szCs w:val="24"/>
              </w:rPr>
              <w:t>%，2025年收入增长主要因为催化剂产品收入增加和业务结构变化，催化剂整体收入同比上升34.86%，2026年一季度增长主要因为单价较高的均相贵金属催化剂销量同比增加32.53%，同时产品结构变化也带动了利润增长。感谢您对公司的关注！</w:t>
            </w:r>
          </w:p>
          <w:p w14:paraId="2E80631F" w14:textId="6C882DE3" w:rsidR="00CC61DE" w:rsidRDefault="00CC61DE" w:rsidP="00CC61DE">
            <w:pPr>
              <w:spacing w:line="360" w:lineRule="auto"/>
              <w:jc w:val="both"/>
              <w:rPr>
                <w:rFonts w:ascii="楷体" w:eastAsia="楷体" w:hAnsi="楷体" w:cs="楷体"/>
                <w:b/>
                <w:bCs/>
                <w:sz w:val="24"/>
                <w:szCs w:val="24"/>
              </w:rPr>
            </w:pPr>
            <w:r>
              <w:rPr>
                <w:rFonts w:ascii="楷体" w:eastAsia="楷体" w:hAnsi="楷体" w:cs="楷体" w:hint="eastAsia"/>
                <w:b/>
                <w:bCs/>
                <w:sz w:val="24"/>
                <w:szCs w:val="24"/>
              </w:rPr>
              <w:t>2.2025年公司各业务领域收入结构与增长原因？</w:t>
            </w:r>
          </w:p>
          <w:p w14:paraId="54B31034" w14:textId="54D63C45" w:rsidR="00CC61DE" w:rsidRDefault="00CC61DE" w:rsidP="00CC61DE">
            <w:pPr>
              <w:spacing w:line="360" w:lineRule="auto"/>
              <w:jc w:val="both"/>
              <w:rPr>
                <w:rFonts w:ascii="楷体" w:eastAsia="楷体" w:hAnsi="楷体" w:cs="楷体"/>
                <w:sz w:val="24"/>
                <w:szCs w:val="24"/>
              </w:rPr>
            </w:pPr>
            <w:r>
              <w:rPr>
                <w:rFonts w:ascii="楷体" w:eastAsia="楷体" w:hAnsi="楷体" w:cs="楷体" w:hint="eastAsia"/>
                <w:sz w:val="24"/>
                <w:szCs w:val="24"/>
              </w:rPr>
              <w:t>尊敬的投资者您好！2025年公司各个领域收入比例稳定且营收持续增长。精细化工领域整体收入占比77.6</w:t>
            </w:r>
            <w:r>
              <w:rPr>
                <w:rFonts w:ascii="楷体" w:eastAsia="楷体" w:hAnsi="楷体" w:cs="楷体"/>
                <w:sz w:val="24"/>
                <w:szCs w:val="24"/>
              </w:rPr>
              <w:t>0</w:t>
            </w:r>
            <w:r>
              <w:rPr>
                <w:rFonts w:ascii="楷体" w:eastAsia="楷体" w:hAnsi="楷体" w:cs="楷体" w:hint="eastAsia"/>
                <w:sz w:val="24"/>
                <w:szCs w:val="24"/>
              </w:rPr>
              <w:t>%，其中医药占比45</w:t>
            </w:r>
            <w:r>
              <w:rPr>
                <w:rFonts w:ascii="楷体" w:eastAsia="楷体" w:hAnsi="楷体" w:cs="楷体"/>
                <w:sz w:val="24"/>
                <w:szCs w:val="24"/>
              </w:rPr>
              <w:t>.16</w:t>
            </w:r>
            <w:r>
              <w:rPr>
                <w:rFonts w:ascii="楷体" w:eastAsia="楷体" w:hAnsi="楷体" w:cs="楷体" w:hint="eastAsia"/>
                <w:sz w:val="24"/>
                <w:szCs w:val="24"/>
              </w:rPr>
              <w:t>%，收入同比增长49.43%，主要是医药领域核</w:t>
            </w:r>
            <w:r>
              <w:rPr>
                <w:rFonts w:ascii="楷体" w:eastAsia="楷体" w:hAnsi="楷体" w:cs="楷体" w:hint="eastAsia"/>
                <w:sz w:val="24"/>
                <w:szCs w:val="24"/>
              </w:rPr>
              <w:lastRenderedPageBreak/>
              <w:t>心客户需求增加、产品竞争力增强和市场份额提升，化工新材料占比22.4</w:t>
            </w:r>
            <w:r>
              <w:rPr>
                <w:rFonts w:ascii="楷体" w:eastAsia="楷体" w:hAnsi="楷体" w:cs="楷体"/>
                <w:sz w:val="24"/>
                <w:szCs w:val="24"/>
              </w:rPr>
              <w:t>0</w:t>
            </w:r>
            <w:r>
              <w:rPr>
                <w:rFonts w:ascii="楷体" w:eastAsia="楷体" w:hAnsi="楷体" w:cs="楷体" w:hint="eastAsia"/>
                <w:sz w:val="24"/>
                <w:szCs w:val="24"/>
              </w:rPr>
              <w:t>%，农药占比9.18%;基础化工领域收入占比19.33%，同比增长15.49%，主要因为PVC无汞催化剂和BDO催化剂实现了规模销售；环保新能源领域收入占比2.45%。感谢您对公司的关注！</w:t>
            </w:r>
          </w:p>
          <w:p w14:paraId="56F3553B" w14:textId="39D31927" w:rsidR="00CC61DE" w:rsidRDefault="00CC61DE" w:rsidP="00CC61DE">
            <w:pPr>
              <w:spacing w:line="360" w:lineRule="auto"/>
              <w:jc w:val="both"/>
              <w:rPr>
                <w:rFonts w:ascii="楷体" w:eastAsia="楷体" w:hAnsi="楷体" w:cs="楷体"/>
                <w:b/>
                <w:bCs/>
                <w:sz w:val="24"/>
                <w:szCs w:val="24"/>
              </w:rPr>
            </w:pPr>
            <w:r>
              <w:rPr>
                <w:rFonts w:ascii="楷体" w:eastAsia="楷体" w:hAnsi="楷体" w:cs="楷体" w:hint="eastAsia"/>
                <w:b/>
                <w:bCs/>
                <w:sz w:val="24"/>
                <w:szCs w:val="24"/>
              </w:rPr>
              <w:t>3.2025年公司重点开展了哪几方面工作？</w:t>
            </w:r>
          </w:p>
          <w:p w14:paraId="42D1E324" w14:textId="4D3909F5" w:rsidR="00CC61DE" w:rsidRDefault="00CC61DE" w:rsidP="00CC61DE">
            <w:pPr>
              <w:spacing w:line="360" w:lineRule="auto"/>
              <w:jc w:val="both"/>
              <w:rPr>
                <w:rFonts w:ascii="楷体" w:eastAsia="楷体" w:hAnsi="楷体" w:cs="楷体"/>
                <w:sz w:val="24"/>
                <w:szCs w:val="24"/>
              </w:rPr>
            </w:pPr>
            <w:r>
              <w:rPr>
                <w:rFonts w:ascii="楷体" w:eastAsia="楷体" w:hAnsi="楷体" w:cs="楷体" w:hint="eastAsia"/>
                <w:sz w:val="24"/>
                <w:szCs w:val="24"/>
              </w:rPr>
              <w:t>尊敬的投资者您好！2025年公司以催化为核心、聚焦主业、提质增效，重点开展了三方面工作，一是坚持技术创新增强核心竞争力，持续加大研发投入、引进高层次人才，建成研发数字化平台并借助理论计算和AI模拟提升研发效率，提升碳载贵金属催化剂性能与品质，同时与中科院大连化物所合作单原子催化剂制备技术、与西安交大开展催化理论基础研究，多个精细化工和基础化工用催化剂完成迭代并推向市场；二是加快技术成果转化、强化市场拓展，巩固精细化工用贵金属催化剂领先地位并荣获工信部制造业单项冠军企业称号，在基础化工领域突破多项卡脖子技术，液体氢化丁腈橡胶用催化剂及加氢工艺、乙烯法PVC用铜系催化剂、环己烷脱氢制苯催化剂、甲醇氧化制甲醛用铁钼催化剂、石油树脂加氢用镍锡催化剂等多个项目完成研发并进入产业化阶段，同时为市场提供催化剂研发、改进、工艺开发、失效催化剂循环利用、废水废气治理全流程服务；三是加快产能释放、提升投资收益率，铜川凯立成为新产品主要生产基地之一，2025年新增4条催化剂中试示范生产线，回收产能利用率提升12.59%，氢化丁腈橡胶产线建成投产并顺利产出多牌号产品，实现销售并为下游领域延伸奠定基础。感谢您对公司的关注！</w:t>
            </w:r>
          </w:p>
          <w:p w14:paraId="749ECC2A" w14:textId="203FD373" w:rsidR="00CC61DE" w:rsidRDefault="00CC61DE" w:rsidP="00CC61DE">
            <w:pPr>
              <w:spacing w:line="360" w:lineRule="auto"/>
              <w:jc w:val="both"/>
              <w:rPr>
                <w:rFonts w:ascii="楷体" w:eastAsia="楷体" w:hAnsi="楷体" w:cs="楷体"/>
                <w:b/>
                <w:bCs/>
                <w:sz w:val="24"/>
                <w:szCs w:val="24"/>
              </w:rPr>
            </w:pPr>
            <w:r>
              <w:rPr>
                <w:rFonts w:ascii="楷体" w:eastAsia="楷体" w:hAnsi="楷体" w:cs="楷体" w:hint="eastAsia"/>
                <w:b/>
                <w:bCs/>
                <w:sz w:val="24"/>
                <w:szCs w:val="24"/>
              </w:rPr>
              <w:t>4.请介绍一下PVC催化剂销量情况？</w:t>
            </w:r>
          </w:p>
          <w:p w14:paraId="2827858C" w14:textId="314A23F9" w:rsidR="00CC61DE" w:rsidRDefault="00CC61DE" w:rsidP="00CC61DE">
            <w:pPr>
              <w:spacing w:line="360" w:lineRule="auto"/>
              <w:jc w:val="both"/>
              <w:rPr>
                <w:rFonts w:ascii="楷体" w:eastAsia="楷体" w:hAnsi="楷体" w:cs="楷体"/>
                <w:sz w:val="24"/>
                <w:szCs w:val="24"/>
              </w:rPr>
            </w:pPr>
            <w:r>
              <w:rPr>
                <w:rFonts w:ascii="楷体" w:eastAsia="楷体" w:hAnsi="楷体" w:cs="楷体" w:hint="eastAsia"/>
                <w:sz w:val="24"/>
                <w:szCs w:val="24"/>
              </w:rPr>
              <w:t>尊敬的投资者您好！2025年公司PVC无汞催化剂销量为433吨，目前在手订单还有2</w:t>
            </w:r>
            <w:r>
              <w:rPr>
                <w:rFonts w:ascii="楷体" w:eastAsia="楷体" w:hAnsi="楷体" w:cs="楷体"/>
                <w:sz w:val="24"/>
                <w:szCs w:val="24"/>
              </w:rPr>
              <w:t>46</w:t>
            </w:r>
            <w:r>
              <w:rPr>
                <w:rFonts w:ascii="楷体" w:eastAsia="楷体" w:hAnsi="楷体" w:cs="楷体" w:hint="eastAsia"/>
                <w:sz w:val="24"/>
                <w:szCs w:val="24"/>
              </w:rPr>
              <w:t>吨，2026年一季度新签订单96吨，催化剂产品性能优异使用寿命比原来预期更长。感谢您对公司的关注！</w:t>
            </w:r>
          </w:p>
          <w:p w14:paraId="4452F6FE" w14:textId="77777777" w:rsidR="00CC61DE" w:rsidRDefault="00CC61DE" w:rsidP="00CC61DE">
            <w:pPr>
              <w:spacing w:line="360" w:lineRule="auto"/>
              <w:jc w:val="both"/>
              <w:rPr>
                <w:rFonts w:ascii="楷体" w:eastAsia="楷体" w:hAnsi="楷体" w:cs="楷体"/>
                <w:b/>
                <w:bCs/>
                <w:sz w:val="24"/>
                <w:szCs w:val="24"/>
              </w:rPr>
            </w:pPr>
            <w:r>
              <w:rPr>
                <w:rFonts w:ascii="楷体" w:eastAsia="楷体" w:hAnsi="楷体" w:cs="楷体" w:hint="eastAsia"/>
                <w:b/>
                <w:bCs/>
                <w:sz w:val="24"/>
                <w:szCs w:val="24"/>
                <w:lang w:val="en-US"/>
              </w:rPr>
              <w:t>5</w:t>
            </w:r>
            <w:r>
              <w:rPr>
                <w:rFonts w:ascii="楷体" w:eastAsia="楷体" w:hAnsi="楷体" w:cs="楷体" w:hint="eastAsia"/>
                <w:b/>
                <w:bCs/>
                <w:sz w:val="24"/>
                <w:szCs w:val="24"/>
              </w:rPr>
              <w:t>.铜川凯立的产能开工率水平如何？</w:t>
            </w:r>
          </w:p>
          <w:p w14:paraId="7BDE4D66" w14:textId="77777777" w:rsidR="00CC61DE" w:rsidRDefault="00CC61DE" w:rsidP="00CC61DE">
            <w:pPr>
              <w:spacing w:line="360" w:lineRule="auto"/>
              <w:jc w:val="both"/>
              <w:rPr>
                <w:rFonts w:ascii="楷体" w:eastAsia="楷体" w:hAnsi="楷体" w:cs="楷体"/>
                <w:sz w:val="24"/>
                <w:szCs w:val="24"/>
              </w:rPr>
            </w:pPr>
            <w:r>
              <w:rPr>
                <w:rFonts w:ascii="楷体" w:eastAsia="楷体" w:hAnsi="楷体" w:cs="楷体" w:hint="eastAsia"/>
                <w:sz w:val="24"/>
                <w:szCs w:val="24"/>
              </w:rPr>
              <w:t>尊敬的投资者您好！公司坚持稳健经营的方针，根据市场下游发展、订单开拓、竞争格局、国家产业政策等情况综合研判，循序渐进地进一步扩大产能利用率。铜川凯立实现高质量发展，成为新产品的主要生产基地之一，目前催化剂产能利用率22.78%，回收产线产能利用率47.22%。感谢您对公司的关注！</w:t>
            </w:r>
          </w:p>
          <w:p w14:paraId="70CEE1D2" w14:textId="77777777" w:rsidR="00CC61DE" w:rsidRDefault="00CC61DE" w:rsidP="00CC61DE">
            <w:pPr>
              <w:spacing w:line="360" w:lineRule="auto"/>
              <w:jc w:val="both"/>
              <w:rPr>
                <w:rFonts w:ascii="楷体" w:eastAsia="楷体" w:hAnsi="楷体" w:cs="楷体"/>
                <w:b/>
                <w:bCs/>
                <w:sz w:val="24"/>
                <w:szCs w:val="24"/>
              </w:rPr>
            </w:pPr>
            <w:r>
              <w:rPr>
                <w:rFonts w:ascii="楷体" w:eastAsia="楷体" w:hAnsi="楷体" w:cs="楷体" w:hint="eastAsia"/>
                <w:b/>
                <w:bCs/>
                <w:sz w:val="24"/>
                <w:szCs w:val="24"/>
                <w:lang w:val="en-US"/>
              </w:rPr>
              <w:t>6</w:t>
            </w:r>
            <w:r>
              <w:rPr>
                <w:rFonts w:ascii="楷体" w:eastAsia="楷体" w:hAnsi="楷体" w:cs="楷体" w:hint="eastAsia"/>
                <w:b/>
                <w:bCs/>
                <w:sz w:val="24"/>
                <w:szCs w:val="24"/>
              </w:rPr>
              <w:t>.陕西金泰成为了公司前五大客户，请简要介绍一下合作情况？</w:t>
            </w:r>
          </w:p>
          <w:p w14:paraId="338CE29A" w14:textId="77777777" w:rsidR="00CC61DE" w:rsidRDefault="00CC61DE" w:rsidP="00CC61DE">
            <w:pPr>
              <w:spacing w:line="360" w:lineRule="auto"/>
              <w:jc w:val="both"/>
              <w:rPr>
                <w:rFonts w:ascii="楷体" w:eastAsia="楷体" w:hAnsi="楷体" w:cs="楷体"/>
                <w:sz w:val="24"/>
                <w:szCs w:val="24"/>
              </w:rPr>
            </w:pPr>
            <w:r>
              <w:rPr>
                <w:rFonts w:ascii="楷体" w:eastAsia="楷体" w:hAnsi="楷体" w:cs="楷体" w:hint="eastAsia"/>
                <w:sz w:val="24"/>
                <w:szCs w:val="24"/>
              </w:rPr>
              <w:t>尊敬的投资者您好！公司与陕西金泰有销售、加工等多种合作模式，公司催化剂在其产</w:t>
            </w:r>
            <w:r>
              <w:rPr>
                <w:rFonts w:ascii="楷体" w:eastAsia="楷体" w:hAnsi="楷体" w:cs="楷体" w:hint="eastAsia"/>
                <w:sz w:val="24"/>
                <w:szCs w:val="24"/>
              </w:rPr>
              <w:lastRenderedPageBreak/>
              <w:t>线应用量较多，工业应用性能优异。同时，公司会针对其新建产线在工艺匹配度、工程放大过程中对催化剂性能的其他诉求进一步研发优化，满足客户需求，保障项目更加稳健顺利地达产达效。感谢您对公司的关注！</w:t>
            </w:r>
          </w:p>
          <w:p w14:paraId="0187AA64" w14:textId="28A2E83C" w:rsidR="00CC61DE" w:rsidRDefault="00CC61DE" w:rsidP="00CC61DE">
            <w:pPr>
              <w:spacing w:line="360" w:lineRule="auto"/>
              <w:jc w:val="both"/>
              <w:rPr>
                <w:rFonts w:ascii="楷体" w:eastAsia="楷体" w:hAnsi="楷体" w:cs="楷体"/>
                <w:b/>
                <w:bCs/>
                <w:sz w:val="24"/>
                <w:szCs w:val="24"/>
              </w:rPr>
            </w:pPr>
            <w:r>
              <w:rPr>
                <w:rFonts w:ascii="楷体" w:eastAsia="楷体" w:hAnsi="楷体" w:cs="楷体" w:hint="eastAsia"/>
                <w:b/>
                <w:bCs/>
                <w:sz w:val="24"/>
                <w:szCs w:val="24"/>
                <w:lang w:val="en-US"/>
              </w:rPr>
              <w:t>7</w:t>
            </w:r>
            <w:r>
              <w:rPr>
                <w:rFonts w:ascii="楷体" w:eastAsia="楷体" w:hAnsi="楷体" w:cs="楷体" w:hint="eastAsia"/>
                <w:b/>
                <w:bCs/>
                <w:sz w:val="24"/>
                <w:szCs w:val="24"/>
              </w:rPr>
              <w:t>.PVC存量装置无汞化改造需要多长时间、花费多少？</w:t>
            </w:r>
          </w:p>
          <w:p w14:paraId="1F07FB2E" w14:textId="0CB4196C" w:rsidR="00CC61DE" w:rsidRDefault="00CC61DE" w:rsidP="00CC61DE">
            <w:pPr>
              <w:spacing w:line="360" w:lineRule="auto"/>
              <w:jc w:val="both"/>
              <w:rPr>
                <w:rFonts w:ascii="楷体" w:eastAsia="楷体" w:hAnsi="楷体" w:cs="楷体"/>
                <w:sz w:val="24"/>
                <w:szCs w:val="24"/>
              </w:rPr>
            </w:pPr>
            <w:r>
              <w:rPr>
                <w:rFonts w:ascii="楷体" w:eastAsia="楷体" w:hAnsi="楷体" w:cs="楷体" w:hint="eastAsia"/>
                <w:sz w:val="24"/>
                <w:szCs w:val="24"/>
              </w:rPr>
              <w:t>尊敬的投资者您好！PVC产线无汞化改造需要经过报批、环评、安评、设计、设备采购、安装调试等全流程，整体大约需要一年以上的时间，改造费用相对偏高。企业可以通过申报相关政策优惠，一定程度缓解改造资金压力。感谢您对公司的关注！</w:t>
            </w:r>
          </w:p>
          <w:p w14:paraId="68A7DFA2" w14:textId="56D7DE3A" w:rsidR="00CC61DE" w:rsidRDefault="00CC61DE" w:rsidP="00CC61DE">
            <w:pPr>
              <w:spacing w:line="360" w:lineRule="auto"/>
              <w:jc w:val="both"/>
              <w:rPr>
                <w:rFonts w:ascii="楷体" w:eastAsia="楷体" w:hAnsi="楷体" w:cs="楷体"/>
                <w:b/>
                <w:bCs/>
                <w:sz w:val="24"/>
                <w:szCs w:val="24"/>
              </w:rPr>
            </w:pPr>
            <w:r>
              <w:rPr>
                <w:rFonts w:ascii="楷体" w:eastAsia="楷体" w:hAnsi="楷体" w:cs="楷体" w:hint="eastAsia"/>
                <w:b/>
                <w:bCs/>
                <w:sz w:val="24"/>
                <w:szCs w:val="24"/>
                <w:lang w:val="en-US"/>
              </w:rPr>
              <w:t>8</w:t>
            </w:r>
            <w:r>
              <w:rPr>
                <w:rFonts w:ascii="楷体" w:eastAsia="楷体" w:hAnsi="楷体" w:cs="楷体" w:hint="eastAsia"/>
                <w:b/>
                <w:bCs/>
                <w:sz w:val="24"/>
                <w:szCs w:val="24"/>
              </w:rPr>
              <w:t>.国家对PVC无汞化是否有强制性文件？工信部、生态环境部具体表述是什么？</w:t>
            </w:r>
          </w:p>
          <w:p w14:paraId="34B28994" w14:textId="32752D77" w:rsidR="00CC61DE" w:rsidRDefault="00CC61DE" w:rsidP="00CC61DE">
            <w:pPr>
              <w:spacing w:line="360" w:lineRule="auto"/>
              <w:jc w:val="both"/>
              <w:rPr>
                <w:rFonts w:ascii="楷体" w:eastAsia="楷体" w:hAnsi="楷体" w:cs="楷体"/>
                <w:sz w:val="24"/>
                <w:szCs w:val="24"/>
              </w:rPr>
            </w:pPr>
            <w:r>
              <w:rPr>
                <w:rFonts w:ascii="楷体" w:eastAsia="楷体" w:hAnsi="楷体" w:cs="楷体" w:hint="eastAsia"/>
                <w:sz w:val="24"/>
                <w:szCs w:val="24"/>
              </w:rPr>
              <w:t>尊敬的投资者您好！2017年《水俣公约》在我国缔约生效，禁止新建使用含汞催化剂的氯乙烯单体生产工艺；针对基于现有工艺无汞催化剂的氯乙烯单体生产，在缔约方大会确定技术和经济均可行5年后，不允许继续使用汞；原生汞矿要求在2032年前全面禁止开采。</w:t>
            </w:r>
          </w:p>
          <w:p w14:paraId="5B25FD11" w14:textId="7054050E" w:rsidR="00CC61DE" w:rsidRDefault="00CC61DE" w:rsidP="00CC61DE">
            <w:pPr>
              <w:spacing w:line="360" w:lineRule="auto"/>
              <w:jc w:val="both"/>
              <w:rPr>
                <w:rFonts w:ascii="楷体" w:eastAsia="楷体" w:hAnsi="楷体" w:cs="楷体"/>
                <w:sz w:val="24"/>
                <w:szCs w:val="24"/>
              </w:rPr>
            </w:pPr>
            <w:r>
              <w:rPr>
                <w:rFonts w:ascii="楷体" w:eastAsia="楷体" w:hAnsi="楷体" w:cs="楷体" w:hint="eastAsia"/>
                <w:sz w:val="24"/>
                <w:szCs w:val="24"/>
              </w:rPr>
              <w:t>2026年4月13日在乌鲁木齐召开的电石法聚氯乙烯行业座谈会明确指出，无汞化转型是推动电石法聚氯乙烯行业绿色发展的重要举措，要求行业企业高度重视、及早谋划、有序推进电石法聚氯乙烯无汞化转型。从行业进展来看，近两年PVC行业无汞化转型步伐明显加快。感谢您对公司的关注！</w:t>
            </w:r>
          </w:p>
          <w:p w14:paraId="12F3A278" w14:textId="77777777" w:rsidR="00CC61DE" w:rsidRDefault="00CC61DE" w:rsidP="00CC61DE">
            <w:pPr>
              <w:spacing w:line="360" w:lineRule="auto"/>
              <w:jc w:val="both"/>
              <w:rPr>
                <w:rFonts w:ascii="楷体" w:eastAsia="楷体" w:hAnsi="楷体" w:cs="楷体"/>
                <w:b/>
                <w:bCs/>
                <w:sz w:val="24"/>
                <w:szCs w:val="24"/>
              </w:rPr>
            </w:pPr>
            <w:r>
              <w:rPr>
                <w:rFonts w:ascii="楷体" w:eastAsia="楷体" w:hAnsi="楷体" w:cs="楷体" w:hint="eastAsia"/>
                <w:b/>
                <w:bCs/>
                <w:sz w:val="24"/>
                <w:szCs w:val="24"/>
                <w:lang w:val="en-US"/>
              </w:rPr>
              <w:t>9</w:t>
            </w:r>
            <w:r>
              <w:rPr>
                <w:rFonts w:ascii="楷体" w:eastAsia="楷体" w:hAnsi="楷体" w:cs="楷体" w:hint="eastAsia"/>
                <w:b/>
                <w:bCs/>
                <w:sz w:val="24"/>
                <w:szCs w:val="24"/>
              </w:rPr>
              <w:t>.均相催化剂销量增加对应哪些医药品种？后续医药催化剂增长如何展望？</w:t>
            </w:r>
          </w:p>
          <w:p w14:paraId="26D8C1D0" w14:textId="5A4266FD" w:rsidR="00CC61DE" w:rsidRDefault="00CC61DE" w:rsidP="00CC61DE">
            <w:pPr>
              <w:spacing w:line="360" w:lineRule="auto"/>
              <w:jc w:val="both"/>
              <w:rPr>
                <w:rFonts w:ascii="楷体" w:eastAsia="楷体" w:hAnsi="楷体" w:cs="楷体"/>
                <w:sz w:val="24"/>
                <w:szCs w:val="24"/>
              </w:rPr>
            </w:pPr>
            <w:r>
              <w:rPr>
                <w:rFonts w:ascii="楷体" w:eastAsia="楷体" w:hAnsi="楷体" w:cs="楷体" w:hint="eastAsia"/>
                <w:sz w:val="24"/>
                <w:szCs w:val="24"/>
              </w:rPr>
              <w:t>尊敬的投资者您好！公司均相贵金属催化剂主要应用于医药领域，该产品2026年一季度销量同比增长32.53%，因单价较高对一季度收入形成较大支撑，公司医药领域客户覆盖创新药到原料药，随着国内老龄化程度不断提高、健康中国战略推进，叠加国内医药企业加大创新药和原研药研发投入，未来医药催化剂发展前景乐观。感谢您对公司的关注！</w:t>
            </w:r>
          </w:p>
          <w:p w14:paraId="57ABFC9C" w14:textId="31A93464" w:rsidR="00CC61DE" w:rsidRDefault="00CC61DE" w:rsidP="00CC61DE">
            <w:pPr>
              <w:spacing w:line="360" w:lineRule="auto"/>
              <w:jc w:val="both"/>
              <w:rPr>
                <w:rFonts w:ascii="楷体" w:eastAsia="楷体" w:hAnsi="楷体" w:cs="楷体"/>
                <w:b/>
                <w:bCs/>
                <w:sz w:val="24"/>
                <w:szCs w:val="24"/>
              </w:rPr>
            </w:pPr>
            <w:r>
              <w:rPr>
                <w:rFonts w:ascii="楷体" w:eastAsia="楷体" w:hAnsi="楷体" w:cs="楷体" w:hint="eastAsia"/>
                <w:b/>
                <w:bCs/>
                <w:sz w:val="24"/>
                <w:szCs w:val="24"/>
              </w:rPr>
              <w:t>1</w:t>
            </w:r>
            <w:r>
              <w:rPr>
                <w:rFonts w:ascii="楷体" w:eastAsia="楷体" w:hAnsi="楷体" w:cs="楷体" w:hint="eastAsia"/>
                <w:b/>
                <w:bCs/>
                <w:sz w:val="24"/>
                <w:szCs w:val="24"/>
                <w:lang w:val="en-US"/>
              </w:rPr>
              <w:t>0</w:t>
            </w:r>
            <w:r>
              <w:rPr>
                <w:rFonts w:ascii="楷体" w:eastAsia="楷体" w:hAnsi="楷体" w:cs="楷体" w:hint="eastAsia"/>
                <w:b/>
                <w:bCs/>
                <w:sz w:val="24"/>
                <w:szCs w:val="24"/>
              </w:rPr>
              <w:t>.氢化丁腈橡胶2025年生产销售应用情况如何？</w:t>
            </w:r>
          </w:p>
          <w:p w14:paraId="519D07B9" w14:textId="56042EF1" w:rsidR="00CC61DE" w:rsidRDefault="00CC61DE" w:rsidP="00CC61DE">
            <w:pPr>
              <w:spacing w:line="360" w:lineRule="auto"/>
              <w:jc w:val="both"/>
              <w:rPr>
                <w:rFonts w:ascii="楷体" w:eastAsia="楷体" w:hAnsi="楷体" w:cs="楷体"/>
                <w:sz w:val="24"/>
                <w:szCs w:val="24"/>
              </w:rPr>
            </w:pPr>
            <w:r>
              <w:rPr>
                <w:rFonts w:ascii="楷体" w:eastAsia="楷体" w:hAnsi="楷体" w:cs="楷体" w:hint="eastAsia"/>
                <w:sz w:val="24"/>
                <w:szCs w:val="24"/>
              </w:rPr>
              <w:t>尊敬的投资者您好！</w:t>
            </w:r>
            <w:r w:rsidRPr="00954811">
              <w:rPr>
                <w:rFonts w:ascii="楷体" w:eastAsia="楷体" w:hAnsi="楷体" w:cs="楷体"/>
                <w:sz w:val="24"/>
                <w:szCs w:val="24"/>
              </w:rPr>
              <w:t>2025年公司HNBR（氢化丁腈橡胶项目）一期1,000吨/年的工业生产线建设完成，首次开车试生产并产出合格品，实现了公司在高端改性化工新材料领域的新突破。截至目前已顺利产出橡胶产品并实现销售。</w:t>
            </w:r>
            <w:r>
              <w:rPr>
                <w:rFonts w:ascii="楷体" w:eastAsia="楷体" w:hAnsi="楷体" w:cs="楷体" w:hint="eastAsia"/>
                <w:sz w:val="24"/>
                <w:szCs w:val="24"/>
              </w:rPr>
              <w:t>感谢您对公司的关注！</w:t>
            </w:r>
          </w:p>
          <w:p w14:paraId="416EE8AC" w14:textId="05DD35F0" w:rsidR="00CC61DE" w:rsidRDefault="00CC61DE" w:rsidP="00CC61DE">
            <w:pPr>
              <w:spacing w:line="360" w:lineRule="auto"/>
              <w:jc w:val="both"/>
              <w:rPr>
                <w:rFonts w:ascii="楷体" w:eastAsia="楷体" w:hAnsi="楷体" w:cs="楷体"/>
                <w:b/>
                <w:bCs/>
                <w:sz w:val="24"/>
                <w:szCs w:val="24"/>
              </w:rPr>
            </w:pPr>
            <w:r>
              <w:rPr>
                <w:rFonts w:ascii="楷体" w:eastAsia="楷体" w:hAnsi="楷体" w:cs="楷体" w:hint="eastAsia"/>
                <w:b/>
                <w:bCs/>
                <w:sz w:val="24"/>
                <w:szCs w:val="24"/>
              </w:rPr>
              <w:t>1</w:t>
            </w:r>
            <w:r>
              <w:rPr>
                <w:rFonts w:ascii="楷体" w:eastAsia="楷体" w:hAnsi="楷体" w:cs="楷体" w:hint="eastAsia"/>
                <w:b/>
                <w:bCs/>
                <w:sz w:val="24"/>
                <w:szCs w:val="24"/>
                <w:lang w:val="en-US"/>
              </w:rPr>
              <w:t>1</w:t>
            </w:r>
            <w:r>
              <w:rPr>
                <w:rFonts w:ascii="楷体" w:eastAsia="楷体" w:hAnsi="楷体" w:cs="楷体" w:hint="eastAsia"/>
                <w:b/>
                <w:bCs/>
                <w:sz w:val="24"/>
                <w:szCs w:val="24"/>
              </w:rPr>
              <w:t>.PDH催化剂研发进展与销量展望如何？</w:t>
            </w:r>
          </w:p>
          <w:p w14:paraId="54F30ED5" w14:textId="055E499D" w:rsidR="00CC61DE" w:rsidRDefault="00CC61DE" w:rsidP="00CC61DE">
            <w:pPr>
              <w:spacing w:line="360" w:lineRule="auto"/>
              <w:jc w:val="both"/>
              <w:rPr>
                <w:rFonts w:ascii="楷体" w:eastAsia="楷体" w:hAnsi="楷体" w:cs="楷体"/>
                <w:sz w:val="24"/>
                <w:szCs w:val="24"/>
              </w:rPr>
            </w:pPr>
            <w:r>
              <w:rPr>
                <w:rFonts w:ascii="楷体" w:eastAsia="楷体" w:hAnsi="楷体" w:cs="楷体" w:hint="eastAsia"/>
                <w:sz w:val="24"/>
                <w:szCs w:val="24"/>
              </w:rPr>
              <w:t>尊敬的投资者您好！公司在研项目“</w:t>
            </w:r>
            <w:r w:rsidRPr="001204E6">
              <w:rPr>
                <w:rFonts w:ascii="楷体" w:eastAsia="楷体" w:hAnsi="楷体" w:cs="楷体"/>
                <w:sz w:val="24"/>
                <w:szCs w:val="24"/>
              </w:rPr>
              <w:t>高性能烷烃脱氢铂系催化剂研发</w:t>
            </w:r>
            <w:r>
              <w:rPr>
                <w:rFonts w:ascii="楷体" w:eastAsia="楷体" w:hAnsi="楷体" w:cs="楷体" w:hint="eastAsia"/>
                <w:sz w:val="24"/>
                <w:szCs w:val="24"/>
              </w:rPr>
              <w:t>”已处于</w:t>
            </w:r>
            <w:r w:rsidRPr="001204E6">
              <w:rPr>
                <w:rFonts w:ascii="楷体" w:eastAsia="楷体" w:hAnsi="楷体" w:cs="楷体"/>
                <w:sz w:val="24"/>
                <w:szCs w:val="24"/>
              </w:rPr>
              <w:t>批量试产/产线建设，工序联动试生产，部分工业试用</w:t>
            </w:r>
            <w:r w:rsidRPr="001204E6">
              <w:rPr>
                <w:rFonts w:ascii="楷体" w:eastAsia="楷体" w:hAnsi="楷体" w:cs="楷体" w:hint="eastAsia"/>
                <w:sz w:val="24"/>
                <w:szCs w:val="24"/>
              </w:rPr>
              <w:t>阶段</w:t>
            </w:r>
            <w:r>
              <w:rPr>
                <w:rFonts w:ascii="楷体" w:eastAsia="楷体" w:hAnsi="楷体" w:cs="楷体" w:hint="eastAsia"/>
                <w:sz w:val="24"/>
                <w:szCs w:val="24"/>
              </w:rPr>
              <w:t>，</w:t>
            </w:r>
            <w:r w:rsidRPr="00954811">
              <w:rPr>
                <w:rFonts w:ascii="楷体" w:eastAsia="楷体" w:hAnsi="楷体" w:cs="楷体"/>
                <w:sz w:val="24"/>
                <w:szCs w:val="24"/>
              </w:rPr>
              <w:t>公司经过持续创新，完成自主研发设计的氧化铝载体产线和后段催化剂产线安装调试。该项目的产业化将实现从铝源到铂氧</w:t>
            </w:r>
            <w:r w:rsidRPr="00954811">
              <w:rPr>
                <w:rFonts w:ascii="楷体" w:eastAsia="楷体" w:hAnsi="楷体" w:cs="楷体"/>
                <w:sz w:val="24"/>
                <w:szCs w:val="24"/>
              </w:rPr>
              <w:lastRenderedPageBreak/>
              <w:t>化铝催化剂产品的全链条自主可控生产，为下游烷烃脱氢客户提供催化剂完全国产化供应保障</w:t>
            </w:r>
            <w:r>
              <w:rPr>
                <w:rFonts w:ascii="楷体" w:eastAsia="楷体" w:hAnsi="楷体" w:cs="楷体" w:hint="eastAsia"/>
                <w:sz w:val="24"/>
                <w:szCs w:val="24"/>
              </w:rPr>
              <w:t>，</w:t>
            </w:r>
            <w:r w:rsidRPr="00954811">
              <w:rPr>
                <w:rFonts w:ascii="楷体" w:eastAsia="楷体" w:hAnsi="楷体" w:cs="楷体"/>
                <w:sz w:val="24"/>
                <w:szCs w:val="24"/>
              </w:rPr>
              <w:t>该催化剂未来市场需求量有望达到2,000吨/年，以进口为主，国产替代市场前景广阔。</w:t>
            </w:r>
            <w:r>
              <w:rPr>
                <w:rFonts w:ascii="楷体" w:eastAsia="楷体" w:hAnsi="楷体" w:cs="楷体" w:hint="eastAsia"/>
                <w:sz w:val="24"/>
                <w:szCs w:val="24"/>
              </w:rPr>
              <w:t>“</w:t>
            </w:r>
            <w:r w:rsidRPr="001204E6">
              <w:rPr>
                <w:rFonts w:ascii="楷体" w:eastAsia="楷体" w:hAnsi="楷体" w:cs="楷体"/>
                <w:sz w:val="24"/>
                <w:szCs w:val="24"/>
              </w:rPr>
              <w:t>烷烃脱氢用高性能铬系催化材料的研制与产业化</w:t>
            </w:r>
            <w:r>
              <w:rPr>
                <w:rFonts w:ascii="楷体" w:eastAsia="楷体" w:hAnsi="楷体" w:cs="楷体" w:hint="eastAsia"/>
                <w:sz w:val="24"/>
                <w:szCs w:val="24"/>
              </w:rPr>
              <w:t>”项目已处于</w:t>
            </w:r>
            <w:r w:rsidRPr="001204E6">
              <w:rPr>
                <w:rFonts w:ascii="楷体" w:eastAsia="楷体" w:hAnsi="楷体" w:cs="楷体"/>
                <w:sz w:val="24"/>
                <w:szCs w:val="24"/>
              </w:rPr>
              <w:t>小试优化/中试放大</w:t>
            </w:r>
            <w:r w:rsidRPr="001204E6">
              <w:rPr>
                <w:rFonts w:ascii="楷体" w:eastAsia="楷体" w:hAnsi="楷体" w:cs="楷体" w:hint="eastAsia"/>
                <w:sz w:val="24"/>
                <w:szCs w:val="24"/>
              </w:rPr>
              <w:t>阶段。</w:t>
            </w:r>
            <w:r>
              <w:rPr>
                <w:rFonts w:ascii="楷体" w:eastAsia="楷体" w:hAnsi="楷体" w:cs="楷体" w:hint="eastAsia"/>
                <w:sz w:val="24"/>
                <w:szCs w:val="24"/>
              </w:rPr>
              <w:t>感谢您对公司的关注！</w:t>
            </w:r>
          </w:p>
          <w:p w14:paraId="520ED0B8" w14:textId="77777777" w:rsidR="00CC61DE" w:rsidRDefault="00CC61DE" w:rsidP="00CC61DE">
            <w:pPr>
              <w:spacing w:line="360" w:lineRule="auto"/>
              <w:jc w:val="both"/>
              <w:rPr>
                <w:rFonts w:ascii="楷体" w:eastAsia="楷体" w:hAnsi="楷体" w:cs="楷体"/>
                <w:b/>
                <w:bCs/>
                <w:sz w:val="24"/>
                <w:szCs w:val="24"/>
              </w:rPr>
            </w:pPr>
            <w:r>
              <w:rPr>
                <w:rFonts w:ascii="楷体" w:eastAsia="楷体" w:hAnsi="楷体" w:cs="楷体" w:hint="eastAsia"/>
                <w:b/>
                <w:bCs/>
                <w:sz w:val="24"/>
                <w:szCs w:val="24"/>
              </w:rPr>
              <w:t>1</w:t>
            </w:r>
            <w:r>
              <w:rPr>
                <w:rFonts w:ascii="楷体" w:eastAsia="楷体" w:hAnsi="楷体" w:cs="楷体" w:hint="eastAsia"/>
                <w:b/>
                <w:bCs/>
                <w:sz w:val="24"/>
                <w:szCs w:val="24"/>
                <w:lang w:val="en-US"/>
              </w:rPr>
              <w:t>2</w:t>
            </w:r>
            <w:r>
              <w:rPr>
                <w:rFonts w:ascii="楷体" w:eastAsia="楷体" w:hAnsi="楷体" w:cs="楷体" w:hint="eastAsia"/>
                <w:b/>
                <w:bCs/>
                <w:sz w:val="24"/>
                <w:szCs w:val="24"/>
              </w:rPr>
              <w:t>.锂电池电解添加剂、氚气催化处理等新产品进展如何？其他新突破催化剂今年及未来放量情况？</w:t>
            </w:r>
          </w:p>
          <w:p w14:paraId="663F9171" w14:textId="1853AB35" w:rsidR="00CC61DE" w:rsidRPr="00954811" w:rsidRDefault="00CC61DE" w:rsidP="00CC61DE">
            <w:pPr>
              <w:spacing w:line="360" w:lineRule="auto"/>
              <w:jc w:val="both"/>
              <w:rPr>
                <w:rFonts w:ascii="Arial" w:eastAsia="宋体" w:hAnsi="Arial" w:cs="Arial"/>
                <w:color w:val="000000"/>
                <w:sz w:val="24"/>
                <w:szCs w:val="24"/>
                <w:lang w:val="en-US" w:bidi="ar-SA"/>
              </w:rPr>
            </w:pPr>
            <w:r>
              <w:rPr>
                <w:rFonts w:ascii="楷体" w:eastAsia="楷体" w:hAnsi="楷体" w:cs="楷体" w:hint="eastAsia"/>
                <w:sz w:val="24"/>
                <w:szCs w:val="24"/>
              </w:rPr>
              <w:t>尊敬的投资者您好！</w:t>
            </w:r>
            <w:r w:rsidRPr="00954811">
              <w:rPr>
                <w:rFonts w:ascii="楷体" w:eastAsia="楷体" w:hAnsi="楷体" w:cs="楷体"/>
                <w:sz w:val="24"/>
                <w:szCs w:val="24"/>
              </w:rPr>
              <w:t>在全球科技革新与低碳转型浪潮下，伴随高端化工新材料、锂电池迭代升级和核能普及应用等前沿方向快速发展，在高端化工新材料的高效催化合成、锂电池电解液新型添加剂材料的催化合成、可控核聚变应急净化系统的氢同位素的催化氧化等均需要高性能的催化材料与先进的催化技术。报告期内，化工新材料成为公司重要的应用领域之一，锂电池电解液添加剂和氚气催化氧化处理实现了工业试用的突破。未来，随着各领域技术的持续突破与产业化推进，催化剂将进一步突破关键技术瓶颈，迭代升级适配更多新兴场景，为公司带来新的发展机遇与增长空间。</w:t>
            </w:r>
            <w:r>
              <w:rPr>
                <w:rFonts w:ascii="楷体" w:eastAsia="楷体" w:hAnsi="楷体" w:cs="楷体" w:hint="eastAsia"/>
                <w:sz w:val="24"/>
                <w:szCs w:val="24"/>
              </w:rPr>
              <w:t>感谢您对公司的关注！</w:t>
            </w:r>
          </w:p>
          <w:p w14:paraId="318E669F" w14:textId="77777777" w:rsidR="00CC61DE" w:rsidRDefault="00CC61DE" w:rsidP="00CC61DE">
            <w:pPr>
              <w:spacing w:line="360" w:lineRule="auto"/>
              <w:jc w:val="both"/>
              <w:rPr>
                <w:rFonts w:ascii="楷体" w:eastAsia="楷体" w:hAnsi="楷体" w:cs="楷体"/>
                <w:b/>
                <w:bCs/>
                <w:sz w:val="24"/>
                <w:szCs w:val="24"/>
              </w:rPr>
            </w:pPr>
            <w:r>
              <w:rPr>
                <w:rFonts w:ascii="楷体" w:eastAsia="楷体" w:hAnsi="楷体" w:cs="楷体" w:hint="eastAsia"/>
                <w:b/>
                <w:bCs/>
                <w:sz w:val="24"/>
                <w:szCs w:val="24"/>
              </w:rPr>
              <w:t>1</w:t>
            </w:r>
            <w:r>
              <w:rPr>
                <w:rFonts w:ascii="楷体" w:eastAsia="楷体" w:hAnsi="楷体" w:cs="楷体" w:hint="eastAsia"/>
                <w:b/>
                <w:bCs/>
                <w:sz w:val="24"/>
                <w:szCs w:val="24"/>
                <w:lang w:val="en-US"/>
              </w:rPr>
              <w:t>3</w:t>
            </w:r>
            <w:r>
              <w:rPr>
                <w:rFonts w:ascii="楷体" w:eastAsia="楷体" w:hAnsi="楷体" w:cs="楷体" w:hint="eastAsia"/>
                <w:b/>
                <w:bCs/>
                <w:sz w:val="24"/>
                <w:szCs w:val="24"/>
              </w:rPr>
              <w:t>.公司周转材料处于历史新高的原因是什么？如何应对贵金属价格波动？</w:t>
            </w:r>
          </w:p>
          <w:p w14:paraId="1CEF6FB1" w14:textId="7B8BDB11" w:rsidR="00CC61DE" w:rsidRDefault="00CC61DE" w:rsidP="00CC61DE">
            <w:pPr>
              <w:spacing w:line="360" w:lineRule="auto"/>
              <w:jc w:val="both"/>
              <w:rPr>
                <w:rFonts w:ascii="楷体" w:eastAsia="楷体" w:hAnsi="楷体" w:cs="楷体"/>
                <w:sz w:val="24"/>
                <w:szCs w:val="24"/>
              </w:rPr>
            </w:pPr>
            <w:r>
              <w:rPr>
                <w:rFonts w:ascii="楷体" w:eastAsia="楷体" w:hAnsi="楷体" w:cs="楷体" w:hint="eastAsia"/>
                <w:sz w:val="24"/>
                <w:szCs w:val="24"/>
              </w:rPr>
              <w:t>尊敬的投资者您好！</w:t>
            </w:r>
            <w:r w:rsidRPr="00954811">
              <w:rPr>
                <w:rFonts w:ascii="楷体" w:eastAsia="楷体" w:hAnsi="楷体" w:cs="楷体" w:hint="eastAsia"/>
                <w:sz w:val="24"/>
                <w:szCs w:val="24"/>
              </w:rPr>
              <w:t>周转材料库存增加主要是因产销量增加导致周转原材料增加，这部分主要对应垫料加工订单，不参与主营业务成本结转，只对整体原料的月末加权成本产生影响。贵金属价格波动对整体业绩的影响主要在单边持续上涨或持续单边下行过程产生，公司目前主要通过加快存货周转率，提升回收效率，优化业务结构等方式减少贵金属价格波动对公司贵金属催化剂业务的扰动。</w:t>
            </w:r>
            <w:r>
              <w:rPr>
                <w:rFonts w:ascii="楷体" w:eastAsia="楷体" w:hAnsi="楷体" w:cs="楷体" w:hint="eastAsia"/>
                <w:sz w:val="24"/>
                <w:szCs w:val="24"/>
              </w:rPr>
              <w:t>感谢您对公司的关注！</w:t>
            </w:r>
          </w:p>
          <w:p w14:paraId="4F84D39E" w14:textId="77777777" w:rsidR="00CC61DE" w:rsidRDefault="00CC61DE" w:rsidP="00CC61DE">
            <w:pPr>
              <w:spacing w:line="360" w:lineRule="auto"/>
              <w:jc w:val="both"/>
              <w:rPr>
                <w:rFonts w:ascii="楷体" w:eastAsia="楷体" w:hAnsi="楷体" w:cs="楷体"/>
                <w:b/>
                <w:bCs/>
                <w:sz w:val="24"/>
                <w:szCs w:val="24"/>
              </w:rPr>
            </w:pPr>
            <w:r>
              <w:rPr>
                <w:rFonts w:ascii="楷体" w:eastAsia="楷体" w:hAnsi="楷体" w:cs="楷体" w:hint="eastAsia"/>
                <w:b/>
                <w:bCs/>
                <w:sz w:val="24"/>
                <w:szCs w:val="24"/>
              </w:rPr>
              <w:t>1</w:t>
            </w:r>
            <w:r>
              <w:rPr>
                <w:rFonts w:ascii="楷体" w:eastAsia="楷体" w:hAnsi="楷体" w:cs="楷体" w:hint="eastAsia"/>
                <w:b/>
                <w:bCs/>
                <w:sz w:val="24"/>
                <w:szCs w:val="24"/>
                <w:lang w:val="en-US"/>
              </w:rPr>
              <w:t>4</w:t>
            </w:r>
            <w:r>
              <w:rPr>
                <w:rFonts w:ascii="楷体" w:eastAsia="楷体" w:hAnsi="楷体" w:cs="楷体" w:hint="eastAsia"/>
                <w:b/>
                <w:bCs/>
                <w:sz w:val="24"/>
                <w:szCs w:val="24"/>
              </w:rPr>
              <w:t>.公司是否有单独的贵金属回收业务？回收业务以内部还是外部为主？</w:t>
            </w:r>
          </w:p>
          <w:p w14:paraId="400E41B5" w14:textId="64D92C0D" w:rsidR="00CC61DE" w:rsidRDefault="00CC61DE" w:rsidP="00CC61DE">
            <w:pPr>
              <w:spacing w:line="360" w:lineRule="auto"/>
              <w:jc w:val="both"/>
              <w:rPr>
                <w:rFonts w:ascii="楷体" w:eastAsia="楷体" w:hAnsi="楷体" w:cs="楷体"/>
                <w:sz w:val="24"/>
                <w:szCs w:val="24"/>
              </w:rPr>
            </w:pPr>
            <w:r>
              <w:rPr>
                <w:rFonts w:ascii="楷体" w:eastAsia="楷体" w:hAnsi="楷体" w:cs="楷体" w:hint="eastAsia"/>
                <w:sz w:val="24"/>
                <w:szCs w:val="24"/>
              </w:rPr>
              <w:t>尊敬的投资者您好！公司在铜川基地设有2</w:t>
            </w:r>
            <w:r>
              <w:rPr>
                <w:rFonts w:ascii="楷体" w:eastAsia="楷体" w:hAnsi="楷体" w:cs="楷体"/>
                <w:sz w:val="24"/>
                <w:szCs w:val="24"/>
              </w:rPr>
              <w:t>,</w:t>
            </w:r>
            <w:r>
              <w:rPr>
                <w:rFonts w:ascii="楷体" w:eastAsia="楷体" w:hAnsi="楷体" w:cs="楷体" w:hint="eastAsia"/>
                <w:sz w:val="24"/>
                <w:szCs w:val="24"/>
              </w:rPr>
              <w:t>000吨设计产能的回收产线，2025年回收产能利用率达到47%，目前回收业务主要以内部配套为主，核心是回收公司销售给客户、使用后失效的催化剂，提纯后再加工为新鲜催化剂实现循环利用。公司</w:t>
            </w:r>
            <w:r>
              <w:rPr>
                <w:rFonts w:ascii="楷体" w:eastAsia="楷体" w:hAnsi="楷体" w:cs="楷体" w:hint="eastAsia"/>
                <w:sz w:val="24"/>
                <w:szCs w:val="24"/>
              </w:rPr>
              <w:t>采购废旧贵金属催化剂回收后的贵金属主要用于催化剂的生产，直接用于贵金属销售较少</w:t>
            </w:r>
            <w:r>
              <w:rPr>
                <w:rFonts w:ascii="楷体" w:eastAsia="楷体" w:hAnsi="楷体" w:cs="楷体" w:hint="eastAsia"/>
                <w:sz w:val="24"/>
                <w:szCs w:val="24"/>
              </w:rPr>
              <w:t>。感谢您对公司的关注！</w:t>
            </w:r>
          </w:p>
        </w:tc>
      </w:tr>
      <w:tr w:rsidR="00CC61DE" w14:paraId="34158B21" w14:textId="77777777">
        <w:trPr>
          <w:trHeight w:val="558"/>
          <w:jc w:val="center"/>
        </w:trPr>
        <w:tc>
          <w:tcPr>
            <w:tcW w:w="1555" w:type="dxa"/>
            <w:vAlign w:val="center"/>
          </w:tcPr>
          <w:p w14:paraId="6919A62E" w14:textId="77777777" w:rsidR="00CC61DE" w:rsidRDefault="00CC61DE" w:rsidP="00CC61DE">
            <w:pPr>
              <w:pStyle w:val="TableParagraph"/>
              <w:spacing w:before="1" w:line="360" w:lineRule="auto"/>
              <w:ind w:firstLineChars="100" w:firstLine="210"/>
              <w:jc w:val="both"/>
              <w:rPr>
                <w:rFonts w:ascii="楷体" w:eastAsia="楷体" w:hAnsi="楷体" w:cs="宋体"/>
                <w:sz w:val="21"/>
                <w:szCs w:val="21"/>
              </w:rPr>
            </w:pPr>
            <w:r>
              <w:rPr>
                <w:rFonts w:ascii="楷体" w:eastAsia="楷体" w:hAnsi="楷体" w:cs="宋体" w:hint="eastAsia"/>
                <w:sz w:val="21"/>
                <w:szCs w:val="21"/>
              </w:rPr>
              <w:lastRenderedPageBreak/>
              <w:t>日期</w:t>
            </w:r>
          </w:p>
        </w:tc>
        <w:tc>
          <w:tcPr>
            <w:tcW w:w="9072" w:type="dxa"/>
            <w:gridSpan w:val="4"/>
            <w:vAlign w:val="center"/>
          </w:tcPr>
          <w:p w14:paraId="180933D1" w14:textId="77777777" w:rsidR="00CC61DE" w:rsidRDefault="00CC61DE" w:rsidP="00CC61DE">
            <w:pPr>
              <w:pStyle w:val="TableParagraph"/>
              <w:spacing w:line="360" w:lineRule="auto"/>
              <w:jc w:val="both"/>
              <w:rPr>
                <w:rFonts w:ascii="楷体" w:eastAsia="楷体" w:hAnsi="楷体" w:cs="宋体"/>
                <w:b/>
                <w:sz w:val="21"/>
                <w:szCs w:val="21"/>
              </w:rPr>
            </w:pPr>
            <w:r>
              <w:rPr>
                <w:rFonts w:ascii="楷体" w:eastAsia="楷体" w:hAnsi="楷体" w:cs="宋体" w:hint="eastAsia"/>
                <w:b/>
                <w:sz w:val="21"/>
                <w:szCs w:val="21"/>
              </w:rPr>
              <w:t>2</w:t>
            </w:r>
            <w:r>
              <w:rPr>
                <w:rFonts w:ascii="楷体" w:eastAsia="楷体" w:hAnsi="楷体" w:cs="宋体"/>
                <w:b/>
                <w:sz w:val="21"/>
                <w:szCs w:val="21"/>
              </w:rPr>
              <w:t>02</w:t>
            </w:r>
            <w:r>
              <w:rPr>
                <w:rFonts w:ascii="楷体" w:eastAsia="楷体" w:hAnsi="楷体" w:cs="宋体" w:hint="eastAsia"/>
                <w:b/>
                <w:sz w:val="21"/>
                <w:szCs w:val="21"/>
                <w:lang w:val="en-US"/>
              </w:rPr>
              <w:t>6</w:t>
            </w:r>
            <w:r>
              <w:rPr>
                <w:rFonts w:ascii="楷体" w:eastAsia="楷体" w:hAnsi="楷体" w:cs="宋体" w:hint="eastAsia"/>
                <w:b/>
                <w:sz w:val="21"/>
                <w:szCs w:val="21"/>
              </w:rPr>
              <w:t>年</w:t>
            </w:r>
            <w:r>
              <w:rPr>
                <w:rFonts w:ascii="楷体" w:eastAsia="楷体" w:hAnsi="楷体" w:cs="宋体" w:hint="eastAsia"/>
                <w:b/>
                <w:sz w:val="21"/>
                <w:szCs w:val="21"/>
                <w:lang w:val="en-US"/>
              </w:rPr>
              <w:t>4</w:t>
            </w:r>
            <w:r>
              <w:rPr>
                <w:rFonts w:ascii="楷体" w:eastAsia="楷体" w:hAnsi="楷体" w:cs="宋体" w:hint="eastAsia"/>
                <w:b/>
                <w:sz w:val="21"/>
                <w:szCs w:val="21"/>
              </w:rPr>
              <w:t>月</w:t>
            </w:r>
            <w:r>
              <w:rPr>
                <w:rFonts w:ascii="楷体" w:eastAsia="楷体" w:hAnsi="楷体" w:cs="宋体" w:hint="eastAsia"/>
                <w:b/>
                <w:sz w:val="21"/>
                <w:szCs w:val="21"/>
                <w:lang w:val="en-US"/>
              </w:rPr>
              <w:t>27</w:t>
            </w:r>
            <w:r>
              <w:rPr>
                <w:rFonts w:ascii="楷体" w:eastAsia="楷体" w:hAnsi="楷体" w:cs="宋体" w:hint="eastAsia"/>
                <w:b/>
                <w:sz w:val="21"/>
                <w:szCs w:val="21"/>
              </w:rPr>
              <w:t>日</w:t>
            </w:r>
          </w:p>
        </w:tc>
      </w:tr>
    </w:tbl>
    <w:p w14:paraId="5F59FB33" w14:textId="77777777" w:rsidR="007B3548" w:rsidRDefault="007B3548" w:rsidP="001204E6">
      <w:pPr>
        <w:spacing w:line="360" w:lineRule="auto"/>
        <w:jc w:val="both"/>
        <w:rPr>
          <w:rFonts w:ascii="楷体" w:eastAsia="楷体" w:hAnsi="楷体"/>
          <w:sz w:val="21"/>
          <w:szCs w:val="21"/>
        </w:rPr>
      </w:pPr>
    </w:p>
    <w:sectPr w:rsidR="007B35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4EE3" w14:textId="77777777" w:rsidR="003C72A4" w:rsidRDefault="003C72A4" w:rsidP="002B2539">
      <w:r>
        <w:separator/>
      </w:r>
    </w:p>
  </w:endnote>
  <w:endnote w:type="continuationSeparator" w:id="0">
    <w:p w14:paraId="320E4603" w14:textId="77777777" w:rsidR="003C72A4" w:rsidRDefault="003C72A4" w:rsidP="002B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D875A" w14:textId="77777777" w:rsidR="003C72A4" w:rsidRDefault="003C72A4" w:rsidP="002B2539">
      <w:r>
        <w:separator/>
      </w:r>
    </w:p>
  </w:footnote>
  <w:footnote w:type="continuationSeparator" w:id="0">
    <w:p w14:paraId="37BE288C" w14:textId="77777777" w:rsidR="003C72A4" w:rsidRDefault="003C72A4" w:rsidP="002B2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6F"/>
    <w:rsid w:val="00011670"/>
    <w:rsid w:val="000178F0"/>
    <w:rsid w:val="00055688"/>
    <w:rsid w:val="00061B78"/>
    <w:rsid w:val="00061BB0"/>
    <w:rsid w:val="00093AC2"/>
    <w:rsid w:val="000966D1"/>
    <w:rsid w:val="000A1631"/>
    <w:rsid w:val="000D447D"/>
    <w:rsid w:val="000D6826"/>
    <w:rsid w:val="000E5AB8"/>
    <w:rsid w:val="000E72FB"/>
    <w:rsid w:val="001204E6"/>
    <w:rsid w:val="00134781"/>
    <w:rsid w:val="00143CEC"/>
    <w:rsid w:val="00160C83"/>
    <w:rsid w:val="00167490"/>
    <w:rsid w:val="00171ADE"/>
    <w:rsid w:val="001835A4"/>
    <w:rsid w:val="001A3364"/>
    <w:rsid w:val="001A3FF5"/>
    <w:rsid w:val="001A721D"/>
    <w:rsid w:val="001D34CA"/>
    <w:rsid w:val="001F5F33"/>
    <w:rsid w:val="00251C10"/>
    <w:rsid w:val="00252A93"/>
    <w:rsid w:val="00255081"/>
    <w:rsid w:val="002A373E"/>
    <w:rsid w:val="002B2539"/>
    <w:rsid w:val="002C10DD"/>
    <w:rsid w:val="002D472E"/>
    <w:rsid w:val="002E6221"/>
    <w:rsid w:val="00326583"/>
    <w:rsid w:val="00326730"/>
    <w:rsid w:val="00333C1D"/>
    <w:rsid w:val="00336E1D"/>
    <w:rsid w:val="003564D2"/>
    <w:rsid w:val="00367934"/>
    <w:rsid w:val="00395614"/>
    <w:rsid w:val="003A6ABF"/>
    <w:rsid w:val="003C1F4A"/>
    <w:rsid w:val="003C72A4"/>
    <w:rsid w:val="003D64B7"/>
    <w:rsid w:val="00401DB9"/>
    <w:rsid w:val="004044E3"/>
    <w:rsid w:val="0040590F"/>
    <w:rsid w:val="004331D2"/>
    <w:rsid w:val="004539EA"/>
    <w:rsid w:val="0045715B"/>
    <w:rsid w:val="00464307"/>
    <w:rsid w:val="00475891"/>
    <w:rsid w:val="00477563"/>
    <w:rsid w:val="0048028B"/>
    <w:rsid w:val="004C6CA6"/>
    <w:rsid w:val="004C7D68"/>
    <w:rsid w:val="004D0D94"/>
    <w:rsid w:val="004D183F"/>
    <w:rsid w:val="004D23D0"/>
    <w:rsid w:val="004D2A4D"/>
    <w:rsid w:val="004E07B3"/>
    <w:rsid w:val="004E0AA9"/>
    <w:rsid w:val="004E3FFD"/>
    <w:rsid w:val="004E45B9"/>
    <w:rsid w:val="00510CBF"/>
    <w:rsid w:val="00527F6F"/>
    <w:rsid w:val="00533628"/>
    <w:rsid w:val="005368B0"/>
    <w:rsid w:val="00536944"/>
    <w:rsid w:val="005840EB"/>
    <w:rsid w:val="00585BDB"/>
    <w:rsid w:val="00596F15"/>
    <w:rsid w:val="005B0336"/>
    <w:rsid w:val="005B5296"/>
    <w:rsid w:val="005E739B"/>
    <w:rsid w:val="005F3E44"/>
    <w:rsid w:val="00606047"/>
    <w:rsid w:val="00611CEE"/>
    <w:rsid w:val="00627138"/>
    <w:rsid w:val="00631B5A"/>
    <w:rsid w:val="00633734"/>
    <w:rsid w:val="00634829"/>
    <w:rsid w:val="006369D2"/>
    <w:rsid w:val="00646396"/>
    <w:rsid w:val="00662097"/>
    <w:rsid w:val="00665503"/>
    <w:rsid w:val="0067096F"/>
    <w:rsid w:val="006740BE"/>
    <w:rsid w:val="00695D7B"/>
    <w:rsid w:val="006A3389"/>
    <w:rsid w:val="006B61AA"/>
    <w:rsid w:val="006C1B2C"/>
    <w:rsid w:val="006C2111"/>
    <w:rsid w:val="006C6736"/>
    <w:rsid w:val="006D3064"/>
    <w:rsid w:val="006E50FB"/>
    <w:rsid w:val="006F4D0B"/>
    <w:rsid w:val="00705C9E"/>
    <w:rsid w:val="00707F28"/>
    <w:rsid w:val="00714354"/>
    <w:rsid w:val="00720275"/>
    <w:rsid w:val="007240CB"/>
    <w:rsid w:val="00730927"/>
    <w:rsid w:val="0074241D"/>
    <w:rsid w:val="00786C47"/>
    <w:rsid w:val="007A5460"/>
    <w:rsid w:val="007B3548"/>
    <w:rsid w:val="007B420B"/>
    <w:rsid w:val="007B75C2"/>
    <w:rsid w:val="007C077D"/>
    <w:rsid w:val="007D6DCC"/>
    <w:rsid w:val="007F14AC"/>
    <w:rsid w:val="008567EC"/>
    <w:rsid w:val="00873F21"/>
    <w:rsid w:val="00877DBA"/>
    <w:rsid w:val="0088319B"/>
    <w:rsid w:val="0088747B"/>
    <w:rsid w:val="008912E3"/>
    <w:rsid w:val="008918B9"/>
    <w:rsid w:val="00895846"/>
    <w:rsid w:val="00897583"/>
    <w:rsid w:val="008C23C6"/>
    <w:rsid w:val="008C5B25"/>
    <w:rsid w:val="008F5E6F"/>
    <w:rsid w:val="009238F3"/>
    <w:rsid w:val="009247F2"/>
    <w:rsid w:val="00951859"/>
    <w:rsid w:val="00954811"/>
    <w:rsid w:val="00972327"/>
    <w:rsid w:val="00972544"/>
    <w:rsid w:val="009766F9"/>
    <w:rsid w:val="009936F4"/>
    <w:rsid w:val="009B346A"/>
    <w:rsid w:val="009B5B8B"/>
    <w:rsid w:val="009D559B"/>
    <w:rsid w:val="009E3E70"/>
    <w:rsid w:val="009E6301"/>
    <w:rsid w:val="00A25340"/>
    <w:rsid w:val="00A367F0"/>
    <w:rsid w:val="00A526F3"/>
    <w:rsid w:val="00A85802"/>
    <w:rsid w:val="00A973D5"/>
    <w:rsid w:val="00AA3F44"/>
    <w:rsid w:val="00AC1322"/>
    <w:rsid w:val="00AD6818"/>
    <w:rsid w:val="00AF3164"/>
    <w:rsid w:val="00B02010"/>
    <w:rsid w:val="00B14D45"/>
    <w:rsid w:val="00B21C28"/>
    <w:rsid w:val="00B4147F"/>
    <w:rsid w:val="00B57FDB"/>
    <w:rsid w:val="00B61258"/>
    <w:rsid w:val="00B658CA"/>
    <w:rsid w:val="00B666AD"/>
    <w:rsid w:val="00B94DE4"/>
    <w:rsid w:val="00B970EA"/>
    <w:rsid w:val="00B97F2A"/>
    <w:rsid w:val="00BE063F"/>
    <w:rsid w:val="00BF4527"/>
    <w:rsid w:val="00BF723E"/>
    <w:rsid w:val="00C07CE4"/>
    <w:rsid w:val="00C125EF"/>
    <w:rsid w:val="00C13B54"/>
    <w:rsid w:val="00C52546"/>
    <w:rsid w:val="00C52BFF"/>
    <w:rsid w:val="00C7114F"/>
    <w:rsid w:val="00C860A1"/>
    <w:rsid w:val="00C92825"/>
    <w:rsid w:val="00CA5800"/>
    <w:rsid w:val="00CB6E7A"/>
    <w:rsid w:val="00CC32A6"/>
    <w:rsid w:val="00CC61DE"/>
    <w:rsid w:val="00D34FB7"/>
    <w:rsid w:val="00D436EE"/>
    <w:rsid w:val="00D4636F"/>
    <w:rsid w:val="00D51529"/>
    <w:rsid w:val="00D92340"/>
    <w:rsid w:val="00D93CE1"/>
    <w:rsid w:val="00D957C8"/>
    <w:rsid w:val="00DB0130"/>
    <w:rsid w:val="00DE00FE"/>
    <w:rsid w:val="00DE7D57"/>
    <w:rsid w:val="00DF4184"/>
    <w:rsid w:val="00E10BAF"/>
    <w:rsid w:val="00E10F66"/>
    <w:rsid w:val="00E22803"/>
    <w:rsid w:val="00E23B14"/>
    <w:rsid w:val="00E268F7"/>
    <w:rsid w:val="00E45D7B"/>
    <w:rsid w:val="00E61C39"/>
    <w:rsid w:val="00E627D4"/>
    <w:rsid w:val="00E910D8"/>
    <w:rsid w:val="00E92D40"/>
    <w:rsid w:val="00EC0E21"/>
    <w:rsid w:val="00ED009B"/>
    <w:rsid w:val="00EE0A62"/>
    <w:rsid w:val="00EE6E66"/>
    <w:rsid w:val="00F066A6"/>
    <w:rsid w:val="00F10E8E"/>
    <w:rsid w:val="00F20A7E"/>
    <w:rsid w:val="00F23EB9"/>
    <w:rsid w:val="00F43AE6"/>
    <w:rsid w:val="00F46B72"/>
    <w:rsid w:val="00F5706B"/>
    <w:rsid w:val="00F62EA2"/>
    <w:rsid w:val="00F86DC5"/>
    <w:rsid w:val="00FA1E9A"/>
    <w:rsid w:val="00FC036C"/>
    <w:rsid w:val="00FE63DA"/>
    <w:rsid w:val="00FF1A27"/>
    <w:rsid w:val="03E97FA0"/>
    <w:rsid w:val="08ED1A4F"/>
    <w:rsid w:val="22DD18A7"/>
    <w:rsid w:val="420365F8"/>
    <w:rsid w:val="552D243F"/>
    <w:rsid w:val="5DDE364A"/>
    <w:rsid w:val="68F6143E"/>
    <w:rsid w:val="6C317CEF"/>
    <w:rsid w:val="70593DEA"/>
    <w:rsid w:val="75E0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F7D0C"/>
  <w15:docId w15:val="{D440F4B7-079E-4FB1-A649-DC5381B9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1"/>
    <w:qFormat/>
    <w:pPr>
      <w:ind w:left="220"/>
    </w:pPr>
    <w:rPr>
      <w:sz w:val="32"/>
      <w:szCs w:val="32"/>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autoSpaceDE/>
      <w:autoSpaceDN/>
      <w:spacing w:before="100" w:beforeAutospacing="1" w:after="100" w:afterAutospacing="1"/>
    </w:pPr>
    <w:rPr>
      <w:rFonts w:ascii="宋体" w:eastAsia="宋体" w:hAnsi="宋体" w:cs="宋体"/>
      <w:sz w:val="24"/>
      <w:szCs w:val="24"/>
      <w:lang w:val="en-US" w:bidi="ar-SA"/>
    </w:rPr>
  </w:style>
  <w:style w:type="paragraph" w:styleId="ae">
    <w:name w:val="annotation subject"/>
    <w:basedOn w:val="a3"/>
    <w:next w:val="a3"/>
    <w:link w:val="af"/>
    <w:uiPriority w:val="99"/>
    <w:unhideWhenUsed/>
    <w:qFormat/>
    <w:rPr>
      <w:b/>
      <w:bCs/>
    </w:rPr>
  </w:style>
  <w:style w:type="character" w:styleId="af0">
    <w:name w:val="annotation reference"/>
    <w:basedOn w:val="a0"/>
    <w:uiPriority w:val="99"/>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 字符"/>
    <w:basedOn w:val="a0"/>
    <w:link w:val="a5"/>
    <w:uiPriority w:val="1"/>
    <w:qFormat/>
    <w:rPr>
      <w:rFonts w:ascii="仿宋" w:eastAsia="仿宋" w:hAnsi="仿宋" w:cs="仿宋"/>
      <w:kern w:val="0"/>
      <w:sz w:val="32"/>
      <w:szCs w:val="32"/>
      <w:lang w:val="zh-CN" w:bidi="zh-CN"/>
    </w:rPr>
  </w:style>
  <w:style w:type="paragraph" w:customStyle="1" w:styleId="TableParagraph">
    <w:name w:val="Table Paragraph"/>
    <w:basedOn w:val="a"/>
    <w:uiPriority w:val="1"/>
    <w:qFormat/>
  </w:style>
  <w:style w:type="paragraph" w:customStyle="1" w:styleId="1">
    <w:name w:val="列出段落1"/>
    <w:basedOn w:val="a"/>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a4">
    <w:name w:val="批注文字 字符"/>
    <w:basedOn w:val="a0"/>
    <w:link w:val="a3"/>
    <w:uiPriority w:val="99"/>
    <w:qFormat/>
    <w:rPr>
      <w:rFonts w:ascii="仿宋" w:eastAsia="仿宋" w:hAnsi="仿宋" w:cs="仿宋"/>
      <w:kern w:val="0"/>
      <w:sz w:val="22"/>
      <w:lang w:val="zh-CN" w:bidi="zh-CN"/>
    </w:rPr>
  </w:style>
  <w:style w:type="character" w:customStyle="1" w:styleId="af">
    <w:name w:val="批注主题 字符"/>
    <w:basedOn w:val="a4"/>
    <w:link w:val="ae"/>
    <w:uiPriority w:val="99"/>
    <w:semiHidden/>
    <w:qFormat/>
    <w:rPr>
      <w:rFonts w:ascii="仿宋" w:eastAsia="仿宋" w:hAnsi="仿宋" w:cs="仿宋"/>
      <w:b/>
      <w:bCs/>
      <w:kern w:val="0"/>
      <w:sz w:val="22"/>
      <w:lang w:val="zh-CN" w:bidi="zh-CN"/>
    </w:rPr>
  </w:style>
  <w:style w:type="character" w:customStyle="1" w:styleId="a8">
    <w:name w:val="批注框文本 字符"/>
    <w:basedOn w:val="a0"/>
    <w:link w:val="a7"/>
    <w:uiPriority w:val="99"/>
    <w:semiHidden/>
    <w:qFormat/>
    <w:rPr>
      <w:rFonts w:ascii="仿宋" w:eastAsia="仿宋" w:hAnsi="仿宋" w:cs="仿宋"/>
      <w:kern w:val="0"/>
      <w:sz w:val="18"/>
      <w:szCs w:val="18"/>
      <w:lang w:val="zh-CN" w:bidi="zh-CN"/>
    </w:rPr>
  </w:style>
  <w:style w:type="paragraph" w:customStyle="1" w:styleId="10">
    <w:name w:val="修订1"/>
    <w:hidden/>
    <w:uiPriority w:val="99"/>
    <w:semiHidden/>
    <w:qFormat/>
    <w:rPr>
      <w:rFonts w:ascii="仿宋" w:eastAsia="仿宋" w:hAnsi="仿宋" w:cs="仿宋"/>
      <w:sz w:val="22"/>
      <w:szCs w:val="22"/>
      <w:lang w:val="zh-CN" w:bidi="zh-CN"/>
    </w:rPr>
  </w:style>
  <w:style w:type="character" w:customStyle="1" w:styleId="005Char">
    <w:name w:val="005正文 Char"/>
    <w:link w:val="005"/>
    <w:qFormat/>
    <w:rPr>
      <w:rFonts w:ascii="Times New Roman" w:eastAsia="宋体" w:hAnsi="Times New Roman" w:cs="Times New Roman"/>
      <w:sz w:val="24"/>
    </w:rPr>
  </w:style>
  <w:style w:type="paragraph" w:customStyle="1" w:styleId="005">
    <w:name w:val="005正文"/>
    <w:basedOn w:val="a"/>
    <w:link w:val="005Char"/>
    <w:qFormat/>
    <w:pPr>
      <w:autoSpaceDE/>
      <w:autoSpaceDN/>
      <w:spacing w:line="360" w:lineRule="auto"/>
      <w:ind w:firstLineChars="200" w:firstLine="200"/>
      <w:jc w:val="both"/>
    </w:pPr>
    <w:rPr>
      <w:rFonts w:ascii="Times New Roman" w:eastAsia="宋体" w:hAnsi="Times New Roman" w:cs="Times New Roman"/>
      <w:kern w:val="2"/>
      <w:sz w:val="24"/>
      <w:lang w:val="en-US" w:bidi="ar-SA"/>
    </w:rPr>
  </w:style>
  <w:style w:type="paragraph" w:customStyle="1" w:styleId="2">
    <w:name w:val="列出段落2"/>
    <w:basedOn w:val="a"/>
    <w:link w:val="af1"/>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af1">
    <w:name w:val="列出段落 字符"/>
    <w:link w:val="2"/>
    <w:uiPriority w:val="34"/>
    <w:qFormat/>
    <w:locked/>
  </w:style>
  <w:style w:type="paragraph" w:customStyle="1" w:styleId="11">
    <w:name w:val="列表段落1"/>
    <w:basedOn w:val="a"/>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keyword">
    <w:name w:val="keyword"/>
    <w:basedOn w:val="a0"/>
  </w:style>
  <w:style w:type="paragraph" w:customStyle="1" w:styleId="20">
    <w:name w:val="修订2"/>
    <w:hidden/>
    <w:uiPriority w:val="99"/>
    <w:semiHidden/>
    <w:rPr>
      <w:rFonts w:ascii="仿宋" w:eastAsia="仿宋" w:hAnsi="仿宋" w:cs="仿宋"/>
      <w:sz w:val="22"/>
      <w:szCs w:val="22"/>
      <w:lang w:val="zh-CN" w:bidi="zh-CN"/>
    </w:rPr>
  </w:style>
  <w:style w:type="paragraph" w:styleId="af2">
    <w:name w:val="List Paragraph"/>
    <w:basedOn w:val="a"/>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paragraph" w:styleId="af3">
    <w:name w:val="Revision"/>
    <w:hidden/>
    <w:uiPriority w:val="99"/>
    <w:semiHidden/>
    <w:rsid w:val="002A373E"/>
    <w:rPr>
      <w:rFonts w:ascii="仿宋" w:eastAsia="仿宋" w:hAnsi="仿宋" w:cs="仿宋"/>
      <w:sz w:val="22"/>
      <w:szCs w:val="22"/>
      <w:lang w:val="zh-CN" w:bidi="zh-CN"/>
    </w:rPr>
  </w:style>
  <w:style w:type="character" w:customStyle="1" w:styleId="highlight">
    <w:name w:val="highlight"/>
    <w:basedOn w:val="a0"/>
    <w:rsid w:val="00954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026407">
      <w:bodyDiv w:val="1"/>
      <w:marLeft w:val="0"/>
      <w:marRight w:val="0"/>
      <w:marTop w:val="0"/>
      <w:marBottom w:val="0"/>
      <w:divBdr>
        <w:top w:val="none" w:sz="0" w:space="0" w:color="auto"/>
        <w:left w:val="none" w:sz="0" w:space="0" w:color="auto"/>
        <w:bottom w:val="none" w:sz="0" w:space="0" w:color="auto"/>
        <w:right w:val="none" w:sz="0" w:space="0" w:color="auto"/>
      </w:divBdr>
      <w:divsChild>
        <w:div w:id="214122434">
          <w:marLeft w:val="0"/>
          <w:marRight w:val="0"/>
          <w:marTop w:val="75"/>
          <w:marBottom w:val="75"/>
          <w:divBdr>
            <w:top w:val="none" w:sz="0" w:space="0" w:color="auto"/>
            <w:left w:val="none" w:sz="0" w:space="0" w:color="auto"/>
            <w:bottom w:val="none" w:sz="0" w:space="0" w:color="auto"/>
            <w:right w:val="none" w:sz="0" w:space="0" w:color="auto"/>
          </w:divBdr>
          <w:divsChild>
            <w:div w:id="20373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shijingwen</cp:lastModifiedBy>
  <cp:revision>3</cp:revision>
  <cp:lastPrinted>2023-09-01T08:20:00Z</cp:lastPrinted>
  <dcterms:created xsi:type="dcterms:W3CDTF">2026-04-27T09:32:00Z</dcterms:created>
  <dcterms:modified xsi:type="dcterms:W3CDTF">2026-04-27T09:45:00Z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D2181413A5F747E5A42A30A82ACB8F3C</vt:lpwstr>
  </property>
  <property fmtid="{D5CDD505-2E9C-101B-9397-08002B2CF9AE}" pid="4" name="KSOTemplateDocerSaveRecord">
    <vt:lpwstr>eyJoZGlkIjoiMzVkNzdhYWI5M2IyMGY0OWMzYmI1MzM3NGQ0ZTUxMzkiLCJ1c2VySWQiOiI0MzA3MjQwMjIifQ==</vt:lpwstr>
  </property>
</Properties>
</file>