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8DAA8">
      <w:pPr>
        <w:jc w:val="left"/>
        <w:rPr>
          <w:rFonts w:hint="default" w:ascii="宋体" w:hAnsi="宋体"/>
          <w:b/>
          <w:bCs/>
          <w:sz w:val="24"/>
          <w:szCs w:val="24"/>
          <w:lang w:val="en-US"/>
        </w:rPr>
      </w:pPr>
      <w:r>
        <w:rPr>
          <w:rFonts w:hint="eastAsia" w:ascii="宋体" w:hAnsi="宋体"/>
          <w:b/>
          <w:bCs/>
          <w:sz w:val="24"/>
          <w:szCs w:val="24"/>
        </w:rPr>
        <w:t>证券代码：</w:t>
      </w:r>
      <w:r>
        <w:rPr>
          <w:rFonts w:hint="default" w:ascii="宋体" w:hAnsi="宋体"/>
          <w:b/>
          <w:bCs/>
          <w:sz w:val="24"/>
          <w:szCs w:val="24"/>
          <w:lang w:val="en-US"/>
        </w:rPr>
        <w:t>688190</w:t>
      </w: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公司简称：</w:t>
      </w:r>
      <w:r>
        <w:rPr>
          <w:rFonts w:hint="default" w:ascii="宋体" w:hAnsi="宋体"/>
          <w:b/>
          <w:bCs/>
          <w:sz w:val="24"/>
          <w:szCs w:val="24"/>
          <w:lang w:val="en-US"/>
        </w:rPr>
        <w:t>云路股份</w:t>
      </w:r>
    </w:p>
    <w:p w14:paraId="08117518">
      <w:pPr>
        <w:jc w:val="center"/>
        <w:rPr>
          <w:rFonts w:hint="eastAsia" w:ascii="黑体" w:hAnsi="黑体" w:eastAsia="黑体"/>
          <w:sz w:val="36"/>
          <w:szCs w:val="36"/>
        </w:rPr>
      </w:pPr>
      <w:r>
        <w:rPr>
          <w:rFonts w:hint="eastAsia" w:ascii="黑体" w:hAnsi="黑体" w:eastAsia="黑体"/>
          <w:sz w:val="36"/>
          <w:szCs w:val="36"/>
        </w:rPr>
        <w:t>青岛云路先进材料技术股份有限公司</w:t>
      </w:r>
    </w:p>
    <w:p w14:paraId="748C6AED">
      <w:pPr>
        <w:jc w:val="center"/>
        <w:rPr>
          <w:rFonts w:ascii="黑体" w:hAnsi="黑体" w:eastAsia="黑体"/>
          <w:sz w:val="36"/>
          <w:szCs w:val="36"/>
        </w:rPr>
      </w:pPr>
      <w:r>
        <w:rPr>
          <w:rFonts w:hint="eastAsia" w:ascii="黑体" w:hAnsi="黑体" w:eastAsia="黑体"/>
          <w:sz w:val="36"/>
          <w:szCs w:val="36"/>
        </w:rPr>
        <w:t>投资者关系活动记录表</w:t>
      </w:r>
    </w:p>
    <w:p w14:paraId="5D61D148">
      <w:pPr>
        <w:spacing w:before="156" w:beforeLines="50" w:after="156" w:afterLines="50" w:line="400" w:lineRule="exact"/>
        <w:jc w:val="right"/>
        <w:rPr>
          <w:rFonts w:hint="default" w:asciiTheme="minorEastAsia" w:hAnsiTheme="minorEastAsia" w:eastAsiaTheme="minorEastAsia"/>
          <w:b/>
          <w:color w:val="000000"/>
          <w:sz w:val="24"/>
          <w:szCs w:val="27"/>
          <w:lang w:val="en-US" w:eastAsia="zh-CN"/>
        </w:rPr>
      </w:pPr>
      <w:r>
        <w:rPr>
          <w:rFonts w:hint="eastAsia" w:asciiTheme="minorEastAsia" w:hAnsiTheme="minorEastAsia" w:eastAsiaTheme="minorEastAsia"/>
          <w:b/>
          <w:color w:val="000000"/>
          <w:sz w:val="24"/>
          <w:szCs w:val="27"/>
        </w:rPr>
        <w:t>编号：</w:t>
      </w:r>
      <w:r>
        <w:rPr>
          <w:rFonts w:hint="eastAsia" w:asciiTheme="minorEastAsia" w:hAnsiTheme="minorEastAsia" w:eastAsiaTheme="minorEastAsia"/>
          <w:b/>
          <w:color w:val="000000"/>
          <w:sz w:val="24"/>
          <w:szCs w:val="27"/>
          <w:lang w:val="en-US" w:eastAsia="zh-CN"/>
        </w:rPr>
        <w:t>2026-001</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05FBC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0FC4A304">
            <w:pPr>
              <w:spacing w:line="420" w:lineRule="exact"/>
              <w:rPr>
                <w:bCs/>
                <w:iCs/>
                <w:color w:val="000000"/>
                <w:kern w:val="0"/>
                <w:sz w:val="24"/>
              </w:rPr>
            </w:pPr>
            <w:r>
              <w:rPr>
                <w:rFonts w:hAnsi="宋体"/>
                <w:bCs/>
                <w:iCs/>
                <w:color w:val="000000"/>
                <w:kern w:val="0"/>
                <w:sz w:val="24"/>
              </w:rPr>
              <w:t>投资者关系活动类别</w:t>
            </w:r>
          </w:p>
          <w:p w14:paraId="16A0DECC">
            <w:pPr>
              <w:spacing w:line="420" w:lineRule="exact"/>
              <w:rPr>
                <w:sz w:val="24"/>
                <w:szCs w:val="24"/>
              </w:rPr>
            </w:pPr>
          </w:p>
        </w:tc>
        <w:tc>
          <w:tcPr>
            <w:tcW w:w="7191" w:type="dxa"/>
            <w:noWrap w:val="0"/>
            <w:vAlign w:val="top"/>
          </w:tcPr>
          <w:p w14:paraId="67FAA6EF">
            <w:pPr>
              <w:spacing w:line="420" w:lineRule="exact"/>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20B981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w:t>
            </w:r>
            <w:r>
              <w:rPr>
                <w:rFonts w:hint="eastAsia"/>
                <w:bCs/>
                <w:iCs/>
                <w:color w:val="000000"/>
                <w:kern w:val="0"/>
                <w:sz w:val="24"/>
                <w:lang w:val="en-US" w:eastAsia="zh-CN"/>
              </w:rPr>
              <w:t xml:space="preserve"> </w:t>
            </w:r>
            <w:r>
              <w:rPr>
                <w:rFonts w:hAnsi="宋体"/>
                <w:kern w:val="0"/>
                <w:sz w:val="24"/>
              </w:rPr>
              <w:t>业绩说明会</w:t>
            </w:r>
          </w:p>
          <w:p w14:paraId="4F0C6C5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655C191">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0D8C62C7">
            <w:pPr>
              <w:tabs>
                <w:tab w:val="center" w:pos="3199"/>
              </w:tabs>
              <w:spacing w:line="420" w:lineRule="exact"/>
              <w:rPr>
                <w:rFonts w:hint="eastAsia"/>
                <w:sz w:val="24"/>
                <w:szCs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p>
        </w:tc>
      </w:tr>
      <w:tr w14:paraId="2D2AE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C398AE2">
            <w:pPr>
              <w:jc w:val="left"/>
              <w:rPr>
                <w:sz w:val="24"/>
                <w:szCs w:val="24"/>
              </w:rPr>
            </w:pPr>
            <w:r>
              <w:rPr>
                <w:rFonts w:hint="eastAsia"/>
                <w:sz w:val="24"/>
                <w:szCs w:val="24"/>
              </w:rPr>
              <w:t>活动主题</w:t>
            </w:r>
          </w:p>
        </w:tc>
        <w:tc>
          <w:tcPr>
            <w:tcW w:w="7191" w:type="dxa"/>
            <w:noWrap w:val="0"/>
            <w:vAlign w:val="center"/>
          </w:tcPr>
          <w:p w14:paraId="693D5209">
            <w:pPr>
              <w:jc w:val="left"/>
              <w:rPr>
                <w:sz w:val="24"/>
                <w:szCs w:val="24"/>
              </w:rPr>
            </w:pPr>
            <w:r>
              <w:rPr>
                <w:rFonts w:hint="eastAsia" w:ascii="宋体" w:hAnsi="宋体" w:eastAsia="宋体" w:cs="宋体"/>
                <w:bCs/>
                <w:iCs/>
                <w:color w:val="000000"/>
                <w:sz w:val="24"/>
                <w:highlight w:val="none"/>
                <w:lang w:val="en-GB"/>
              </w:rPr>
              <w:t>云路股份2025年年度业绩说明会</w:t>
            </w:r>
          </w:p>
        </w:tc>
      </w:tr>
      <w:tr w14:paraId="79D8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18E58F2E">
            <w:pPr>
              <w:jc w:val="left"/>
              <w:rPr>
                <w:sz w:val="24"/>
                <w:szCs w:val="24"/>
              </w:rPr>
            </w:pPr>
            <w:r>
              <w:rPr>
                <w:rFonts w:hint="eastAsia"/>
                <w:sz w:val="24"/>
                <w:szCs w:val="24"/>
              </w:rPr>
              <w:t>时间</w:t>
            </w:r>
          </w:p>
        </w:tc>
        <w:tc>
          <w:tcPr>
            <w:tcW w:w="7191" w:type="dxa"/>
            <w:noWrap w:val="0"/>
            <w:vAlign w:val="center"/>
          </w:tcPr>
          <w:p w14:paraId="2B567D2C">
            <w:pPr>
              <w:jc w:val="left"/>
              <w:rPr>
                <w:rFonts w:hint="eastAsia"/>
                <w:sz w:val="24"/>
                <w:szCs w:val="24"/>
              </w:rPr>
            </w:pPr>
            <w:r>
              <w:rPr>
                <w:rFonts w:hint="eastAsia" w:ascii="宋体" w:hAnsi="宋体" w:eastAsia="宋体" w:cs="宋体"/>
                <w:bCs/>
                <w:iCs/>
                <w:color w:val="000000"/>
                <w:sz w:val="24"/>
                <w:highlight w:val="none"/>
              </w:rPr>
              <w:t>2026</w:t>
            </w:r>
            <w:r>
              <w:rPr>
                <w:rFonts w:hint="eastAsia" w:ascii="宋体" w:hAnsi="宋体" w:cs="宋体"/>
                <w:bCs/>
                <w:iCs/>
                <w:color w:val="000000"/>
                <w:sz w:val="24"/>
                <w:highlight w:val="none"/>
                <w:lang w:val="en-US" w:eastAsia="zh-CN"/>
              </w:rPr>
              <w:t>年</w:t>
            </w:r>
            <w:r>
              <w:rPr>
                <w:rFonts w:hint="eastAsia" w:ascii="宋体" w:hAnsi="宋体" w:eastAsia="宋体" w:cs="宋体"/>
                <w:bCs/>
                <w:iCs/>
                <w:color w:val="000000"/>
                <w:sz w:val="24"/>
                <w:highlight w:val="none"/>
              </w:rPr>
              <w:t>4</w:t>
            </w:r>
            <w:r>
              <w:rPr>
                <w:rFonts w:hint="eastAsia" w:ascii="宋体" w:hAnsi="宋体" w:cs="宋体"/>
                <w:bCs/>
                <w:iCs/>
                <w:color w:val="000000"/>
                <w:sz w:val="24"/>
                <w:highlight w:val="none"/>
                <w:lang w:val="en-US" w:eastAsia="zh-CN"/>
              </w:rPr>
              <w:t>月</w:t>
            </w:r>
            <w:r>
              <w:rPr>
                <w:rFonts w:hint="eastAsia" w:ascii="宋体" w:hAnsi="宋体" w:eastAsia="宋体" w:cs="宋体"/>
                <w:bCs/>
                <w:iCs/>
                <w:color w:val="000000"/>
                <w:sz w:val="24"/>
                <w:highlight w:val="none"/>
              </w:rPr>
              <w:t>28</w:t>
            </w:r>
            <w:r>
              <w:rPr>
                <w:rFonts w:hint="eastAsia" w:ascii="宋体" w:hAnsi="宋体" w:cs="宋体"/>
                <w:bCs/>
                <w:iCs/>
                <w:color w:val="000000"/>
                <w:sz w:val="24"/>
                <w:highlight w:val="none"/>
                <w:lang w:val="en-US" w:eastAsia="zh-CN"/>
              </w:rPr>
              <w:t xml:space="preserve">日（周二）下午 </w:t>
            </w:r>
            <w:r>
              <w:rPr>
                <w:rFonts w:hint="eastAsia" w:ascii="宋体" w:hAnsi="宋体" w:eastAsia="宋体" w:cs="宋体"/>
                <w:bCs/>
                <w:iCs/>
                <w:color w:val="000000"/>
                <w:sz w:val="24"/>
                <w:highlight w:val="none"/>
              </w:rPr>
              <w:t>13:00-1</w:t>
            </w:r>
            <w:r>
              <w:rPr>
                <w:rFonts w:hint="eastAsia" w:ascii="宋体" w:hAnsi="宋体" w:cs="宋体"/>
                <w:bCs/>
                <w:iCs/>
                <w:color w:val="000000"/>
                <w:sz w:val="24"/>
                <w:highlight w:val="none"/>
                <w:lang w:val="en-US" w:eastAsia="zh-CN"/>
              </w:rPr>
              <w:t>5</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3</w:t>
            </w:r>
            <w:r>
              <w:rPr>
                <w:rFonts w:hint="eastAsia" w:ascii="宋体" w:hAnsi="宋体" w:eastAsia="宋体" w:cs="宋体"/>
                <w:bCs/>
                <w:iCs/>
                <w:color w:val="000000"/>
                <w:sz w:val="24"/>
                <w:highlight w:val="none"/>
              </w:rPr>
              <w:t>0</w:t>
            </w:r>
          </w:p>
        </w:tc>
      </w:tr>
      <w:tr w14:paraId="28FD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79F26DE">
            <w:pPr>
              <w:jc w:val="left"/>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center"/>
          </w:tcPr>
          <w:p w14:paraId="68DC000E">
            <w:pPr>
              <w:jc w:val="left"/>
              <w:rPr>
                <w:rFonts w:hint="eastAsia" w:ascii="宋体" w:hAnsi="宋体"/>
                <w:bCs/>
                <w:sz w:val="24"/>
                <w:lang w:val="en-US" w:eastAsia="zh-CN"/>
              </w:rPr>
            </w:pPr>
            <w:r>
              <w:rPr>
                <w:rFonts w:hint="eastAsia" w:ascii="宋体" w:hAnsi="宋体"/>
                <w:bCs/>
                <w:sz w:val="24"/>
                <w:lang w:val="en-US" w:eastAsia="zh-CN"/>
              </w:rPr>
              <w:t>现场会议、</w:t>
            </w:r>
          </w:p>
          <w:p w14:paraId="0E704D1D">
            <w:pPr>
              <w:jc w:val="left"/>
              <w:rPr>
                <w:rFonts w:hint="eastAsia"/>
                <w:sz w:val="24"/>
                <w:szCs w:val="24"/>
              </w:rPr>
            </w:pPr>
            <w:r>
              <w:rPr>
                <w:rFonts w:hint="eastAsia" w:ascii="宋体" w:hAnsi="宋体"/>
                <w:bCs/>
                <w:sz w:val="24"/>
              </w:rPr>
              <w:t>上证路演中心</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r>
              <w:rPr>
                <w:rFonts w:hint="eastAsia" w:ascii="宋体" w:hAnsi="宋体"/>
                <w:bCs/>
                <w:sz w:val="24"/>
              </w:rPr>
              <w:t>网络文字互动</w:t>
            </w:r>
          </w:p>
        </w:tc>
      </w:tr>
      <w:tr w14:paraId="33CF1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FA13462">
            <w:pPr>
              <w:jc w:val="left"/>
              <w:rPr>
                <w:sz w:val="24"/>
                <w:szCs w:val="24"/>
              </w:rPr>
            </w:pPr>
            <w:r>
              <w:rPr>
                <w:rFonts w:hAnsi="宋体"/>
                <w:bCs/>
                <w:iCs/>
                <w:color w:val="000000"/>
                <w:kern w:val="0"/>
                <w:sz w:val="24"/>
              </w:rPr>
              <w:t>上市公司接待人员姓名</w:t>
            </w:r>
          </w:p>
        </w:tc>
        <w:tc>
          <w:tcPr>
            <w:tcW w:w="7191" w:type="dxa"/>
            <w:noWrap w:val="0"/>
            <w:vAlign w:val="center"/>
          </w:tcPr>
          <w:p w14:paraId="453C6E4C">
            <w:pPr>
              <w:numPr>
                <w:ilvl w:val="0"/>
                <w:numId w:val="0"/>
              </w:numPr>
              <w:spacing w:line="360" w:lineRule="auto"/>
              <w:jc w:val="left"/>
              <w:rPr>
                <w:rFonts w:hint="eastAsia" w:ascii="宋体" w:hAnsi="宋体" w:eastAsia="宋体" w:cs="宋体"/>
                <w:sz w:val="24"/>
                <w:szCs w:val="24"/>
              </w:rPr>
            </w:pPr>
            <w:r>
              <w:rPr>
                <w:rFonts w:hint="default" w:ascii="宋体" w:hAnsi="宋体" w:eastAsia="宋体" w:cs="宋体"/>
                <w:b w:val="0"/>
                <w:bCs w:val="0"/>
                <w:kern w:val="2"/>
                <w:sz w:val="24"/>
                <w:szCs w:val="24"/>
                <w:lang w:val="en-US" w:eastAsia="zh-CN" w:bidi="ar-SA"/>
              </w:rPr>
              <w:t>1、</w:t>
            </w:r>
            <w:r>
              <w:rPr>
                <w:rFonts w:hint="eastAsia" w:ascii="宋体" w:hAnsi="宋体" w:cs="宋体"/>
                <w:sz w:val="24"/>
                <w:szCs w:val="24"/>
                <w:lang w:val="en-US" w:eastAsia="zh-CN"/>
              </w:rPr>
              <w:t>代</w:t>
            </w:r>
            <w:r>
              <w:rPr>
                <w:rFonts w:hint="eastAsia" w:ascii="宋体" w:hAnsi="宋体" w:eastAsia="宋体" w:cs="宋体"/>
                <w:sz w:val="24"/>
                <w:szCs w:val="24"/>
              </w:rPr>
              <w:t>董事长：雷日赣</w:t>
            </w:r>
          </w:p>
          <w:p w14:paraId="22D19C64">
            <w:pPr>
              <w:numPr>
                <w:ilvl w:val="0"/>
                <w:numId w:val="0"/>
              </w:numPr>
              <w:spacing w:line="360" w:lineRule="auto"/>
              <w:jc w:val="left"/>
              <w:rPr>
                <w:rFonts w:hint="eastAsia" w:ascii="宋体" w:hAnsi="宋体" w:eastAsia="宋体" w:cs="宋体"/>
                <w:sz w:val="24"/>
                <w:szCs w:val="24"/>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sz w:val="24"/>
                <w:szCs w:val="24"/>
              </w:rPr>
              <w:t>副总经理、财务总监、董事会秘书：石岩</w:t>
            </w:r>
          </w:p>
          <w:p w14:paraId="798A3EEC">
            <w:pPr>
              <w:numPr>
                <w:ilvl w:val="0"/>
                <w:numId w:val="0"/>
              </w:numPr>
              <w:spacing w:line="360" w:lineRule="auto"/>
              <w:jc w:val="left"/>
              <w:rPr>
                <w:rFonts w:hint="eastAsia" w:ascii="宋体" w:hAnsi="宋体" w:eastAsia="宋体" w:cs="宋体"/>
                <w:sz w:val="24"/>
                <w:szCs w:val="24"/>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sz w:val="24"/>
                <w:szCs w:val="24"/>
              </w:rPr>
              <w:t>独立董事：薛国</w:t>
            </w:r>
          </w:p>
          <w:p w14:paraId="6C41F491">
            <w:pPr>
              <w:numPr>
                <w:ilvl w:val="0"/>
                <w:numId w:val="0"/>
              </w:numPr>
              <w:spacing w:line="360" w:lineRule="auto"/>
              <w:jc w:val="left"/>
              <w:rPr>
                <w:rFonts w:hint="eastAsia"/>
                <w:sz w:val="24"/>
                <w:szCs w:val="24"/>
              </w:rPr>
            </w:pPr>
            <w:r>
              <w:rPr>
                <w:rFonts w:hint="default" w:ascii="Calibri" w:hAnsi="Calibri" w:eastAsia="宋体" w:cs="Times New Roman"/>
                <w:b w:val="0"/>
                <w:bCs w:val="0"/>
                <w:kern w:val="2"/>
                <w:sz w:val="24"/>
                <w:szCs w:val="24"/>
                <w:lang w:val="en-US" w:eastAsia="zh-CN" w:bidi="ar-SA"/>
              </w:rPr>
              <w:t>4、</w:t>
            </w:r>
            <w:r>
              <w:rPr>
                <w:rFonts w:hint="eastAsia" w:ascii="宋体" w:hAnsi="宋体" w:eastAsia="宋体" w:cs="宋体"/>
                <w:sz w:val="24"/>
                <w:szCs w:val="24"/>
                <w:lang w:val="en-US" w:eastAsia="zh-CN"/>
              </w:rPr>
              <w:t>证券事务代表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荆丕凯</w:t>
            </w:r>
          </w:p>
        </w:tc>
      </w:tr>
      <w:tr w14:paraId="1DF8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21C98F4">
            <w:pPr>
              <w:jc w:val="left"/>
              <w:rPr>
                <w:rFonts w:hint="eastAsia"/>
                <w:sz w:val="24"/>
                <w:szCs w:val="24"/>
              </w:rPr>
            </w:pPr>
            <w:r>
              <w:rPr>
                <w:bCs/>
                <w:iCs/>
                <w:color w:val="000000"/>
                <w:sz w:val="24"/>
                <w:lang w:val="en-GB"/>
              </w:rPr>
              <w:t>参与单位名称</w:t>
            </w:r>
          </w:p>
        </w:tc>
        <w:tc>
          <w:tcPr>
            <w:tcW w:w="7191" w:type="dxa"/>
            <w:noWrap w:val="0"/>
            <w:vAlign w:val="center"/>
          </w:tcPr>
          <w:p w14:paraId="6A8F9997">
            <w:pPr>
              <w:numPr>
                <w:ilvl w:val="0"/>
                <w:numId w:val="0"/>
              </w:numPr>
              <w:spacing w:line="360" w:lineRule="auto"/>
              <w:jc w:val="left"/>
              <w:rPr>
                <w:rFonts w:hint="eastAsia" w:ascii="宋体" w:hAnsi="宋体" w:cs="宋体"/>
                <w:sz w:val="24"/>
                <w:szCs w:val="24"/>
                <w:lang w:val="en-US" w:eastAsia="zh-CN"/>
              </w:rPr>
            </w:pPr>
            <w:r>
              <w:rPr>
                <w:rFonts w:ascii="宋体" w:hAnsi="宋体" w:eastAsia="宋体" w:cs="宋体"/>
                <w:sz w:val="24"/>
                <w:szCs w:val="24"/>
              </w:rPr>
              <w:t>九方智投、山西证券、浙商证券、光大证券、恒旭资本、财通证券、弘鼎投资、胤胜资产、招商证券、沃驰投资</w:t>
            </w:r>
            <w:bookmarkStart w:id="0" w:name="_GoBack"/>
            <w:bookmarkEnd w:id="0"/>
            <w:r>
              <w:rPr>
                <w:rFonts w:ascii="宋体" w:hAnsi="宋体" w:eastAsia="宋体" w:cs="宋体"/>
                <w:sz w:val="24"/>
                <w:szCs w:val="24"/>
              </w:rPr>
              <w:t>、招商证券</w:t>
            </w:r>
          </w:p>
        </w:tc>
      </w:tr>
      <w:tr w14:paraId="7CBD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027BDAC4">
            <w:pPr>
              <w:jc w:val="left"/>
              <w:rPr>
                <w:sz w:val="24"/>
                <w:szCs w:val="24"/>
              </w:rPr>
            </w:pPr>
            <w:r>
              <w:rPr>
                <w:rFonts w:hint="eastAsia"/>
                <w:sz w:val="24"/>
                <w:szCs w:val="24"/>
              </w:rPr>
              <w:t>投资者关系活动主要内容介绍</w:t>
            </w:r>
          </w:p>
        </w:tc>
        <w:tc>
          <w:tcPr>
            <w:tcW w:w="7191" w:type="dxa"/>
            <w:noWrap w:val="0"/>
            <w:vAlign w:val="center"/>
          </w:tcPr>
          <w:p w14:paraId="04FB7C7F">
            <w:pPr>
              <w:spacing w:before="156" w:beforeLines="50" w:after="240" w:line="460" w:lineRule="exact"/>
              <w:rPr>
                <w:rFonts w:ascii="宋体" w:hAnsi="宋体"/>
                <w:b/>
                <w:sz w:val="24"/>
              </w:rPr>
            </w:pPr>
            <w:r>
              <w:rPr>
                <w:rFonts w:ascii="宋体" w:hAnsi="宋体"/>
                <w:b/>
                <w:sz w:val="24"/>
              </w:rPr>
              <w:t>投资者提出的问题及公司回复情况：</w:t>
            </w:r>
          </w:p>
          <w:p w14:paraId="4FEAFF21">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b/>
                <w:bCs/>
              </w:rPr>
            </w:pPr>
            <w:r>
              <w:rPr>
                <w:rFonts w:hint="eastAsia" w:ascii="宋体"/>
                <w:b/>
                <w:bCs/>
                <w:sz w:val="24"/>
                <w:lang w:val="en-US" w:eastAsia="zh-CN"/>
              </w:rPr>
              <w:t>问题一</w:t>
            </w:r>
            <w:r>
              <w:rPr>
                <w:rFonts w:hint="default" w:ascii="宋体"/>
                <w:b/>
                <w:bCs/>
                <w:sz w:val="24"/>
                <w:lang w:val="en-US"/>
              </w:rPr>
              <w:t>：领导好，公司是否有培育第二增长曲线的计划？能否进行分享？</w:t>
            </w:r>
          </w:p>
          <w:p w14:paraId="49F3EE02">
            <w:pPr>
              <w:spacing w:line="460" w:lineRule="auto"/>
              <w:jc w:val="left"/>
              <w:rPr>
                <w:rFonts w:hint="default" w:ascii="宋体"/>
                <w:sz w:val="24"/>
                <w:lang w:val="en-US"/>
              </w:rPr>
            </w:pPr>
            <w:r>
              <w:rPr>
                <w:rFonts w:hint="default" w:ascii="宋体"/>
                <w:sz w:val="24"/>
                <w:lang w:val="en-US"/>
              </w:rPr>
              <w:t>答:尊敬的投资者，您好。公司深耕最新型的软磁材料，其性能优势正逐步被下游认知，应用拓展空间广阔。未来，随着技术突破与需求多元化，该材料在众多新兴领域的开发潜力将持续释放。公司将紧抓机遇，深化材料在多维场景的应用推广，不断拓宽成长边界。感谢您的关注。</w:t>
            </w:r>
          </w:p>
          <w:p w14:paraId="1CC7B7A2">
            <w:pPr>
              <w:keepNext w:val="0"/>
              <w:keepLines w:val="0"/>
              <w:pageBreakBefore w:val="0"/>
              <w:widowControl w:val="0"/>
              <w:kinsoku/>
              <w:wordWrap/>
              <w:overflowPunct/>
              <w:topLinePunct w:val="0"/>
              <w:autoSpaceDE/>
              <w:autoSpaceDN/>
              <w:bidi w:val="0"/>
              <w:adjustRightInd/>
              <w:snapToGrid/>
              <w:spacing w:before="157" w:beforeLines="50"/>
              <w:jc w:val="left"/>
              <w:textAlignment w:val="auto"/>
            </w:pPr>
            <w:r>
              <w:rPr>
                <w:rFonts w:hint="eastAsia" w:ascii="宋体"/>
                <w:b/>
                <w:bCs/>
                <w:sz w:val="24"/>
                <w:lang w:val="en-US" w:eastAsia="zh-CN"/>
              </w:rPr>
              <w:t>问题二：</w:t>
            </w:r>
            <w:r>
              <w:rPr>
                <w:rFonts w:hint="default" w:ascii="宋体"/>
                <w:b/>
                <w:bCs/>
                <w:sz w:val="24"/>
                <w:lang w:val="en-US" w:eastAsia="zh-CN"/>
              </w:rPr>
              <w:t>公司2026年一季度产能利用率及产品销售单价变化情况。</w:t>
            </w:r>
          </w:p>
          <w:p w14:paraId="0BDB10A6">
            <w:pPr>
              <w:spacing w:line="460" w:lineRule="auto"/>
              <w:jc w:val="left"/>
              <w:rPr>
                <w:rFonts w:hint="default" w:ascii="宋体"/>
                <w:sz w:val="24"/>
                <w:lang w:val="en-US"/>
              </w:rPr>
            </w:pPr>
            <w:r>
              <w:rPr>
                <w:rFonts w:hint="default" w:ascii="宋体"/>
                <w:sz w:val="24"/>
                <w:lang w:val="en-US"/>
              </w:rPr>
              <w:t>答:尊敬的投资者，您好。关于一季度经营情况请关注公司即将披露的《2026年第一季度报告》，感谢您对公司的关注。</w:t>
            </w:r>
          </w:p>
          <w:p w14:paraId="5BC264F0">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eastAsia" w:ascii="宋体"/>
                <w:b/>
                <w:bCs/>
                <w:sz w:val="24"/>
                <w:lang w:val="en-US" w:eastAsia="zh-CN"/>
              </w:rPr>
            </w:pPr>
            <w:r>
              <w:rPr>
                <w:rFonts w:hint="eastAsia" w:ascii="宋体"/>
                <w:b/>
                <w:bCs/>
                <w:sz w:val="24"/>
                <w:lang w:val="en-US" w:eastAsia="zh-CN"/>
              </w:rPr>
              <w:t>问题三</w:t>
            </w:r>
            <w:r>
              <w:rPr>
                <w:rFonts w:hint="default" w:ascii="宋体"/>
                <w:b/>
                <w:bCs/>
                <w:sz w:val="24"/>
                <w:lang w:val="en-US" w:eastAsia="zh-CN"/>
              </w:rPr>
              <w:t>：请问公司未来在海外市场的进一步布局计划是什么？如何应对潜在的贸易风险？</w:t>
            </w:r>
          </w:p>
          <w:p w14:paraId="459934A9">
            <w:pPr>
              <w:spacing w:line="460" w:lineRule="auto"/>
              <w:jc w:val="left"/>
              <w:rPr>
                <w:rFonts w:hint="default" w:ascii="宋体"/>
                <w:sz w:val="24"/>
                <w:lang w:val="en-US"/>
              </w:rPr>
            </w:pPr>
            <w:r>
              <w:rPr>
                <w:rFonts w:hint="default" w:ascii="宋体"/>
                <w:sz w:val="24"/>
                <w:lang w:val="en-US"/>
              </w:rPr>
              <w:t>答:尊敬的投资者，您好。未来公司将着力布局印度、韩国、越南等电力需求旺盛的海外国家和地区，同时持续深化在欧盟、美国等发达国家市场的开拓，目前覆盖全球40余个国家，不断完善全球化销售网络，全球客户结构的多元化布局将有效分散单一市场贸易政策波动的风险。感谢您对公司的关注。</w:t>
            </w:r>
          </w:p>
          <w:p w14:paraId="03D692AF">
            <w:pPr>
              <w:keepNext w:val="0"/>
              <w:keepLines w:val="0"/>
              <w:pageBreakBefore w:val="0"/>
              <w:widowControl w:val="0"/>
              <w:kinsoku/>
              <w:wordWrap/>
              <w:overflowPunct/>
              <w:topLinePunct w:val="0"/>
              <w:autoSpaceDE/>
              <w:autoSpaceDN/>
              <w:bidi w:val="0"/>
              <w:adjustRightInd/>
              <w:snapToGrid/>
              <w:spacing w:before="157" w:beforeLines="50"/>
              <w:jc w:val="left"/>
              <w:textAlignment w:val="auto"/>
            </w:pPr>
            <w:r>
              <w:rPr>
                <w:rFonts w:hint="eastAsia" w:ascii="宋体"/>
                <w:b/>
                <w:bCs/>
                <w:sz w:val="24"/>
                <w:lang w:val="en-US" w:eastAsia="zh-CN"/>
              </w:rPr>
              <w:t>问题四</w:t>
            </w:r>
            <w:r>
              <w:rPr>
                <w:rFonts w:hint="default" w:ascii="宋体"/>
                <w:b/>
                <w:bCs/>
                <w:sz w:val="24"/>
                <w:lang w:val="en-US" w:eastAsia="zh-CN"/>
              </w:rPr>
              <w:t>：请问一季报未预报，是否意味着业绩变动30%以内，谢谢！</w:t>
            </w:r>
          </w:p>
          <w:p w14:paraId="0B7B112E">
            <w:pPr>
              <w:spacing w:line="460" w:lineRule="auto"/>
              <w:jc w:val="left"/>
              <w:rPr>
                <w:rFonts w:hint="default" w:ascii="宋体"/>
                <w:sz w:val="24"/>
                <w:lang w:val="en-US"/>
              </w:rPr>
            </w:pPr>
            <w:r>
              <w:rPr>
                <w:rFonts w:hint="default" w:ascii="宋体"/>
                <w:sz w:val="24"/>
                <w:lang w:val="en-US"/>
              </w:rPr>
              <w:t>答:尊敬的投资者，您好。根据上市公司相关监管规则，目前对季度报告业绩预告无强制披露要求，关于一季度经营情况请关注公司即将披露的《2026年第一季度报告》，感谢您对公司的关注。</w:t>
            </w:r>
          </w:p>
          <w:p w14:paraId="39819030">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eastAsia" w:ascii="宋体"/>
                <w:b/>
                <w:bCs/>
                <w:sz w:val="24"/>
                <w:lang w:val="en-US" w:eastAsia="zh-CN"/>
              </w:rPr>
            </w:pPr>
            <w:r>
              <w:rPr>
                <w:rFonts w:hint="eastAsia" w:ascii="宋体"/>
                <w:b/>
                <w:bCs/>
                <w:sz w:val="24"/>
                <w:lang w:val="en-US" w:eastAsia="zh-CN"/>
              </w:rPr>
              <w:t>问题五</w:t>
            </w:r>
            <w:r>
              <w:rPr>
                <w:rFonts w:hint="default" w:ascii="宋体"/>
                <w:b/>
                <w:bCs/>
                <w:sz w:val="24"/>
                <w:lang w:val="en-US" w:eastAsia="zh-CN"/>
              </w:rPr>
              <w:t>：公司计划采取哪些具体措施来改善经营性现金流？</w:t>
            </w:r>
          </w:p>
          <w:p w14:paraId="6AD50E67">
            <w:pPr>
              <w:spacing w:line="460" w:lineRule="auto"/>
              <w:jc w:val="left"/>
              <w:rPr>
                <w:rFonts w:hint="eastAsia" w:ascii="宋体" w:hAnsi="宋体"/>
                <w:sz w:val="24"/>
                <w:szCs w:val="24"/>
              </w:rPr>
            </w:pPr>
            <w:r>
              <w:rPr>
                <w:rFonts w:hint="default" w:ascii="宋体"/>
                <w:sz w:val="24"/>
                <w:lang w:val="en-US"/>
              </w:rPr>
              <w:t>答:尊敬的投资者，您好。2025 年经营活动产生的现金流量净额同比减少 ，主要系报告期内一方面偿还上年票据到期款，另一方面战略性备货所致。未来公司将以“提质增效”为抓手，重点提高营运资金效率，通过严控存货与应收规模、强化精益化成本费用管控，逐步改善经营性现金流。感谢您对公司的关注。</w:t>
            </w:r>
          </w:p>
        </w:tc>
      </w:tr>
      <w:tr w14:paraId="6496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29D7F248">
            <w:pPr>
              <w:spacing w:line="420" w:lineRule="exact"/>
              <w:rPr>
                <w:rFonts w:hint="eastAsia"/>
                <w:sz w:val="24"/>
                <w:szCs w:val="24"/>
              </w:rPr>
            </w:pPr>
            <w:r>
              <w:rPr>
                <w:rFonts w:hAnsi="宋体"/>
                <w:bCs/>
                <w:iCs/>
                <w:color w:val="000000"/>
                <w:kern w:val="0"/>
                <w:sz w:val="24"/>
              </w:rPr>
              <w:t>附件清单</w:t>
            </w:r>
          </w:p>
        </w:tc>
        <w:tc>
          <w:tcPr>
            <w:tcW w:w="7191" w:type="dxa"/>
            <w:noWrap w:val="0"/>
            <w:vAlign w:val="top"/>
          </w:tcPr>
          <w:p w14:paraId="42B43C7B">
            <w:pPr>
              <w:spacing w:line="420" w:lineRule="exact"/>
              <w:rPr>
                <w:rFonts w:hint="default" w:ascii="宋体"/>
                <w:sz w:val="24"/>
                <w:lang w:val="en-US"/>
              </w:rPr>
            </w:pPr>
            <w:r>
              <w:rPr>
                <w:bCs/>
                <w:iCs/>
                <w:color w:val="000000"/>
                <w:sz w:val="24"/>
              </w:rPr>
              <w:t>无</w:t>
            </w:r>
          </w:p>
        </w:tc>
      </w:tr>
      <w:tr w14:paraId="1073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111C2F21">
            <w:pPr>
              <w:spacing w:line="420" w:lineRule="exact"/>
              <w:rPr>
                <w:rFonts w:hint="eastAsia"/>
                <w:sz w:val="24"/>
                <w:szCs w:val="24"/>
              </w:rPr>
            </w:pPr>
            <w:r>
              <w:rPr>
                <w:rFonts w:hAnsi="宋体"/>
                <w:bCs/>
                <w:iCs/>
                <w:color w:val="000000"/>
                <w:kern w:val="0"/>
                <w:sz w:val="24"/>
              </w:rPr>
              <w:t>日期</w:t>
            </w:r>
          </w:p>
        </w:tc>
        <w:tc>
          <w:tcPr>
            <w:tcW w:w="7191" w:type="dxa"/>
            <w:noWrap w:val="0"/>
            <w:vAlign w:val="top"/>
          </w:tcPr>
          <w:p w14:paraId="6FC027A9">
            <w:pPr>
              <w:spacing w:line="420" w:lineRule="exact"/>
              <w:rPr>
                <w:rFonts w:hint="default" w:ascii="宋体"/>
                <w:sz w:val="24"/>
                <w:lang w:val="en-US"/>
              </w:rPr>
            </w:pPr>
            <w:r>
              <w:rPr>
                <w:bCs/>
                <w:iCs/>
                <w:color w:val="000000"/>
                <w:sz w:val="24"/>
              </w:rPr>
              <w:t>202</w:t>
            </w:r>
            <w:r>
              <w:rPr>
                <w:rFonts w:hint="eastAsia"/>
                <w:bCs/>
                <w:iCs/>
                <w:color w:val="000000"/>
                <w:sz w:val="24"/>
                <w:lang w:val="en-US" w:eastAsia="zh-CN"/>
              </w:rPr>
              <w:t>6</w:t>
            </w:r>
            <w:r>
              <w:rPr>
                <w:rFonts w:hint="eastAsia"/>
                <w:bCs/>
                <w:iCs/>
                <w:color w:val="000000"/>
                <w:sz w:val="24"/>
              </w:rPr>
              <w:t>年</w:t>
            </w:r>
            <w:r>
              <w:rPr>
                <w:rFonts w:hint="eastAsia"/>
                <w:bCs/>
                <w:iCs/>
                <w:color w:val="000000"/>
                <w:sz w:val="24"/>
                <w:lang w:val="en-US" w:eastAsia="zh-CN"/>
              </w:rPr>
              <w:t>4</w:t>
            </w:r>
            <w:r>
              <w:rPr>
                <w:rFonts w:hint="eastAsia"/>
                <w:bCs/>
                <w:iCs/>
                <w:color w:val="000000"/>
                <w:sz w:val="24"/>
              </w:rPr>
              <w:t>月</w:t>
            </w:r>
            <w:r>
              <w:rPr>
                <w:rFonts w:hint="eastAsia"/>
                <w:bCs/>
                <w:iCs/>
                <w:color w:val="000000"/>
                <w:sz w:val="24"/>
                <w:lang w:val="en-US" w:eastAsia="zh-CN"/>
              </w:rPr>
              <w:t>28</w:t>
            </w:r>
            <w:r>
              <w:rPr>
                <w:bCs/>
                <w:iCs/>
                <w:color w:val="000000"/>
                <w:sz w:val="24"/>
              </w:rPr>
              <w:t>日</w:t>
            </w:r>
          </w:p>
        </w:tc>
      </w:tr>
    </w:tbl>
    <w:p w14:paraId="34C7B25C"/>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BF43">
    <w:pPr>
      <w:pStyle w:val="2"/>
      <w:tabs>
        <w:tab w:val="clear" w:pos="4153"/>
      </w:tabs>
      <w:jc w:val="right"/>
    </w:pPr>
    <w:r>
      <w:rPr>
        <w:rFonts w:hint="eastAsia"/>
      </w:rPr>
      <w:t>青岛云路先进材料技术股份有限公司投资者关系活动记录表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E0412FF"/>
    <w:rsid w:val="1C8256C5"/>
    <w:rsid w:val="1CB2496B"/>
    <w:rsid w:val="256C5373"/>
    <w:rsid w:val="339E722D"/>
    <w:rsid w:val="49F556AA"/>
    <w:rsid w:val="51EF0FEF"/>
    <w:rsid w:val="61B42C51"/>
    <w:rsid w:val="670E1BEF"/>
    <w:rsid w:val="6B9B31D4"/>
    <w:rsid w:val="74A164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1005</Words>
  <Characters>1080</Characters>
  <Lines>0</Lines>
  <Paragraphs>0</Paragraphs>
  <TotalTime>1</TotalTime>
  <ScaleCrop>false</ScaleCrop>
  <LinksUpToDate>false</LinksUpToDate>
  <CharactersWithSpaces>1156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Administrator</cp:lastModifiedBy>
  <dcterms:modified xsi:type="dcterms:W3CDTF">2026-04-29T07:56:07Z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2F142A10BCEF4DC59B7D3FD9957726FE_13</vt:lpwstr>
  </property>
  <property fmtid="{D5CDD505-2E9C-101B-9397-08002B2CF9AE}" pid="4" name="KSOTemplateDocerSaveRecord">
    <vt:lpwstr>eyJoZGlkIjoiNWRjN2UxMjJiMWE5MTFiOTkyNmRlY2JmOTlmYzE2ODUiLCJ1c2VySWQiOiI0NTIxMTI5MDkifQ==</vt:lpwstr>
  </property>
</Properties>
</file>