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C09" w14:textId="77777777" w:rsidR="006A01E0" w:rsidRDefault="00CE0DEF">
      <w:pPr>
        <w:spacing w:line="360" w:lineRule="auto"/>
        <w:ind w:firstLineChars="100" w:firstLine="241"/>
        <w:rPr>
          <w:rFonts w:ascii="宋体" w:eastAsia="宋体" w:hAnsi="宋体" w:hint="eastAsia"/>
          <w:b/>
          <w:sz w:val="24"/>
          <w:szCs w:val="24"/>
        </w:rPr>
      </w:pPr>
      <w:r>
        <w:rPr>
          <w:rFonts w:ascii="宋体" w:eastAsia="宋体" w:hAnsi="宋体" w:hint="eastAsia"/>
          <w:b/>
          <w:sz w:val="24"/>
          <w:szCs w:val="24"/>
        </w:rPr>
        <w:t xml:space="preserve">证券代码：688345                               </w:t>
      </w:r>
      <w:r>
        <w:rPr>
          <w:rFonts w:ascii="宋体" w:eastAsia="宋体" w:hAnsi="宋体"/>
          <w:b/>
          <w:sz w:val="24"/>
          <w:szCs w:val="24"/>
        </w:rPr>
        <w:t xml:space="preserve">   </w:t>
      </w:r>
      <w:r>
        <w:rPr>
          <w:rFonts w:ascii="宋体" w:eastAsia="宋体" w:hAnsi="宋体" w:hint="eastAsia"/>
          <w:b/>
          <w:sz w:val="24"/>
          <w:szCs w:val="24"/>
        </w:rPr>
        <w:t xml:space="preserve"> 证券简称：博</w:t>
      </w:r>
      <w:r>
        <w:rPr>
          <w:rFonts w:ascii="宋体" w:eastAsia="宋体" w:hAnsi="宋体"/>
          <w:b/>
          <w:sz w:val="24"/>
          <w:szCs w:val="24"/>
        </w:rPr>
        <w:t xml:space="preserve">力威 </w:t>
      </w:r>
    </w:p>
    <w:p w14:paraId="7EE6CF3B" w14:textId="77777777" w:rsidR="006A01E0" w:rsidRDefault="00CE0DEF">
      <w:pPr>
        <w:spacing w:line="360" w:lineRule="auto"/>
        <w:jc w:val="center"/>
        <w:rPr>
          <w:rFonts w:ascii="宋体" w:eastAsia="宋体" w:hAnsi="宋体" w:hint="eastAsia"/>
          <w:b/>
          <w:sz w:val="32"/>
          <w:szCs w:val="32"/>
        </w:rPr>
      </w:pPr>
      <w:r>
        <w:rPr>
          <w:rFonts w:ascii="宋体" w:eastAsia="宋体" w:hAnsi="宋体" w:hint="eastAsia"/>
          <w:b/>
          <w:sz w:val="32"/>
          <w:szCs w:val="32"/>
        </w:rPr>
        <w:t>广东</w:t>
      </w:r>
      <w:r>
        <w:rPr>
          <w:rFonts w:ascii="宋体" w:eastAsia="宋体" w:hAnsi="宋体"/>
          <w:b/>
          <w:sz w:val="32"/>
          <w:szCs w:val="32"/>
        </w:rPr>
        <w:t>博力</w:t>
      </w:r>
      <w:r>
        <w:rPr>
          <w:rFonts w:ascii="宋体" w:eastAsia="宋体" w:hAnsi="宋体" w:hint="eastAsia"/>
          <w:b/>
          <w:sz w:val="32"/>
          <w:szCs w:val="32"/>
        </w:rPr>
        <w:t>威</w:t>
      </w:r>
      <w:r>
        <w:rPr>
          <w:rFonts w:ascii="宋体" w:eastAsia="宋体" w:hAnsi="宋体"/>
          <w:b/>
          <w:sz w:val="32"/>
          <w:szCs w:val="32"/>
        </w:rPr>
        <w:t>科技</w:t>
      </w:r>
      <w:r>
        <w:rPr>
          <w:rFonts w:ascii="宋体" w:eastAsia="宋体" w:hAnsi="宋体" w:hint="eastAsia"/>
          <w:b/>
          <w:sz w:val="32"/>
          <w:szCs w:val="32"/>
        </w:rPr>
        <w:t>股份有限公司</w:t>
      </w:r>
    </w:p>
    <w:p w14:paraId="291559DD" w14:textId="77777777" w:rsidR="006A01E0" w:rsidRDefault="00CE0DEF">
      <w:pPr>
        <w:spacing w:line="360" w:lineRule="auto"/>
        <w:jc w:val="center"/>
        <w:rPr>
          <w:rFonts w:ascii="宋体" w:eastAsia="宋体" w:hAnsi="宋体" w:hint="eastAsia"/>
          <w:b/>
          <w:sz w:val="32"/>
          <w:szCs w:val="32"/>
        </w:rPr>
      </w:pPr>
      <w:r>
        <w:rPr>
          <w:rFonts w:ascii="宋体" w:eastAsia="宋体" w:hAnsi="宋体" w:hint="eastAsia"/>
          <w:b/>
          <w:sz w:val="32"/>
          <w:szCs w:val="32"/>
        </w:rPr>
        <w:t>投资者关系活动记录表</w:t>
      </w:r>
    </w:p>
    <w:p w14:paraId="59B70C8F" w14:textId="77777777" w:rsidR="006A01E0" w:rsidRDefault="006A01E0">
      <w:pPr>
        <w:spacing w:line="360" w:lineRule="auto"/>
        <w:rPr>
          <w:rFonts w:ascii="宋体" w:eastAsia="宋体" w:hAnsi="宋体" w:hint="eastAsia"/>
          <w:b/>
          <w:sz w:val="24"/>
          <w:szCs w:val="24"/>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093"/>
      </w:tblGrid>
      <w:tr w:rsidR="006A01E0" w14:paraId="326B2900" w14:textId="77777777">
        <w:tc>
          <w:tcPr>
            <w:tcW w:w="1696" w:type="dxa"/>
            <w:vAlign w:val="center"/>
          </w:tcPr>
          <w:p w14:paraId="040539E0" w14:textId="77777777" w:rsidR="006A01E0" w:rsidRDefault="00CE0DEF">
            <w:pPr>
              <w:spacing w:line="360" w:lineRule="auto"/>
              <w:rPr>
                <w:rFonts w:ascii="Times New Roman" w:eastAsia="宋体" w:hAnsi="Times New Roman"/>
                <w:b/>
                <w:color w:val="000000"/>
                <w:sz w:val="24"/>
                <w:szCs w:val="24"/>
              </w:rPr>
            </w:pPr>
            <w:r>
              <w:rPr>
                <w:rFonts w:ascii="Times New Roman" w:eastAsia="宋体" w:hAnsi="Times New Roman" w:hint="eastAsia"/>
                <w:b/>
                <w:color w:val="000000"/>
                <w:sz w:val="24"/>
                <w:szCs w:val="24"/>
              </w:rPr>
              <w:t>投资者关系活动类别</w:t>
            </w:r>
          </w:p>
        </w:tc>
        <w:tc>
          <w:tcPr>
            <w:tcW w:w="7093" w:type="dxa"/>
          </w:tcPr>
          <w:p w14:paraId="1D72CDCA" w14:textId="77777777" w:rsidR="006A01E0" w:rsidRDefault="00CE0DEF">
            <w:pPr>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□特定对象调研</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□分析师会议</w:t>
            </w:r>
          </w:p>
          <w:p w14:paraId="442BB42E" w14:textId="77777777" w:rsidR="006A01E0" w:rsidRDefault="00CE0DEF">
            <w:pPr>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□媒体采访</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□业绩说明会</w:t>
            </w:r>
          </w:p>
          <w:p w14:paraId="031D48B3" w14:textId="77777777" w:rsidR="006A01E0" w:rsidRDefault="00CE0DEF">
            <w:pPr>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□新闻发布会</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□路演活动</w:t>
            </w:r>
          </w:p>
          <w:p w14:paraId="211434BC" w14:textId="60BD7731" w:rsidR="006A01E0" w:rsidRDefault="006D19AF">
            <w:pPr>
              <w:tabs>
                <w:tab w:val="left" w:pos="2690"/>
                <w:tab w:val="center" w:pos="3199"/>
              </w:tabs>
              <w:spacing w:line="360" w:lineRule="auto"/>
              <w:rPr>
                <w:rFonts w:ascii="Times New Roman" w:eastAsia="宋体" w:hAnsi="Times New Roman"/>
                <w:color w:val="000000"/>
                <w:sz w:val="24"/>
                <w:szCs w:val="24"/>
              </w:rPr>
            </w:pPr>
            <w:r>
              <w:rPr>
                <w:rFonts w:ascii="Times New Roman" w:eastAsia="宋体" w:hAnsi="Times New Roman"/>
                <w:color w:val="000000"/>
                <w:sz w:val="24"/>
                <w:szCs w:val="24"/>
              </w:rPr>
              <w:sym w:font="Wingdings 2" w:char="0052"/>
            </w:r>
            <w:r w:rsidR="00CE0DEF">
              <w:rPr>
                <w:rFonts w:ascii="Times New Roman" w:eastAsia="宋体" w:hAnsi="Times New Roman" w:hint="eastAsia"/>
                <w:color w:val="000000"/>
                <w:sz w:val="24"/>
                <w:szCs w:val="24"/>
              </w:rPr>
              <w:t>现场参观</w:t>
            </w:r>
            <w:r w:rsidR="00CE0DEF">
              <w:rPr>
                <w:rFonts w:ascii="Times New Roman" w:eastAsia="宋体" w:hAnsi="Times New Roman"/>
                <w:color w:val="000000"/>
                <w:sz w:val="24"/>
                <w:szCs w:val="24"/>
              </w:rPr>
              <w:t xml:space="preserve">           </w:t>
            </w:r>
            <w:r w:rsidR="00CE0DEF">
              <w:rPr>
                <w:rFonts w:ascii="Times New Roman" w:eastAsia="宋体" w:hAnsi="Times New Roman" w:hint="eastAsia"/>
                <w:color w:val="000000"/>
                <w:sz w:val="24"/>
                <w:szCs w:val="24"/>
              </w:rPr>
              <w:t xml:space="preserve"> </w:t>
            </w:r>
            <w:r w:rsidR="00E770BE">
              <w:rPr>
                <w:rFonts w:ascii="Times New Roman" w:eastAsia="宋体" w:hAnsi="Times New Roman"/>
                <w:color w:val="000000"/>
                <w:sz w:val="24"/>
                <w:szCs w:val="24"/>
              </w:rPr>
              <w:sym w:font="Wingdings 2" w:char="0052"/>
            </w:r>
            <w:r w:rsidR="00CE0DEF">
              <w:rPr>
                <w:rFonts w:ascii="Times New Roman" w:eastAsia="宋体" w:hAnsi="Times New Roman" w:hint="eastAsia"/>
                <w:color w:val="000000"/>
                <w:sz w:val="24"/>
                <w:szCs w:val="24"/>
              </w:rPr>
              <w:t>电话会议</w:t>
            </w:r>
          </w:p>
          <w:p w14:paraId="31F3EBBE" w14:textId="0D4ED33D" w:rsidR="006A01E0" w:rsidRDefault="00E770BE">
            <w:pPr>
              <w:tabs>
                <w:tab w:val="center" w:pos="3199"/>
              </w:tabs>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w:t>
            </w:r>
            <w:r w:rsidR="00CE0DEF">
              <w:rPr>
                <w:rFonts w:ascii="Times New Roman" w:eastAsia="宋体" w:hAnsi="Times New Roman" w:hint="eastAsia"/>
                <w:color w:val="000000"/>
                <w:sz w:val="24"/>
                <w:szCs w:val="24"/>
              </w:rPr>
              <w:t>其他</w:t>
            </w:r>
            <w:r w:rsidR="00CE0DEF">
              <w:rPr>
                <w:rFonts w:ascii="Times New Roman" w:eastAsia="宋体" w:hAnsi="Times New Roman"/>
                <w:color w:val="000000"/>
                <w:sz w:val="24"/>
                <w:szCs w:val="24"/>
              </w:rPr>
              <w:t xml:space="preserve"> </w:t>
            </w:r>
          </w:p>
        </w:tc>
      </w:tr>
      <w:tr w:rsidR="006A01E0" w14:paraId="39D8CB00" w14:textId="77777777">
        <w:tc>
          <w:tcPr>
            <w:tcW w:w="1696" w:type="dxa"/>
            <w:vAlign w:val="center"/>
          </w:tcPr>
          <w:p w14:paraId="0662B178"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w:t>
            </w:r>
          </w:p>
        </w:tc>
        <w:tc>
          <w:tcPr>
            <w:tcW w:w="7093" w:type="dxa"/>
          </w:tcPr>
          <w:p w14:paraId="5175A88C" w14:textId="39D8A6FC" w:rsidR="006A01E0" w:rsidRDefault="000F7689">
            <w:pPr>
              <w:widowControl/>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共</w:t>
            </w:r>
            <w:r w:rsidR="006D19AF">
              <w:rPr>
                <w:rFonts w:ascii="Times New Roman" w:eastAsia="宋体" w:hAnsi="Times New Roman" w:hint="eastAsia"/>
                <w:color w:val="000000"/>
                <w:sz w:val="24"/>
                <w:szCs w:val="24"/>
              </w:rPr>
              <w:t>43</w:t>
            </w:r>
            <w:r>
              <w:rPr>
                <w:rFonts w:ascii="Times New Roman" w:eastAsia="宋体" w:hAnsi="Times New Roman" w:hint="eastAsia"/>
                <w:color w:val="000000"/>
                <w:sz w:val="24"/>
                <w:szCs w:val="24"/>
              </w:rPr>
              <w:t>位机构投资者，详见附件</w:t>
            </w:r>
          </w:p>
        </w:tc>
      </w:tr>
      <w:tr w:rsidR="006A01E0" w14:paraId="3466B6B8" w14:textId="77777777">
        <w:tc>
          <w:tcPr>
            <w:tcW w:w="1696" w:type="dxa"/>
          </w:tcPr>
          <w:p w14:paraId="0CB49919"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7093" w:type="dxa"/>
          </w:tcPr>
          <w:p w14:paraId="2913B7CC" w14:textId="09A265A0" w:rsidR="006A01E0" w:rsidRDefault="00CE0DEF">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w:t>
            </w:r>
            <w:r w:rsidR="00DF25B9">
              <w:rPr>
                <w:rFonts w:ascii="宋体" w:eastAsia="宋体" w:hAnsi="宋体" w:cs="Times New Roman" w:hint="eastAsia"/>
                <w:bCs/>
                <w:iCs/>
                <w:sz w:val="24"/>
                <w:szCs w:val="24"/>
              </w:rPr>
              <w:t>6</w:t>
            </w:r>
            <w:r>
              <w:rPr>
                <w:rFonts w:ascii="宋体" w:eastAsia="宋体" w:hAnsi="宋体" w:cs="Times New Roman" w:hint="eastAsia"/>
                <w:bCs/>
                <w:iCs/>
                <w:sz w:val="24"/>
                <w:szCs w:val="24"/>
              </w:rPr>
              <w:t>年</w:t>
            </w:r>
            <w:r w:rsidR="00B6628B">
              <w:rPr>
                <w:rFonts w:ascii="宋体" w:eastAsia="宋体" w:hAnsi="宋体" w:cs="Times New Roman" w:hint="eastAsia"/>
                <w:bCs/>
                <w:iCs/>
                <w:sz w:val="24"/>
                <w:szCs w:val="24"/>
              </w:rPr>
              <w:t>4</w:t>
            </w:r>
            <w:r>
              <w:rPr>
                <w:rFonts w:ascii="宋体" w:eastAsia="宋体" w:hAnsi="宋体" w:cs="Times New Roman" w:hint="eastAsia"/>
                <w:bCs/>
                <w:iCs/>
                <w:sz w:val="24"/>
                <w:szCs w:val="24"/>
              </w:rPr>
              <w:t>月</w:t>
            </w:r>
            <w:r w:rsidR="00A83199">
              <w:rPr>
                <w:rFonts w:ascii="宋体" w:eastAsia="宋体" w:hAnsi="宋体" w:cs="Times New Roman" w:hint="eastAsia"/>
                <w:bCs/>
                <w:iCs/>
                <w:sz w:val="24"/>
                <w:szCs w:val="24"/>
              </w:rPr>
              <w:t>2</w:t>
            </w:r>
            <w:r w:rsidR="0039755D">
              <w:rPr>
                <w:rFonts w:ascii="宋体" w:eastAsia="宋体" w:hAnsi="宋体" w:cs="Times New Roman" w:hint="eastAsia"/>
                <w:bCs/>
                <w:iCs/>
                <w:sz w:val="24"/>
                <w:szCs w:val="24"/>
              </w:rPr>
              <w:t>6</w:t>
            </w:r>
            <w:r>
              <w:rPr>
                <w:rFonts w:ascii="宋体" w:eastAsia="宋体" w:hAnsi="宋体" w:cs="Times New Roman"/>
                <w:bCs/>
                <w:iCs/>
                <w:sz w:val="24"/>
                <w:szCs w:val="24"/>
              </w:rPr>
              <w:t>日</w:t>
            </w:r>
            <w:r w:rsidR="006D19AF">
              <w:rPr>
                <w:rFonts w:ascii="宋体" w:eastAsia="宋体" w:hAnsi="宋体" w:cs="Times New Roman" w:hint="eastAsia"/>
                <w:bCs/>
                <w:iCs/>
                <w:sz w:val="24"/>
                <w:szCs w:val="24"/>
              </w:rPr>
              <w:t>、2026年4月28</w:t>
            </w:r>
            <w:r w:rsidR="006D19AF">
              <w:rPr>
                <w:rFonts w:ascii="宋体" w:eastAsia="宋体" w:hAnsi="宋体" w:cs="Times New Roman"/>
                <w:bCs/>
                <w:iCs/>
                <w:sz w:val="24"/>
                <w:szCs w:val="24"/>
              </w:rPr>
              <w:t>日</w:t>
            </w:r>
          </w:p>
        </w:tc>
      </w:tr>
      <w:tr w:rsidR="006A01E0" w14:paraId="1618795D" w14:textId="77777777">
        <w:tc>
          <w:tcPr>
            <w:tcW w:w="1696" w:type="dxa"/>
          </w:tcPr>
          <w:p w14:paraId="4BB0259E"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7093" w:type="dxa"/>
          </w:tcPr>
          <w:p w14:paraId="267AD6FF" w14:textId="4CCC1296" w:rsidR="006A01E0" w:rsidRDefault="000F7689">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电话</w:t>
            </w:r>
            <w:r w:rsidR="00E842D9">
              <w:rPr>
                <w:rFonts w:ascii="宋体" w:eastAsia="宋体" w:hAnsi="宋体" w:cs="Times New Roman" w:hint="eastAsia"/>
                <w:bCs/>
                <w:iCs/>
                <w:sz w:val="24"/>
                <w:szCs w:val="24"/>
              </w:rPr>
              <w:t>会议</w:t>
            </w:r>
            <w:r w:rsidR="006D19AF">
              <w:rPr>
                <w:rFonts w:ascii="宋体" w:eastAsia="宋体" w:hAnsi="宋体" w:cs="Times New Roman" w:hint="eastAsia"/>
                <w:bCs/>
                <w:iCs/>
                <w:sz w:val="24"/>
                <w:szCs w:val="24"/>
              </w:rPr>
              <w:t>、公司会议室</w:t>
            </w:r>
          </w:p>
        </w:tc>
      </w:tr>
      <w:tr w:rsidR="006A01E0" w14:paraId="6BA7F09F" w14:textId="77777777">
        <w:tc>
          <w:tcPr>
            <w:tcW w:w="1696" w:type="dxa"/>
          </w:tcPr>
          <w:p w14:paraId="5616F04A"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7093" w:type="dxa"/>
          </w:tcPr>
          <w:p w14:paraId="10474045" w14:textId="02A98774" w:rsidR="006A01E0" w:rsidRDefault="00CE0DEF">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w:t>
            </w:r>
            <w:r>
              <w:rPr>
                <w:rFonts w:ascii="宋体" w:eastAsia="宋体" w:hAnsi="宋体" w:cs="Times New Roman"/>
                <w:bCs/>
                <w:iCs/>
                <w:sz w:val="24"/>
                <w:szCs w:val="24"/>
              </w:rPr>
              <w:t>事会秘书</w:t>
            </w:r>
            <w:r w:rsidR="00B6628B">
              <w:rPr>
                <w:rFonts w:ascii="宋体" w:eastAsia="宋体" w:hAnsi="宋体" w:cs="Times New Roman" w:hint="eastAsia"/>
                <w:bCs/>
                <w:iCs/>
                <w:sz w:val="24"/>
                <w:szCs w:val="24"/>
              </w:rPr>
              <w:t>兼财务负责人</w:t>
            </w:r>
            <w:r>
              <w:rPr>
                <w:rFonts w:ascii="宋体" w:eastAsia="宋体" w:hAnsi="宋体" w:cs="Times New Roman"/>
                <w:bCs/>
                <w:iCs/>
                <w:sz w:val="24"/>
                <w:szCs w:val="24"/>
              </w:rPr>
              <w:t>：</w:t>
            </w:r>
            <w:r w:rsidR="00B6628B">
              <w:rPr>
                <w:rFonts w:ascii="宋体" w:eastAsia="宋体" w:hAnsi="宋体" w:cs="Times New Roman" w:hint="eastAsia"/>
                <w:bCs/>
                <w:iCs/>
                <w:sz w:val="24"/>
                <w:szCs w:val="24"/>
              </w:rPr>
              <w:t>王娟</w:t>
            </w:r>
          </w:p>
        </w:tc>
      </w:tr>
      <w:tr w:rsidR="006A01E0" w14:paraId="313129BB" w14:textId="77777777">
        <w:trPr>
          <w:trHeight w:val="699"/>
        </w:trPr>
        <w:tc>
          <w:tcPr>
            <w:tcW w:w="1696" w:type="dxa"/>
            <w:vAlign w:val="center"/>
          </w:tcPr>
          <w:p w14:paraId="5BCA6552"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7093" w:type="dxa"/>
          </w:tcPr>
          <w:p w14:paraId="5ECBDBFF" w14:textId="4B982E9D" w:rsidR="006A01E0" w:rsidRPr="00D016AA" w:rsidRDefault="00CE0DEF">
            <w:pPr>
              <w:spacing w:line="360" w:lineRule="auto"/>
              <w:ind w:firstLineChars="200" w:firstLine="422"/>
            </w:pPr>
            <w:r>
              <w:rPr>
                <w:rFonts w:ascii="宋体" w:eastAsia="宋体" w:hAnsi="宋体" w:hint="eastAsia"/>
                <w:b/>
                <w:szCs w:val="21"/>
              </w:rPr>
              <w:t>1、</w:t>
            </w:r>
            <w:r>
              <w:rPr>
                <w:rFonts w:ascii="宋体" w:eastAsia="宋体" w:hAnsi="宋体"/>
                <w:b/>
                <w:szCs w:val="21"/>
              </w:rPr>
              <w:t>公司</w:t>
            </w:r>
            <w:r>
              <w:rPr>
                <w:rFonts w:ascii="宋体" w:eastAsia="宋体" w:hAnsi="宋体" w:hint="eastAsia"/>
                <w:b/>
                <w:szCs w:val="21"/>
              </w:rPr>
              <w:t>2</w:t>
            </w:r>
            <w:r>
              <w:rPr>
                <w:rFonts w:ascii="宋体" w:eastAsia="宋体" w:hAnsi="宋体"/>
                <w:b/>
                <w:szCs w:val="21"/>
              </w:rPr>
              <w:t>02</w:t>
            </w:r>
            <w:r>
              <w:rPr>
                <w:rFonts w:ascii="宋体" w:eastAsia="宋体" w:hAnsi="宋体" w:hint="eastAsia"/>
                <w:b/>
                <w:szCs w:val="21"/>
              </w:rPr>
              <w:t>5</w:t>
            </w:r>
            <w:r>
              <w:rPr>
                <w:rFonts w:ascii="宋体" w:eastAsia="宋体" w:hAnsi="宋体"/>
                <w:b/>
                <w:szCs w:val="21"/>
              </w:rPr>
              <w:t>年</w:t>
            </w:r>
            <w:r w:rsidR="00D016AA">
              <w:rPr>
                <w:rFonts w:ascii="宋体" w:eastAsia="宋体" w:hAnsi="宋体" w:hint="eastAsia"/>
                <w:b/>
                <w:szCs w:val="21"/>
              </w:rPr>
              <w:t>及2026年一季度</w:t>
            </w:r>
            <w:r>
              <w:rPr>
                <w:rFonts w:ascii="宋体" w:eastAsia="宋体" w:hAnsi="宋体"/>
                <w:b/>
                <w:szCs w:val="21"/>
              </w:rPr>
              <w:t>业务情况介绍</w:t>
            </w:r>
          </w:p>
          <w:p w14:paraId="678ED96C" w14:textId="7E89E0DF" w:rsidR="006A01E0" w:rsidRDefault="00CE0DEF">
            <w:pPr>
              <w:spacing w:line="360" w:lineRule="auto"/>
              <w:ind w:firstLineChars="200" w:firstLine="420"/>
              <w:rPr>
                <w:rFonts w:ascii="宋体" w:eastAsia="宋体" w:hAnsi="宋体" w:hint="eastAsia"/>
                <w:szCs w:val="21"/>
              </w:rPr>
            </w:pPr>
            <w:r>
              <w:rPr>
                <w:rFonts w:ascii="宋体" w:eastAsia="宋体" w:hAnsi="宋体" w:hint="eastAsia"/>
                <w:szCs w:val="21"/>
              </w:rPr>
              <w:t>2</w:t>
            </w:r>
            <w:r>
              <w:rPr>
                <w:rFonts w:ascii="宋体" w:eastAsia="宋体" w:hAnsi="宋体"/>
                <w:szCs w:val="21"/>
              </w:rPr>
              <w:t>02</w:t>
            </w:r>
            <w:r>
              <w:rPr>
                <w:rFonts w:ascii="宋体" w:eastAsia="宋体" w:hAnsi="宋体" w:hint="eastAsia"/>
                <w:szCs w:val="21"/>
              </w:rPr>
              <w:t>5年，公司实现营业收入</w:t>
            </w:r>
            <w:r w:rsidR="00DF25B9">
              <w:rPr>
                <w:rFonts w:ascii="宋体" w:eastAsia="宋体" w:hAnsi="宋体" w:hint="eastAsia"/>
                <w:szCs w:val="21"/>
              </w:rPr>
              <w:t>27.35</w:t>
            </w:r>
            <w:r>
              <w:rPr>
                <w:rFonts w:ascii="宋体" w:eastAsia="宋体" w:hAnsi="宋体" w:hint="eastAsia"/>
                <w:szCs w:val="21"/>
              </w:rPr>
              <w:t>亿元，同比增长</w:t>
            </w:r>
            <w:r w:rsidR="00DF25B9">
              <w:rPr>
                <w:rFonts w:ascii="宋体" w:eastAsia="宋体" w:hAnsi="宋体" w:hint="eastAsia"/>
                <w:szCs w:val="21"/>
              </w:rPr>
              <w:t>48.33</w:t>
            </w:r>
            <w:r>
              <w:rPr>
                <w:rFonts w:ascii="宋体" w:eastAsia="宋体" w:hAnsi="宋体" w:hint="eastAsia"/>
                <w:szCs w:val="21"/>
              </w:rPr>
              <w:t>%，归母净利润</w:t>
            </w:r>
            <w:r w:rsidR="00DF25B9">
              <w:rPr>
                <w:rFonts w:ascii="宋体" w:eastAsia="宋体" w:hAnsi="宋体" w:hint="eastAsia"/>
                <w:szCs w:val="21"/>
              </w:rPr>
              <w:t>5,587.93</w:t>
            </w:r>
            <w:r>
              <w:rPr>
                <w:rFonts w:ascii="宋体" w:eastAsia="宋体" w:hAnsi="宋体" w:hint="eastAsia"/>
                <w:szCs w:val="21"/>
              </w:rPr>
              <w:t>万元，同比增长</w:t>
            </w:r>
            <w:r w:rsidR="00DF25B9" w:rsidRPr="00DF25B9">
              <w:rPr>
                <w:rFonts w:ascii="宋体" w:eastAsia="宋体" w:hAnsi="宋体" w:hint="eastAsia"/>
                <w:szCs w:val="21"/>
              </w:rPr>
              <w:t>157.84</w:t>
            </w:r>
            <w:r>
              <w:rPr>
                <w:rFonts w:ascii="宋体" w:eastAsia="宋体" w:hAnsi="宋体" w:hint="eastAsia"/>
                <w:szCs w:val="21"/>
              </w:rPr>
              <w:t>%，扣非归母净利润</w:t>
            </w:r>
            <w:r w:rsidR="00DF25B9" w:rsidRPr="00DF25B9">
              <w:rPr>
                <w:rFonts w:ascii="宋体" w:eastAsia="宋体" w:hAnsi="宋体" w:hint="eastAsia"/>
                <w:szCs w:val="21"/>
              </w:rPr>
              <w:t>4,009.71</w:t>
            </w:r>
            <w:r>
              <w:rPr>
                <w:rFonts w:ascii="宋体" w:eastAsia="宋体" w:hAnsi="宋体" w:hint="eastAsia"/>
                <w:szCs w:val="21"/>
              </w:rPr>
              <w:t>万元，同比增长</w:t>
            </w:r>
            <w:r w:rsidR="00DF25B9" w:rsidRPr="00DF25B9">
              <w:rPr>
                <w:rFonts w:ascii="宋体" w:eastAsia="宋体" w:hAnsi="宋体"/>
                <w:szCs w:val="21"/>
              </w:rPr>
              <w:t>147.50</w:t>
            </w:r>
            <w:r>
              <w:rPr>
                <w:rFonts w:ascii="宋体" w:eastAsia="宋体" w:hAnsi="宋体" w:hint="eastAsia"/>
                <w:szCs w:val="21"/>
              </w:rPr>
              <w:t>%。轻型</w:t>
            </w:r>
            <w:r>
              <w:rPr>
                <w:rFonts w:ascii="宋体" w:eastAsia="宋体" w:hAnsi="宋体"/>
                <w:szCs w:val="21"/>
              </w:rPr>
              <w:t>动力电池</w:t>
            </w:r>
            <w:r>
              <w:rPr>
                <w:rFonts w:ascii="宋体" w:eastAsia="宋体" w:hAnsi="宋体" w:hint="eastAsia"/>
                <w:szCs w:val="21"/>
              </w:rPr>
              <w:t>是</w:t>
            </w:r>
            <w:r>
              <w:rPr>
                <w:rFonts w:ascii="宋体" w:eastAsia="宋体" w:hAnsi="宋体"/>
                <w:szCs w:val="21"/>
              </w:rPr>
              <w:t>公司</w:t>
            </w:r>
            <w:r>
              <w:rPr>
                <w:rFonts w:ascii="宋体" w:eastAsia="宋体" w:hAnsi="宋体" w:hint="eastAsia"/>
                <w:szCs w:val="21"/>
              </w:rPr>
              <w:t>目前</w:t>
            </w:r>
            <w:r>
              <w:rPr>
                <w:rFonts w:ascii="宋体" w:eastAsia="宋体" w:hAnsi="宋体"/>
                <w:szCs w:val="21"/>
              </w:rPr>
              <w:t>的核心业务，主要产品包括</w:t>
            </w:r>
            <w:r>
              <w:rPr>
                <w:rFonts w:ascii="宋体" w:eastAsia="宋体" w:hAnsi="宋体" w:hint="eastAsia"/>
                <w:szCs w:val="21"/>
              </w:rPr>
              <w:t>电助力自行车电池</w:t>
            </w:r>
            <w:r w:rsidR="00DF25B9">
              <w:rPr>
                <w:rFonts w:ascii="宋体" w:eastAsia="宋体" w:hAnsi="宋体" w:hint="eastAsia"/>
                <w:szCs w:val="21"/>
              </w:rPr>
              <w:t>、电动自行车电池和电动（轻便）摩托车电池</w:t>
            </w:r>
            <w:r>
              <w:rPr>
                <w:rFonts w:ascii="宋体" w:eastAsia="宋体" w:hAnsi="宋体" w:hint="eastAsia"/>
                <w:szCs w:val="21"/>
              </w:rPr>
              <w:t>，</w:t>
            </w:r>
            <w:r w:rsidR="00DF25B9">
              <w:rPr>
                <w:rFonts w:ascii="宋体" w:eastAsia="宋体" w:hAnsi="宋体" w:hint="eastAsia"/>
                <w:szCs w:val="21"/>
              </w:rPr>
              <w:t>该业务板块在2025年</w:t>
            </w:r>
            <w:r>
              <w:rPr>
                <w:rFonts w:ascii="宋体" w:eastAsia="宋体" w:hAnsi="宋体"/>
                <w:szCs w:val="21"/>
              </w:rPr>
              <w:t>实现</w:t>
            </w:r>
            <w:r w:rsidR="00F41C3A" w:rsidRPr="00F41C3A">
              <w:rPr>
                <w:rFonts w:ascii="宋体" w:eastAsia="宋体" w:hAnsi="宋体"/>
                <w:szCs w:val="21"/>
              </w:rPr>
              <w:t>13.07</w:t>
            </w:r>
            <w:r>
              <w:rPr>
                <w:rFonts w:ascii="宋体" w:eastAsia="宋体" w:hAnsi="宋体"/>
                <w:szCs w:val="21"/>
              </w:rPr>
              <w:t>亿元</w:t>
            </w:r>
            <w:r>
              <w:rPr>
                <w:rFonts w:ascii="宋体" w:eastAsia="宋体" w:hAnsi="宋体" w:hint="eastAsia"/>
                <w:szCs w:val="21"/>
              </w:rPr>
              <w:t>的销售收入，同比增长</w:t>
            </w:r>
            <w:r w:rsidR="00F41C3A" w:rsidRPr="00F41C3A">
              <w:rPr>
                <w:rFonts w:ascii="宋体" w:eastAsia="宋体" w:hAnsi="宋体"/>
                <w:szCs w:val="21"/>
              </w:rPr>
              <w:t>62.85</w:t>
            </w:r>
            <w:r>
              <w:rPr>
                <w:rFonts w:ascii="宋体" w:eastAsia="宋体" w:hAnsi="宋体" w:hint="eastAsia"/>
                <w:szCs w:val="21"/>
              </w:rPr>
              <w:t>%。</w:t>
            </w:r>
            <w:r>
              <w:rPr>
                <w:rFonts w:ascii="宋体" w:eastAsia="宋体" w:hAnsi="宋体"/>
                <w:szCs w:val="21"/>
              </w:rPr>
              <w:t>消费</w:t>
            </w:r>
            <w:r>
              <w:rPr>
                <w:rFonts w:ascii="宋体" w:eastAsia="宋体" w:hAnsi="宋体" w:hint="eastAsia"/>
                <w:szCs w:val="21"/>
              </w:rPr>
              <w:t>电子</w:t>
            </w:r>
            <w:r>
              <w:rPr>
                <w:rFonts w:ascii="宋体" w:eastAsia="宋体" w:hAnsi="宋体"/>
                <w:szCs w:val="21"/>
              </w:rPr>
              <w:t>类</w:t>
            </w:r>
            <w:r w:rsidR="00595A22">
              <w:rPr>
                <w:rFonts w:ascii="宋体" w:eastAsia="宋体" w:hAnsi="宋体" w:hint="eastAsia"/>
                <w:szCs w:val="21"/>
              </w:rPr>
              <w:t>电池</w:t>
            </w:r>
            <w:r>
              <w:rPr>
                <w:rFonts w:ascii="宋体" w:eastAsia="宋体" w:hAnsi="宋体" w:hint="eastAsia"/>
                <w:szCs w:val="21"/>
              </w:rPr>
              <w:t>实现</w:t>
            </w:r>
            <w:r w:rsidR="00F41C3A" w:rsidRPr="00F41C3A">
              <w:rPr>
                <w:rFonts w:ascii="宋体" w:eastAsia="宋体" w:hAnsi="宋体"/>
                <w:szCs w:val="21"/>
              </w:rPr>
              <w:t>7.25</w:t>
            </w:r>
            <w:r>
              <w:rPr>
                <w:rFonts w:ascii="宋体" w:eastAsia="宋体" w:hAnsi="宋体"/>
                <w:szCs w:val="21"/>
              </w:rPr>
              <w:t>亿元的营业收入，同比</w:t>
            </w:r>
            <w:r>
              <w:rPr>
                <w:rFonts w:ascii="宋体" w:eastAsia="宋体" w:hAnsi="宋体" w:hint="eastAsia"/>
                <w:szCs w:val="21"/>
              </w:rPr>
              <w:t>增长</w:t>
            </w:r>
            <w:r w:rsidR="00F41C3A" w:rsidRPr="00F41C3A">
              <w:rPr>
                <w:rFonts w:ascii="宋体" w:eastAsia="宋体" w:hAnsi="宋体"/>
                <w:szCs w:val="21"/>
              </w:rPr>
              <w:t>13.00</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储</w:t>
            </w:r>
            <w:r>
              <w:rPr>
                <w:rFonts w:ascii="宋体" w:eastAsia="宋体" w:hAnsi="宋体"/>
                <w:szCs w:val="21"/>
              </w:rPr>
              <w:t>能电池实现营业收入</w:t>
            </w:r>
            <w:r w:rsidR="00F41C3A" w:rsidRPr="00F41C3A">
              <w:rPr>
                <w:rFonts w:ascii="宋体" w:eastAsia="宋体" w:hAnsi="宋体"/>
                <w:szCs w:val="21"/>
              </w:rPr>
              <w:t>3.17</w:t>
            </w:r>
            <w:r>
              <w:rPr>
                <w:rFonts w:ascii="宋体" w:eastAsia="宋体" w:hAnsi="宋体" w:hint="eastAsia"/>
                <w:szCs w:val="21"/>
              </w:rPr>
              <w:t>亿元，同比增长</w:t>
            </w:r>
            <w:r w:rsidR="00F41C3A" w:rsidRPr="00F41C3A">
              <w:rPr>
                <w:rFonts w:ascii="宋体" w:eastAsia="宋体" w:hAnsi="宋体"/>
                <w:szCs w:val="21"/>
              </w:rPr>
              <w:t>130.15</w:t>
            </w:r>
            <w:r>
              <w:rPr>
                <w:rFonts w:ascii="宋体" w:eastAsia="宋体" w:hAnsi="宋体" w:hint="eastAsia"/>
                <w:szCs w:val="21"/>
              </w:rPr>
              <w:t>%</w:t>
            </w:r>
            <w:r>
              <w:rPr>
                <w:rFonts w:ascii="宋体" w:eastAsia="宋体" w:hAnsi="宋体"/>
                <w:szCs w:val="21"/>
              </w:rPr>
              <w:t>。锂离子电芯实现</w:t>
            </w:r>
            <w:r w:rsidR="00F41C3A" w:rsidRPr="00F41C3A">
              <w:rPr>
                <w:rFonts w:ascii="宋体" w:eastAsia="宋体" w:hAnsi="宋体"/>
                <w:szCs w:val="21"/>
              </w:rPr>
              <w:t>1.44</w:t>
            </w:r>
            <w:r>
              <w:rPr>
                <w:rFonts w:ascii="宋体" w:eastAsia="宋体" w:hAnsi="宋体"/>
                <w:szCs w:val="21"/>
              </w:rPr>
              <w:t>亿元的销售收入，同比</w:t>
            </w:r>
            <w:r>
              <w:rPr>
                <w:rFonts w:ascii="宋体" w:eastAsia="宋体" w:hAnsi="宋体" w:hint="eastAsia"/>
                <w:szCs w:val="21"/>
              </w:rPr>
              <w:t>增长</w:t>
            </w:r>
            <w:r w:rsidR="00F41C3A" w:rsidRPr="00F41C3A">
              <w:rPr>
                <w:rFonts w:ascii="宋体" w:eastAsia="宋体" w:hAnsi="宋体"/>
                <w:szCs w:val="21"/>
              </w:rPr>
              <w:t>20.48</w:t>
            </w:r>
            <w:r>
              <w:rPr>
                <w:rFonts w:ascii="宋体" w:eastAsia="宋体" w:hAnsi="宋体" w:hint="eastAsia"/>
                <w:szCs w:val="21"/>
              </w:rPr>
              <w:t>%。</w:t>
            </w:r>
          </w:p>
          <w:p w14:paraId="32FCD926" w14:textId="77777777" w:rsidR="00927B1F" w:rsidRDefault="009057BE" w:rsidP="00927B1F">
            <w:pPr>
              <w:spacing w:line="360" w:lineRule="auto"/>
              <w:ind w:firstLineChars="200" w:firstLine="420"/>
              <w:rPr>
                <w:rFonts w:ascii="宋体" w:eastAsia="宋体" w:hAnsi="宋体" w:hint="eastAsia"/>
                <w:szCs w:val="21"/>
              </w:rPr>
            </w:pPr>
            <w:r>
              <w:rPr>
                <w:rFonts w:ascii="宋体" w:eastAsia="宋体" w:hAnsi="宋体" w:hint="eastAsia"/>
                <w:szCs w:val="21"/>
              </w:rPr>
              <w:t>2026年一季度，公司实现营业收入7.40亿元，同比增长</w:t>
            </w:r>
            <w:r w:rsidR="00927B1F">
              <w:rPr>
                <w:rFonts w:ascii="宋体" w:eastAsia="宋体" w:hAnsi="宋体" w:hint="eastAsia"/>
                <w:szCs w:val="21"/>
              </w:rPr>
              <w:t>19.36%，归母净利润2,795.74万元，同比增长121.26%，扣非归母净利润2,822.70亿元，同比增长113.57%。</w:t>
            </w:r>
          </w:p>
          <w:p w14:paraId="5D469A5A" w14:textId="498236AE" w:rsidR="006A01E0" w:rsidRDefault="00927B1F" w:rsidP="00927B1F">
            <w:pPr>
              <w:spacing w:line="360" w:lineRule="auto"/>
              <w:ind w:firstLineChars="200" w:firstLine="420"/>
              <w:rPr>
                <w:rFonts w:ascii="宋体" w:eastAsia="宋体" w:hAnsi="宋体" w:hint="eastAsia"/>
                <w:szCs w:val="21"/>
              </w:rPr>
            </w:pPr>
            <w:r w:rsidRPr="00927B1F">
              <w:rPr>
                <w:rFonts w:ascii="宋体" w:eastAsia="宋体" w:hAnsi="宋体"/>
                <w:szCs w:val="21"/>
              </w:rPr>
              <w:t>整体来看，2025年公司扭亏为盈，2026年一季度延续良好增长态势。这是全体同仁奋斗的结果，也是公司战略转型的重要里程碑。站在新起点，博力威将以大圆柱电芯为核心引擎，以轻型动力、机器人电池为增长极，致</w:t>
            </w:r>
            <w:r w:rsidRPr="00927B1F">
              <w:rPr>
                <w:rFonts w:ascii="宋体" w:eastAsia="宋体" w:hAnsi="宋体"/>
                <w:szCs w:val="21"/>
              </w:rPr>
              <w:lastRenderedPageBreak/>
              <w:t>力成为全球最具竞争力的锂电方案提供商。我们坚信，在投资者的信任与支持下，公司将抓住行业变革机遇，持续提升业绩与价值，以优异表现回报股东。</w:t>
            </w:r>
          </w:p>
          <w:p w14:paraId="6119B34D" w14:textId="77777777" w:rsidR="00927B1F" w:rsidRDefault="00927B1F" w:rsidP="00927B1F">
            <w:pPr>
              <w:spacing w:line="360" w:lineRule="auto"/>
              <w:rPr>
                <w:rFonts w:ascii="宋体" w:eastAsia="宋体" w:hAnsi="宋体" w:hint="eastAsia"/>
                <w:szCs w:val="21"/>
              </w:rPr>
            </w:pPr>
          </w:p>
          <w:p w14:paraId="6989CC36" w14:textId="77777777" w:rsidR="006A01E0" w:rsidRDefault="00CE0DEF">
            <w:pPr>
              <w:numPr>
                <w:ilvl w:val="0"/>
                <w:numId w:val="1"/>
              </w:numPr>
              <w:spacing w:line="360" w:lineRule="auto"/>
              <w:ind w:firstLineChars="200" w:firstLine="422"/>
              <w:rPr>
                <w:rFonts w:ascii="宋体" w:eastAsia="宋体" w:hAnsi="宋体" w:hint="eastAsia"/>
                <w:b/>
                <w:szCs w:val="21"/>
              </w:rPr>
            </w:pPr>
            <w:r>
              <w:rPr>
                <w:rFonts w:ascii="宋体" w:eastAsia="宋体" w:hAnsi="宋体"/>
                <w:b/>
                <w:szCs w:val="21"/>
              </w:rPr>
              <w:t>问答环节</w:t>
            </w:r>
          </w:p>
          <w:p w14:paraId="56DF6500" w14:textId="0D76A90D" w:rsidR="006A01E0" w:rsidRDefault="00CE0DEF">
            <w:pPr>
              <w:spacing w:line="360" w:lineRule="auto"/>
              <w:ind w:firstLineChars="200" w:firstLine="422"/>
              <w:rPr>
                <w:rFonts w:ascii="宋体" w:eastAsia="宋体" w:hAnsi="宋体" w:hint="eastAsia"/>
                <w:b/>
                <w:szCs w:val="21"/>
              </w:rPr>
            </w:pPr>
            <w:r>
              <w:rPr>
                <w:rFonts w:ascii="宋体" w:eastAsia="宋体" w:hAnsi="宋体" w:hint="eastAsia"/>
                <w:b/>
                <w:szCs w:val="21"/>
              </w:rPr>
              <w:t>问：</w:t>
            </w:r>
            <w:r w:rsidR="006D3316">
              <w:rPr>
                <w:rFonts w:ascii="宋体" w:eastAsia="宋体" w:hAnsi="宋体" w:hint="eastAsia"/>
                <w:b/>
                <w:szCs w:val="21"/>
              </w:rPr>
              <w:t>东南亚电动摩托车市场展望，以及公司在该市场的布局</w:t>
            </w:r>
            <w:r>
              <w:rPr>
                <w:rFonts w:ascii="宋体" w:eastAsia="宋体" w:hAnsi="宋体" w:hint="eastAsia"/>
                <w:b/>
                <w:szCs w:val="21"/>
              </w:rPr>
              <w:t>？</w:t>
            </w:r>
          </w:p>
          <w:p w14:paraId="0E4DCE07" w14:textId="77777777" w:rsidR="008E32F5" w:rsidRPr="008E32F5" w:rsidRDefault="00CE0DEF" w:rsidP="008E32F5">
            <w:pPr>
              <w:spacing w:line="360" w:lineRule="auto"/>
              <w:ind w:firstLineChars="200" w:firstLine="420"/>
              <w:rPr>
                <w:rFonts w:ascii="宋体" w:eastAsia="宋体" w:hAnsi="宋体" w:hint="eastAsia"/>
                <w:szCs w:val="21"/>
              </w:rPr>
            </w:pPr>
            <w:r>
              <w:rPr>
                <w:rFonts w:ascii="宋体" w:eastAsia="宋体" w:hAnsi="宋体" w:hint="eastAsia"/>
                <w:szCs w:val="21"/>
              </w:rPr>
              <w:t>答</w:t>
            </w:r>
            <w:r>
              <w:rPr>
                <w:rFonts w:ascii="宋体" w:eastAsia="宋体" w:hAnsi="宋体"/>
                <w:szCs w:val="21"/>
              </w:rPr>
              <w:t>：</w:t>
            </w:r>
            <w:r w:rsidR="008E32F5" w:rsidRPr="008E32F5">
              <w:rPr>
                <w:rFonts w:ascii="宋体" w:eastAsia="宋体" w:hAnsi="宋体" w:hint="eastAsia"/>
                <w:szCs w:val="21"/>
              </w:rPr>
              <w:t>东南亚电摩市场目前增速较快，其中越南和印尼市场表现最为突出。</w:t>
            </w:r>
          </w:p>
          <w:p w14:paraId="2861728B" w14:textId="504FE29A" w:rsidR="008E32F5" w:rsidRDefault="008E32F5" w:rsidP="008E32F5">
            <w:pPr>
              <w:spacing w:line="360" w:lineRule="auto"/>
              <w:ind w:firstLineChars="200" w:firstLine="420"/>
              <w:rPr>
                <w:rFonts w:ascii="宋体" w:eastAsia="宋体" w:hAnsi="宋体" w:hint="eastAsia"/>
                <w:szCs w:val="21"/>
              </w:rPr>
            </w:pPr>
            <w:r w:rsidRPr="008E32F5">
              <w:rPr>
                <w:rFonts w:ascii="宋体" w:eastAsia="宋体" w:hAnsi="宋体" w:hint="eastAsia"/>
                <w:szCs w:val="21"/>
              </w:rPr>
              <w:t>越南的电动化起步较早，早期主要依靠市场自发驱动，已涌现出</w:t>
            </w:r>
            <w:proofErr w:type="spellStart"/>
            <w:r w:rsidRPr="008E32F5">
              <w:rPr>
                <w:rFonts w:ascii="宋体" w:eastAsia="宋体" w:hAnsi="宋体" w:hint="eastAsia"/>
                <w:szCs w:val="21"/>
              </w:rPr>
              <w:t>Vinfast</w:t>
            </w:r>
            <w:proofErr w:type="spellEnd"/>
            <w:r w:rsidRPr="008E32F5">
              <w:rPr>
                <w:rFonts w:ascii="宋体" w:eastAsia="宋体" w:hAnsi="宋体" w:hint="eastAsia"/>
                <w:szCs w:val="21"/>
              </w:rPr>
              <w:t>等具备巨头雏形的本土企业。2025年，越南政府出台强制性电动化政策，进一步加速了行业进程：河内市自2026年7月1日起在一环路内禁止内燃摩托车通行，未来政策将逐步推广至二环、三环；胡志明市计划到2028年实现网约车100%电动化；岘港、海防等城市也在制定类似计划。在政策和市场的双重推动下，2025年越南电摩市场增长显著。以</w:t>
            </w:r>
            <w:proofErr w:type="spellStart"/>
            <w:r w:rsidRPr="008E32F5">
              <w:rPr>
                <w:rFonts w:ascii="宋体" w:eastAsia="宋体" w:hAnsi="宋体" w:hint="eastAsia"/>
                <w:szCs w:val="21"/>
              </w:rPr>
              <w:t>Vinfast</w:t>
            </w:r>
            <w:proofErr w:type="spellEnd"/>
            <w:r w:rsidRPr="008E32F5">
              <w:rPr>
                <w:rFonts w:ascii="宋体" w:eastAsia="宋体" w:hAnsi="宋体" w:hint="eastAsia"/>
                <w:szCs w:val="21"/>
              </w:rPr>
              <w:t>为例，其2025年电动摩托车销量达40.65万辆，同比增长472.72%，2026年目标为100万辆。此外，</w:t>
            </w:r>
            <w:proofErr w:type="spellStart"/>
            <w:r w:rsidRPr="008E32F5">
              <w:rPr>
                <w:rFonts w:ascii="宋体" w:eastAsia="宋体" w:hAnsi="宋体" w:hint="eastAsia"/>
                <w:szCs w:val="21"/>
              </w:rPr>
              <w:t>Vinfast</w:t>
            </w:r>
            <w:proofErr w:type="spellEnd"/>
            <w:r w:rsidRPr="008E32F5">
              <w:rPr>
                <w:rFonts w:ascii="宋体" w:eastAsia="宋体" w:hAnsi="宋体" w:hint="eastAsia"/>
                <w:szCs w:val="21"/>
              </w:rPr>
              <w:t>还积极拓展B端换电业务，目前已在印尼和越南铺设换电柜，采用"车电分离"模式，未来对锂电池的需求较大。</w:t>
            </w:r>
          </w:p>
          <w:p w14:paraId="733D1D00" w14:textId="7E79CBB4" w:rsidR="00FC0B87" w:rsidRDefault="008E32F5" w:rsidP="008E32F5">
            <w:pPr>
              <w:spacing w:line="360" w:lineRule="auto"/>
              <w:ind w:firstLineChars="200" w:firstLine="420"/>
              <w:rPr>
                <w:rFonts w:ascii="宋体" w:eastAsia="宋体" w:hAnsi="宋体" w:hint="eastAsia"/>
                <w:szCs w:val="21"/>
              </w:rPr>
            </w:pPr>
            <w:r w:rsidRPr="008E32F5">
              <w:rPr>
                <w:rFonts w:ascii="宋体" w:eastAsia="宋体" w:hAnsi="宋体" w:hint="eastAsia"/>
                <w:szCs w:val="21"/>
              </w:rPr>
              <w:t>印尼政府曾于2024年出台电动摩托车购置补贴政策，后因财政压力中途停止。</w:t>
            </w:r>
            <w:r w:rsidR="005C673F" w:rsidRPr="005C673F">
              <w:rPr>
                <w:rFonts w:ascii="宋体" w:eastAsia="宋体" w:hAnsi="宋体"/>
                <w:szCs w:val="21"/>
              </w:rPr>
              <w:t>但印尼作为东南亚人口最多、摩托车保有量最大的国家，庞大的存量替换需求与油电价差带来的经济性优势，仍为电动摩托车市场提供了坚实的基本盘。</w:t>
            </w:r>
            <w:r w:rsidR="00823E2E" w:rsidRPr="00823E2E">
              <w:rPr>
                <w:rFonts w:ascii="宋体" w:eastAsia="宋体" w:hAnsi="宋体"/>
                <w:szCs w:val="21"/>
              </w:rPr>
              <w:t>随着油电价差优势持续凸显以及市场教育逐步深入</w:t>
            </w:r>
            <w:r w:rsidR="005C673F" w:rsidRPr="005C673F">
              <w:rPr>
                <w:rFonts w:ascii="宋体" w:eastAsia="宋体" w:hAnsi="宋体"/>
                <w:szCs w:val="21"/>
              </w:rPr>
              <w:t>，印尼未来增长空间依然广阔。</w:t>
            </w:r>
          </w:p>
          <w:p w14:paraId="33753AC2" w14:textId="77777777" w:rsidR="008E32F5" w:rsidRPr="008E32F5" w:rsidRDefault="008E32F5" w:rsidP="008E32F5">
            <w:pPr>
              <w:spacing w:line="360" w:lineRule="auto"/>
              <w:ind w:firstLineChars="200" w:firstLine="420"/>
              <w:rPr>
                <w:rFonts w:ascii="宋体" w:eastAsia="宋体" w:hAnsi="宋体" w:hint="eastAsia"/>
                <w:szCs w:val="21"/>
              </w:rPr>
            </w:pPr>
          </w:p>
          <w:p w14:paraId="68A1F5B0" w14:textId="30764439" w:rsidR="00FC0B87" w:rsidRDefault="00FC0B87" w:rsidP="00FC0B87">
            <w:pPr>
              <w:spacing w:line="360" w:lineRule="auto"/>
              <w:ind w:firstLineChars="200" w:firstLine="422"/>
              <w:rPr>
                <w:rFonts w:ascii="宋体" w:eastAsia="宋体" w:hAnsi="宋体" w:hint="eastAsia"/>
                <w:b/>
                <w:sz w:val="18"/>
                <w:szCs w:val="18"/>
              </w:rPr>
            </w:pPr>
            <w:r>
              <w:rPr>
                <w:rFonts w:ascii="宋体" w:eastAsia="宋体" w:hAnsi="宋体" w:hint="eastAsia"/>
                <w:b/>
                <w:szCs w:val="21"/>
              </w:rPr>
              <w:t>问：</w:t>
            </w:r>
            <w:r w:rsidR="00687ECC">
              <w:rPr>
                <w:rFonts w:ascii="宋体" w:eastAsia="宋体" w:hAnsi="宋体" w:hint="eastAsia"/>
                <w:b/>
                <w:szCs w:val="21"/>
              </w:rPr>
              <w:t>公司一季报净利率已接近4%，环比和同比均有显著提升，但相较历史高点仍有差距，后续盈利能力提升空间和节奏如何展望</w:t>
            </w:r>
            <w:r>
              <w:rPr>
                <w:rFonts w:ascii="宋体" w:eastAsia="宋体" w:hAnsi="宋体" w:hint="eastAsia"/>
                <w:b/>
                <w:szCs w:val="21"/>
              </w:rPr>
              <w:t>？</w:t>
            </w:r>
          </w:p>
          <w:p w14:paraId="166981B7" w14:textId="308407D9" w:rsidR="00FC0B87" w:rsidRPr="00FC0B87" w:rsidRDefault="00FC0B87" w:rsidP="00D5729A">
            <w:pPr>
              <w:spacing w:line="360" w:lineRule="auto"/>
              <w:ind w:firstLineChars="200" w:firstLine="420"/>
              <w:rPr>
                <w:rFonts w:ascii="宋体" w:eastAsia="宋体" w:hAnsi="宋体" w:hint="eastAsia"/>
                <w:szCs w:val="21"/>
              </w:rPr>
            </w:pPr>
            <w:r>
              <w:rPr>
                <w:rFonts w:ascii="宋体" w:eastAsia="宋体" w:hAnsi="宋体" w:hint="eastAsia"/>
                <w:szCs w:val="21"/>
              </w:rPr>
              <w:t>答：</w:t>
            </w:r>
            <w:r w:rsidR="00D5729A" w:rsidRPr="00D5729A">
              <w:rPr>
                <w:rFonts w:ascii="宋体" w:eastAsia="宋体" w:hAnsi="宋体" w:hint="eastAsia"/>
                <w:szCs w:val="21"/>
              </w:rPr>
              <w:t>展望后续，公司盈利能力仍有</w:t>
            </w:r>
            <w:r w:rsidR="00D5729A">
              <w:rPr>
                <w:rFonts w:ascii="宋体" w:eastAsia="宋体" w:hAnsi="宋体" w:hint="eastAsia"/>
                <w:szCs w:val="21"/>
              </w:rPr>
              <w:t>一定</w:t>
            </w:r>
            <w:r w:rsidR="00D5729A" w:rsidRPr="00D5729A">
              <w:rPr>
                <w:rFonts w:ascii="宋体" w:eastAsia="宋体" w:hAnsi="宋体" w:hint="eastAsia"/>
                <w:szCs w:val="21"/>
              </w:rPr>
              <w:t>提升空间，主要来自三方面驱动：第一，碳酸锂价格传导。当前碳酸锂价格处于上升通道，公司将持续按季度与客户协商，将价格波动合理传导至下游，从而改善盈利表现</w:t>
            </w:r>
            <w:r w:rsidR="00D5729A">
              <w:rPr>
                <w:rFonts w:ascii="宋体" w:eastAsia="宋体" w:hAnsi="宋体" w:hint="eastAsia"/>
                <w:szCs w:val="21"/>
              </w:rPr>
              <w:t>。</w:t>
            </w:r>
            <w:r w:rsidR="00D5729A" w:rsidRPr="00D5729A">
              <w:rPr>
                <w:rFonts w:ascii="宋体" w:eastAsia="宋体" w:hAnsi="宋体" w:hint="eastAsia"/>
                <w:szCs w:val="21"/>
              </w:rPr>
              <w:t>第二，电芯自供率提升。随着公司电芯自供比例逐步提高，将直接拉高整体毛利率水平。第三，降本增效持续推进。公司将持续优化成本结构，通过精益生产、供应</w:t>
            </w:r>
            <w:r w:rsidR="00D5729A" w:rsidRPr="00D5729A">
              <w:rPr>
                <w:rFonts w:ascii="宋体" w:eastAsia="宋体" w:hAnsi="宋体" w:hint="eastAsia"/>
                <w:szCs w:val="21"/>
              </w:rPr>
              <w:lastRenderedPageBreak/>
              <w:t>链管理等措施系统性提升盈利能力。</w:t>
            </w:r>
          </w:p>
          <w:p w14:paraId="4AF70D47" w14:textId="77777777" w:rsidR="00B62814" w:rsidRDefault="00B62814" w:rsidP="00B62814">
            <w:pPr>
              <w:spacing w:line="360" w:lineRule="auto"/>
              <w:rPr>
                <w:rFonts w:ascii="宋体" w:eastAsia="宋体" w:hAnsi="宋体" w:hint="eastAsia"/>
                <w:szCs w:val="21"/>
              </w:rPr>
            </w:pPr>
          </w:p>
          <w:p w14:paraId="4B028BCA" w14:textId="206947A0" w:rsidR="00B62814" w:rsidRDefault="00B62814" w:rsidP="00B62814">
            <w:pPr>
              <w:spacing w:line="360" w:lineRule="auto"/>
              <w:ind w:firstLineChars="200" w:firstLine="422"/>
              <w:rPr>
                <w:rFonts w:ascii="宋体" w:eastAsia="宋体" w:hAnsi="宋体" w:hint="eastAsia"/>
                <w:b/>
                <w:szCs w:val="21"/>
              </w:rPr>
            </w:pPr>
            <w:r>
              <w:rPr>
                <w:rFonts w:ascii="宋体" w:eastAsia="宋体" w:hAnsi="宋体" w:hint="eastAsia"/>
                <w:b/>
                <w:szCs w:val="21"/>
              </w:rPr>
              <w:t>问：</w:t>
            </w:r>
            <w:r w:rsidR="00D5729A">
              <w:rPr>
                <w:rFonts w:ascii="宋体" w:eastAsia="宋体" w:hAnsi="宋体" w:hint="eastAsia"/>
                <w:b/>
                <w:szCs w:val="21"/>
              </w:rPr>
              <w:t>E-Bike业务板块的毛利率是否高于公司平均的轻型车用锂离子电池业务板块毛利率</w:t>
            </w:r>
            <w:r>
              <w:rPr>
                <w:rFonts w:ascii="宋体" w:eastAsia="宋体" w:hAnsi="宋体" w:hint="eastAsia"/>
                <w:b/>
                <w:szCs w:val="21"/>
              </w:rPr>
              <w:t>？</w:t>
            </w:r>
          </w:p>
          <w:p w14:paraId="62FBB474" w14:textId="265BEE6E" w:rsidR="00B62814" w:rsidRPr="00B62814" w:rsidRDefault="00B62814" w:rsidP="00B62814">
            <w:pPr>
              <w:spacing w:line="360" w:lineRule="auto"/>
              <w:ind w:firstLineChars="200" w:firstLine="420"/>
              <w:rPr>
                <w:rFonts w:ascii="宋体" w:eastAsia="宋体" w:hAnsi="宋体" w:hint="eastAsia"/>
                <w:szCs w:val="21"/>
              </w:rPr>
            </w:pPr>
            <w:r>
              <w:rPr>
                <w:rFonts w:ascii="宋体" w:eastAsia="宋体" w:hAnsi="宋体" w:hint="eastAsia"/>
                <w:szCs w:val="21"/>
              </w:rPr>
              <w:t>答</w:t>
            </w:r>
            <w:r>
              <w:rPr>
                <w:rFonts w:ascii="宋体" w:eastAsia="宋体" w:hAnsi="宋体"/>
                <w:szCs w:val="21"/>
              </w:rPr>
              <w:t>：</w:t>
            </w:r>
            <w:r w:rsidR="0018316A" w:rsidRPr="0018316A">
              <w:rPr>
                <w:rFonts w:ascii="宋体" w:eastAsia="宋体" w:hAnsi="宋体"/>
                <w:szCs w:val="21"/>
              </w:rPr>
              <w:t>电助力自行车（E-Bike）业务的主要市场集中在欧美及日本，终端客户对价格敏感度较低，更愿意为极致性能支付溢价，因此其毛利率高于公司轻型车用锂离子电池业务板块的平均水平</w:t>
            </w:r>
            <w:r w:rsidR="00F50A84" w:rsidRPr="00F50A84">
              <w:rPr>
                <w:rFonts w:ascii="宋体" w:eastAsia="宋体" w:hAnsi="宋体"/>
                <w:szCs w:val="21"/>
              </w:rPr>
              <w:t>。</w:t>
            </w:r>
          </w:p>
          <w:p w14:paraId="2DFCC6E4" w14:textId="77777777" w:rsidR="00AA6AF5" w:rsidRDefault="00AA6AF5">
            <w:pPr>
              <w:spacing w:line="360" w:lineRule="auto"/>
              <w:ind w:firstLineChars="200" w:firstLine="420"/>
              <w:rPr>
                <w:rFonts w:ascii="宋体" w:eastAsia="宋体" w:hAnsi="宋体" w:hint="eastAsia"/>
                <w:bCs/>
                <w:szCs w:val="21"/>
              </w:rPr>
            </w:pPr>
          </w:p>
          <w:p w14:paraId="37B94C94" w14:textId="59140BE2" w:rsidR="00AA6AF5" w:rsidRDefault="00AA6AF5" w:rsidP="00AA6AF5">
            <w:pPr>
              <w:spacing w:line="360" w:lineRule="auto"/>
              <w:ind w:firstLineChars="200" w:firstLine="422"/>
              <w:rPr>
                <w:rFonts w:ascii="宋体" w:eastAsia="宋体" w:hAnsi="宋体" w:hint="eastAsia"/>
                <w:b/>
                <w:szCs w:val="21"/>
              </w:rPr>
            </w:pPr>
            <w:r>
              <w:rPr>
                <w:rFonts w:ascii="宋体" w:eastAsia="宋体" w:hAnsi="宋体" w:hint="eastAsia"/>
                <w:b/>
                <w:szCs w:val="21"/>
              </w:rPr>
              <w:t>问：公司现有产能是否能够满足</w:t>
            </w:r>
            <w:proofErr w:type="spellStart"/>
            <w:r>
              <w:rPr>
                <w:rFonts w:ascii="宋体" w:eastAsia="宋体" w:hAnsi="宋体" w:hint="eastAsia"/>
                <w:b/>
                <w:szCs w:val="21"/>
              </w:rPr>
              <w:t>Vinfast</w:t>
            </w:r>
            <w:proofErr w:type="spellEnd"/>
            <w:r>
              <w:rPr>
                <w:rFonts w:ascii="宋体" w:eastAsia="宋体" w:hAnsi="宋体" w:hint="eastAsia"/>
                <w:b/>
                <w:szCs w:val="21"/>
              </w:rPr>
              <w:t>客户的交付？</w:t>
            </w:r>
          </w:p>
          <w:p w14:paraId="64E0B0AF" w14:textId="6AF9C3E5" w:rsidR="00AA6AF5" w:rsidRDefault="00AA6AF5" w:rsidP="00AA6AF5">
            <w:pPr>
              <w:spacing w:line="360" w:lineRule="auto"/>
              <w:ind w:firstLineChars="200" w:firstLine="420"/>
              <w:rPr>
                <w:rFonts w:ascii="宋体" w:eastAsia="宋体" w:hAnsi="宋体" w:hint="eastAsia"/>
                <w:bCs/>
                <w:szCs w:val="21"/>
              </w:rPr>
            </w:pPr>
            <w:r w:rsidRPr="00D236FF">
              <w:rPr>
                <w:rFonts w:ascii="宋体" w:eastAsia="宋体" w:hAnsi="宋体" w:hint="eastAsia"/>
                <w:bCs/>
                <w:szCs w:val="21"/>
              </w:rPr>
              <w:t>答：</w:t>
            </w:r>
            <w:r w:rsidR="003D4918" w:rsidRPr="003D4918">
              <w:rPr>
                <w:rFonts w:ascii="宋体" w:eastAsia="宋体" w:hAnsi="宋体"/>
                <w:bCs/>
                <w:szCs w:val="21"/>
              </w:rPr>
              <w:t>公司正通过多基地协同与产能建设积极保障</w:t>
            </w:r>
            <w:proofErr w:type="spellStart"/>
            <w:r w:rsidR="003D4918" w:rsidRPr="003D4918">
              <w:rPr>
                <w:rFonts w:ascii="宋体" w:eastAsia="宋体" w:hAnsi="宋体"/>
                <w:bCs/>
                <w:szCs w:val="21"/>
              </w:rPr>
              <w:t>Vinfast</w:t>
            </w:r>
            <w:proofErr w:type="spellEnd"/>
            <w:r w:rsidR="003D4918" w:rsidRPr="003D4918">
              <w:rPr>
                <w:rFonts w:ascii="宋体" w:eastAsia="宋体" w:hAnsi="宋体"/>
                <w:bCs/>
                <w:szCs w:val="21"/>
              </w:rPr>
              <w:t>客户的交付需求。目前，中国东莞和印尼的生产基地正在加快扩产节奏，提升产能弹性与供给能力；同时，越南工厂已启动筹建并完成选址，预计今年内投产。此外，公司还在持续优化排产计划、加强供应链保障，以确保客户订单的及时、稳定交付。</w:t>
            </w:r>
          </w:p>
          <w:p w14:paraId="32AFC73B" w14:textId="77777777" w:rsidR="003D4918" w:rsidRDefault="003D4918" w:rsidP="00AA6AF5">
            <w:pPr>
              <w:spacing w:line="360" w:lineRule="auto"/>
              <w:ind w:firstLineChars="200" w:firstLine="420"/>
              <w:rPr>
                <w:rFonts w:ascii="宋体" w:eastAsia="宋体" w:hAnsi="宋体" w:hint="eastAsia"/>
                <w:bCs/>
                <w:szCs w:val="21"/>
              </w:rPr>
            </w:pPr>
          </w:p>
          <w:p w14:paraId="73ED9736" w14:textId="53510690" w:rsidR="003D4918" w:rsidRDefault="003D4918" w:rsidP="003D4918">
            <w:pPr>
              <w:spacing w:line="360" w:lineRule="auto"/>
              <w:ind w:firstLineChars="200" w:firstLine="422"/>
              <w:rPr>
                <w:rFonts w:ascii="宋体" w:eastAsia="宋体" w:hAnsi="宋体" w:hint="eastAsia"/>
                <w:b/>
                <w:szCs w:val="21"/>
              </w:rPr>
            </w:pPr>
            <w:r>
              <w:rPr>
                <w:rFonts w:ascii="宋体" w:eastAsia="宋体" w:hAnsi="宋体" w:hint="eastAsia"/>
                <w:b/>
                <w:szCs w:val="21"/>
              </w:rPr>
              <w:t>问：</w:t>
            </w:r>
            <w:proofErr w:type="spellStart"/>
            <w:r>
              <w:rPr>
                <w:rFonts w:ascii="宋体" w:eastAsia="宋体" w:hAnsi="宋体" w:hint="eastAsia"/>
                <w:b/>
                <w:szCs w:val="21"/>
              </w:rPr>
              <w:t>Vinfast</w:t>
            </w:r>
            <w:proofErr w:type="spellEnd"/>
            <w:r>
              <w:rPr>
                <w:rFonts w:ascii="宋体" w:eastAsia="宋体" w:hAnsi="宋体" w:hint="eastAsia"/>
                <w:b/>
                <w:szCs w:val="21"/>
              </w:rPr>
              <w:t>是否倾向于在当地有产能并能提供配套服务的公司？</w:t>
            </w:r>
          </w:p>
          <w:p w14:paraId="0E9BBF14" w14:textId="77777777" w:rsidR="00BA4256" w:rsidRPr="00BA4256" w:rsidRDefault="003D4918" w:rsidP="00BA4256">
            <w:pPr>
              <w:spacing w:line="360" w:lineRule="auto"/>
              <w:ind w:firstLineChars="200" w:firstLine="420"/>
              <w:rPr>
                <w:rFonts w:ascii="宋体" w:eastAsia="宋体" w:hAnsi="宋体" w:hint="eastAsia"/>
                <w:bCs/>
                <w:szCs w:val="21"/>
              </w:rPr>
            </w:pPr>
            <w:r w:rsidRPr="00D236FF">
              <w:rPr>
                <w:rFonts w:ascii="宋体" w:eastAsia="宋体" w:hAnsi="宋体" w:hint="eastAsia"/>
                <w:bCs/>
                <w:szCs w:val="21"/>
              </w:rPr>
              <w:t>答：</w:t>
            </w:r>
            <w:r w:rsidR="00BA4256" w:rsidRPr="00BA4256">
              <w:rPr>
                <w:rFonts w:ascii="宋体" w:eastAsia="宋体" w:hAnsi="宋体"/>
                <w:bCs/>
                <w:szCs w:val="21"/>
              </w:rPr>
              <w:t>以印尼为例，当地政府对本地化率（TKDN）不低于40%的产品给予税收优惠政策。因此，在印尼市场，具备本土产能及配套服务能力的企业能够获得明显的成本与合规优势。</w:t>
            </w:r>
            <w:proofErr w:type="spellStart"/>
            <w:r w:rsidR="00BA4256" w:rsidRPr="00BA4256">
              <w:rPr>
                <w:rFonts w:ascii="宋体" w:eastAsia="宋体" w:hAnsi="宋体"/>
                <w:bCs/>
                <w:szCs w:val="21"/>
              </w:rPr>
              <w:t>Vinfast</w:t>
            </w:r>
            <w:proofErr w:type="spellEnd"/>
            <w:r w:rsidR="00BA4256" w:rsidRPr="00BA4256">
              <w:rPr>
                <w:rFonts w:ascii="宋体" w:eastAsia="宋体" w:hAnsi="宋体"/>
                <w:bCs/>
                <w:szCs w:val="21"/>
              </w:rPr>
              <w:t>在拓展印尼市场的过程中，也自然会倾向于选择能够实现本地化生产的供应商来配合其业务落地。</w:t>
            </w:r>
          </w:p>
          <w:p w14:paraId="31F3E038" w14:textId="1A11DC63" w:rsidR="003D4918" w:rsidRPr="003D4918" w:rsidRDefault="00BA4256" w:rsidP="00BA4256">
            <w:pPr>
              <w:spacing w:line="360" w:lineRule="auto"/>
              <w:ind w:firstLineChars="200" w:firstLine="420"/>
              <w:rPr>
                <w:rFonts w:ascii="宋体" w:eastAsia="宋体" w:hAnsi="宋体" w:hint="eastAsia"/>
                <w:bCs/>
                <w:szCs w:val="21"/>
              </w:rPr>
            </w:pPr>
            <w:r w:rsidRPr="00BA4256">
              <w:rPr>
                <w:rFonts w:ascii="宋体" w:eastAsia="宋体" w:hAnsi="宋体"/>
                <w:bCs/>
                <w:szCs w:val="21"/>
              </w:rPr>
              <w:t>目前，公司印尼工厂已具备相应的生产能力，能够有效匹配</w:t>
            </w:r>
            <w:proofErr w:type="spellStart"/>
            <w:r w:rsidRPr="00BA4256">
              <w:rPr>
                <w:rFonts w:ascii="宋体" w:eastAsia="宋体" w:hAnsi="宋体"/>
                <w:bCs/>
                <w:szCs w:val="21"/>
              </w:rPr>
              <w:t>Vinfast</w:t>
            </w:r>
            <w:proofErr w:type="spellEnd"/>
            <w:r w:rsidRPr="00BA4256">
              <w:rPr>
                <w:rFonts w:ascii="宋体" w:eastAsia="宋体" w:hAnsi="宋体"/>
                <w:bCs/>
                <w:szCs w:val="21"/>
              </w:rPr>
              <w:t>在印尼的本土化业务需求。同时，公司越南工厂已完成选址并启动筹建，预计今年内投产，届时也将同步满足</w:t>
            </w:r>
            <w:proofErr w:type="spellStart"/>
            <w:r w:rsidRPr="00BA4256">
              <w:rPr>
                <w:rFonts w:ascii="宋体" w:eastAsia="宋体" w:hAnsi="宋体"/>
                <w:bCs/>
                <w:szCs w:val="21"/>
              </w:rPr>
              <w:t>Vinfast</w:t>
            </w:r>
            <w:proofErr w:type="spellEnd"/>
            <w:r w:rsidRPr="00BA4256">
              <w:rPr>
                <w:rFonts w:ascii="宋体" w:eastAsia="宋体" w:hAnsi="宋体"/>
                <w:bCs/>
                <w:szCs w:val="21"/>
              </w:rPr>
              <w:t>在越南本土的配套需求。</w:t>
            </w:r>
          </w:p>
          <w:p w14:paraId="14E0E905" w14:textId="77777777" w:rsidR="008C2294" w:rsidRDefault="008C2294">
            <w:pPr>
              <w:spacing w:line="360" w:lineRule="auto"/>
              <w:ind w:firstLineChars="200" w:firstLine="420"/>
              <w:rPr>
                <w:rFonts w:ascii="宋体" w:eastAsia="宋体" w:hAnsi="宋体" w:hint="eastAsia"/>
                <w:bCs/>
                <w:szCs w:val="21"/>
              </w:rPr>
            </w:pPr>
          </w:p>
          <w:p w14:paraId="3031F2A5" w14:textId="2F0FE531" w:rsidR="008C2294" w:rsidRDefault="008C2294" w:rsidP="008C2294">
            <w:pPr>
              <w:spacing w:line="360" w:lineRule="auto"/>
              <w:ind w:firstLineChars="200" w:firstLine="422"/>
              <w:rPr>
                <w:rFonts w:ascii="宋体" w:eastAsia="宋体" w:hAnsi="宋体" w:hint="eastAsia"/>
                <w:b/>
                <w:szCs w:val="21"/>
              </w:rPr>
            </w:pPr>
            <w:r>
              <w:rPr>
                <w:rFonts w:ascii="宋体" w:eastAsia="宋体" w:hAnsi="宋体" w:hint="eastAsia"/>
                <w:b/>
                <w:szCs w:val="21"/>
              </w:rPr>
              <w:t>问：电摩业务板块主要是采用外购电芯还是自有电芯？</w:t>
            </w:r>
          </w:p>
          <w:p w14:paraId="77B685A5" w14:textId="0B768C7A" w:rsidR="008C2294" w:rsidRPr="008C2294" w:rsidRDefault="008C2294" w:rsidP="008C2294">
            <w:pPr>
              <w:spacing w:line="360" w:lineRule="auto"/>
              <w:ind w:firstLineChars="200" w:firstLine="420"/>
              <w:rPr>
                <w:rFonts w:ascii="宋体" w:eastAsia="宋体" w:hAnsi="宋体" w:hint="eastAsia"/>
                <w:bCs/>
                <w:szCs w:val="21"/>
              </w:rPr>
            </w:pPr>
            <w:r w:rsidRPr="00D236FF">
              <w:rPr>
                <w:rFonts w:ascii="宋体" w:eastAsia="宋体" w:hAnsi="宋体" w:hint="eastAsia"/>
                <w:bCs/>
                <w:szCs w:val="21"/>
              </w:rPr>
              <w:t>答：</w:t>
            </w:r>
            <w:r w:rsidR="007A3C91">
              <w:rPr>
                <w:rFonts w:ascii="宋体" w:eastAsia="宋体" w:hAnsi="宋体" w:hint="eastAsia"/>
                <w:bCs/>
                <w:szCs w:val="21"/>
              </w:rPr>
              <w:t>由于公司大圆柱电芯产能仅有1.5GWh，在2025年中已实现满产满销，不足以满足客户需求，目前大部分还是以外购电芯为主</w:t>
            </w:r>
            <w:r>
              <w:rPr>
                <w:rFonts w:ascii="宋体" w:eastAsia="宋体" w:hAnsi="宋体" w:hint="eastAsia"/>
                <w:bCs/>
                <w:szCs w:val="21"/>
              </w:rPr>
              <w:t>。</w:t>
            </w:r>
            <w:r w:rsidR="007A3C91">
              <w:rPr>
                <w:rFonts w:ascii="宋体" w:eastAsia="宋体" w:hAnsi="宋体" w:hint="eastAsia"/>
                <w:bCs/>
                <w:szCs w:val="21"/>
              </w:rPr>
              <w:t>本次定增中的全极耳大圆柱多场景轻型动力电池制造项目建成后将新增3GWh自有电芯产能，电摩板块采用自有电芯的占比会进一步提高。</w:t>
            </w:r>
          </w:p>
          <w:p w14:paraId="09D5B9C6" w14:textId="77777777" w:rsidR="007074C0" w:rsidRDefault="007074C0">
            <w:pPr>
              <w:spacing w:line="360" w:lineRule="auto"/>
              <w:ind w:firstLineChars="200" w:firstLine="420"/>
              <w:rPr>
                <w:rFonts w:ascii="宋体" w:eastAsia="宋体" w:hAnsi="宋体" w:hint="eastAsia"/>
                <w:bCs/>
                <w:szCs w:val="21"/>
              </w:rPr>
            </w:pPr>
          </w:p>
          <w:p w14:paraId="01E7B595" w14:textId="662349E6" w:rsidR="007074C0" w:rsidRDefault="007074C0" w:rsidP="007074C0">
            <w:pPr>
              <w:spacing w:line="360" w:lineRule="auto"/>
              <w:ind w:firstLineChars="200" w:firstLine="422"/>
              <w:rPr>
                <w:rFonts w:ascii="宋体" w:eastAsia="宋体" w:hAnsi="宋体" w:hint="eastAsia"/>
                <w:b/>
                <w:szCs w:val="21"/>
              </w:rPr>
            </w:pPr>
            <w:r>
              <w:rPr>
                <w:rFonts w:ascii="宋体" w:eastAsia="宋体" w:hAnsi="宋体" w:hint="eastAsia"/>
                <w:b/>
                <w:szCs w:val="21"/>
              </w:rPr>
              <w:t>问：公司2025年机器人</w:t>
            </w:r>
            <w:r w:rsidR="001E0FBB">
              <w:rPr>
                <w:rFonts w:ascii="宋体" w:eastAsia="宋体" w:hAnsi="宋体" w:hint="eastAsia"/>
                <w:b/>
                <w:szCs w:val="21"/>
              </w:rPr>
              <w:t>主要合作客户</w:t>
            </w:r>
            <w:r>
              <w:rPr>
                <w:rFonts w:ascii="宋体" w:eastAsia="宋体" w:hAnsi="宋体" w:hint="eastAsia"/>
                <w:b/>
                <w:szCs w:val="21"/>
              </w:rPr>
              <w:t>，在2026年的业务展望如何？</w:t>
            </w:r>
          </w:p>
          <w:p w14:paraId="5F37E90A" w14:textId="2E75D27A" w:rsidR="006A01E0" w:rsidRDefault="007074C0" w:rsidP="00BA4256">
            <w:pPr>
              <w:spacing w:line="360" w:lineRule="auto"/>
              <w:ind w:firstLineChars="200" w:firstLine="420"/>
              <w:rPr>
                <w:rFonts w:ascii="宋体" w:eastAsia="宋体" w:hAnsi="宋体" w:hint="eastAsia"/>
                <w:bCs/>
                <w:szCs w:val="21"/>
              </w:rPr>
            </w:pPr>
            <w:r w:rsidRPr="00D236FF">
              <w:rPr>
                <w:rFonts w:ascii="宋体" w:eastAsia="宋体" w:hAnsi="宋体" w:hint="eastAsia"/>
                <w:bCs/>
                <w:szCs w:val="21"/>
              </w:rPr>
              <w:t>答：</w:t>
            </w:r>
            <w:r w:rsidR="00757278" w:rsidRPr="00757278">
              <w:rPr>
                <w:rFonts w:ascii="宋体" w:eastAsia="宋体" w:hAnsi="宋体"/>
                <w:bCs/>
                <w:szCs w:val="21"/>
              </w:rPr>
              <w:t>2025年，公司机器人领域的主要合作客户包括智元创新、云深处、逐际动力、斯坦德、极智嘉等。其中，逐际动力的人形机器人电池已于2025年实现批量出货；智元创新的人形机器人电池于2025年完成送样，预计2026年将实现量产出货。公司在机器人电池领域已有多年积累与深耕，随着商业化进程加速，预计该业务板块在2026年将实现进一步增长。</w:t>
            </w:r>
          </w:p>
          <w:p w14:paraId="38399B3B" w14:textId="77777777" w:rsidR="00BA4256" w:rsidRDefault="00BA4256" w:rsidP="00BA4256">
            <w:pPr>
              <w:spacing w:line="360" w:lineRule="auto"/>
              <w:ind w:firstLineChars="200" w:firstLine="420"/>
              <w:rPr>
                <w:rFonts w:ascii="宋体" w:eastAsia="宋体" w:hAnsi="宋体" w:hint="eastAsia"/>
                <w:bCs/>
                <w:szCs w:val="21"/>
              </w:rPr>
            </w:pPr>
          </w:p>
          <w:p w14:paraId="4F41B801" w14:textId="526706FF" w:rsidR="00BA4256" w:rsidRDefault="00BA4256" w:rsidP="00BA4256">
            <w:pPr>
              <w:spacing w:line="360" w:lineRule="auto"/>
              <w:ind w:firstLineChars="200" w:firstLine="422"/>
              <w:rPr>
                <w:rFonts w:ascii="宋体" w:eastAsia="宋体" w:hAnsi="宋体" w:hint="eastAsia"/>
                <w:b/>
                <w:szCs w:val="21"/>
              </w:rPr>
            </w:pPr>
            <w:r>
              <w:rPr>
                <w:rFonts w:ascii="宋体" w:eastAsia="宋体" w:hAnsi="宋体" w:hint="eastAsia"/>
                <w:b/>
                <w:szCs w:val="21"/>
              </w:rPr>
              <w:t>问：公司</w:t>
            </w:r>
            <w:r w:rsidR="00126774">
              <w:rPr>
                <w:rFonts w:ascii="宋体" w:eastAsia="宋体" w:hAnsi="宋体" w:hint="eastAsia"/>
                <w:b/>
                <w:szCs w:val="21"/>
              </w:rPr>
              <w:t>储能客户的产品结构和下游客户的地区分布</w:t>
            </w:r>
            <w:r>
              <w:rPr>
                <w:rFonts w:ascii="宋体" w:eastAsia="宋体" w:hAnsi="宋体" w:hint="eastAsia"/>
                <w:b/>
                <w:szCs w:val="21"/>
              </w:rPr>
              <w:t>？</w:t>
            </w:r>
          </w:p>
          <w:p w14:paraId="273CCD57" w14:textId="2610A84E" w:rsidR="00BA4256" w:rsidRDefault="00BA4256" w:rsidP="00BA4256">
            <w:pPr>
              <w:spacing w:line="360" w:lineRule="auto"/>
              <w:ind w:firstLineChars="200" w:firstLine="420"/>
              <w:rPr>
                <w:rFonts w:ascii="宋体" w:eastAsia="宋体" w:hAnsi="宋体" w:hint="eastAsia"/>
                <w:bCs/>
                <w:szCs w:val="21"/>
              </w:rPr>
            </w:pPr>
            <w:r w:rsidRPr="00D236FF">
              <w:rPr>
                <w:rFonts w:ascii="宋体" w:eastAsia="宋体" w:hAnsi="宋体" w:hint="eastAsia"/>
                <w:bCs/>
                <w:szCs w:val="21"/>
              </w:rPr>
              <w:t>答：</w:t>
            </w:r>
            <w:r w:rsidR="00136A53">
              <w:rPr>
                <w:rFonts w:ascii="宋体" w:eastAsia="宋体" w:hAnsi="宋体" w:hint="eastAsia"/>
                <w:bCs/>
                <w:szCs w:val="21"/>
              </w:rPr>
              <w:t>公司储能产品包括便携式储能、家庭储能等用户侧储能，目前以便携式储能为主</w:t>
            </w:r>
            <w:r w:rsidRPr="00757278">
              <w:rPr>
                <w:rFonts w:ascii="宋体" w:eastAsia="宋体" w:hAnsi="宋体"/>
                <w:bCs/>
                <w:szCs w:val="21"/>
              </w:rPr>
              <w:t>。</w:t>
            </w:r>
            <w:r w:rsidR="00136A53">
              <w:rPr>
                <w:rFonts w:ascii="宋体" w:eastAsia="宋体" w:hAnsi="宋体" w:hint="eastAsia"/>
                <w:bCs/>
                <w:szCs w:val="21"/>
              </w:rPr>
              <w:t>下游客户主要分布在北美、非洲。</w:t>
            </w:r>
          </w:p>
          <w:p w14:paraId="6B007E0A" w14:textId="77777777" w:rsidR="003A3D05" w:rsidRDefault="003A3D05" w:rsidP="00BA4256">
            <w:pPr>
              <w:spacing w:line="360" w:lineRule="auto"/>
              <w:ind w:firstLineChars="200" w:firstLine="420"/>
              <w:rPr>
                <w:rFonts w:ascii="宋体" w:eastAsia="宋体" w:hAnsi="宋体" w:hint="eastAsia"/>
                <w:bCs/>
                <w:szCs w:val="21"/>
              </w:rPr>
            </w:pPr>
          </w:p>
          <w:p w14:paraId="11C76BBB" w14:textId="29E177F7" w:rsidR="003A3D05" w:rsidRDefault="003A3D05" w:rsidP="003A3D05">
            <w:pPr>
              <w:spacing w:line="360" w:lineRule="auto"/>
              <w:ind w:firstLineChars="200" w:firstLine="422"/>
              <w:rPr>
                <w:rFonts w:ascii="宋体" w:eastAsia="宋体" w:hAnsi="宋体" w:hint="eastAsia"/>
                <w:b/>
                <w:szCs w:val="21"/>
              </w:rPr>
            </w:pPr>
            <w:r>
              <w:rPr>
                <w:rFonts w:ascii="宋体" w:eastAsia="宋体" w:hAnsi="宋体" w:hint="eastAsia"/>
                <w:b/>
                <w:szCs w:val="21"/>
              </w:rPr>
              <w:t>问：公司在固态电池技术方面的布局及进展如何？</w:t>
            </w:r>
          </w:p>
          <w:p w14:paraId="6871360A" w14:textId="55CFAABE" w:rsidR="009E7665" w:rsidRDefault="003A3D05" w:rsidP="009E7665">
            <w:pPr>
              <w:spacing w:line="360" w:lineRule="auto"/>
              <w:ind w:firstLineChars="200" w:firstLine="420"/>
              <w:rPr>
                <w:rFonts w:ascii="宋体" w:eastAsia="宋体" w:hAnsi="宋体" w:hint="eastAsia"/>
                <w:bCs/>
                <w:szCs w:val="21"/>
              </w:rPr>
            </w:pPr>
            <w:r w:rsidRPr="00D236FF">
              <w:rPr>
                <w:rFonts w:ascii="宋体" w:eastAsia="宋体" w:hAnsi="宋体" w:hint="eastAsia"/>
                <w:bCs/>
                <w:szCs w:val="21"/>
              </w:rPr>
              <w:t>答：</w:t>
            </w:r>
            <w:r w:rsidR="009E7665" w:rsidRPr="009E7665">
              <w:rPr>
                <w:rFonts w:ascii="宋体" w:eastAsia="宋体" w:hAnsi="宋体"/>
                <w:bCs/>
                <w:szCs w:val="21"/>
              </w:rPr>
              <w:t>在固液电池方面，公司已复用现有34145全极耳大圆柱生产工艺，成功制备出样品，显著提升了电池的安全性和循环寿命。</w:t>
            </w:r>
          </w:p>
          <w:p w14:paraId="65CD0081" w14:textId="5718AB51" w:rsidR="00BA4256" w:rsidRDefault="009E7665" w:rsidP="009E7665">
            <w:pPr>
              <w:spacing w:line="360" w:lineRule="auto"/>
              <w:ind w:firstLineChars="200" w:firstLine="420"/>
              <w:rPr>
                <w:rFonts w:ascii="宋体" w:eastAsia="宋体" w:hAnsi="宋体" w:hint="eastAsia"/>
                <w:bCs/>
                <w:szCs w:val="21"/>
              </w:rPr>
            </w:pPr>
            <w:r w:rsidRPr="009E7665">
              <w:rPr>
                <w:rFonts w:ascii="宋体" w:eastAsia="宋体" w:hAnsi="宋体"/>
                <w:bCs/>
                <w:szCs w:val="21"/>
              </w:rPr>
              <w:t>在全固态电池方面，公司开发的干法全极片硫化物全固态电池，可在低堆叠压力（＜10MPa）下稳定运行，0.5C倍率循环500次后容量保持率接近99%。</w:t>
            </w:r>
          </w:p>
          <w:p w14:paraId="38080A5F" w14:textId="77777777" w:rsidR="009E7665" w:rsidRPr="00BA4256" w:rsidRDefault="009E7665" w:rsidP="003A3D05">
            <w:pPr>
              <w:spacing w:line="360" w:lineRule="auto"/>
              <w:rPr>
                <w:rFonts w:ascii="宋体" w:eastAsia="宋体" w:hAnsi="宋体" w:hint="eastAsia"/>
                <w:bCs/>
                <w:szCs w:val="21"/>
              </w:rPr>
            </w:pPr>
          </w:p>
          <w:p w14:paraId="3F9A03F0" w14:textId="25228109" w:rsidR="000A62FF" w:rsidRDefault="000A62FF" w:rsidP="000A62FF">
            <w:pPr>
              <w:spacing w:line="360" w:lineRule="auto"/>
              <w:ind w:firstLineChars="200" w:firstLine="422"/>
              <w:rPr>
                <w:rFonts w:ascii="宋体" w:eastAsia="宋体" w:hAnsi="宋体" w:hint="eastAsia"/>
                <w:b/>
                <w:szCs w:val="21"/>
              </w:rPr>
            </w:pPr>
            <w:r>
              <w:rPr>
                <w:rFonts w:ascii="宋体" w:eastAsia="宋体" w:hAnsi="宋体" w:hint="eastAsia"/>
                <w:b/>
                <w:szCs w:val="21"/>
              </w:rPr>
              <w:t>问：公司自产电芯是否对外销售，自用比例大致是？</w:t>
            </w:r>
          </w:p>
          <w:p w14:paraId="1295D8F8" w14:textId="27C76BA2" w:rsidR="000A62FF" w:rsidRPr="00D236FF" w:rsidRDefault="000A62FF" w:rsidP="000A62FF">
            <w:pPr>
              <w:spacing w:line="360" w:lineRule="auto"/>
              <w:ind w:firstLineChars="200" w:firstLine="420"/>
              <w:rPr>
                <w:rFonts w:ascii="宋体" w:eastAsia="宋体" w:hAnsi="宋体" w:hint="eastAsia"/>
                <w:bCs/>
                <w:szCs w:val="21"/>
              </w:rPr>
            </w:pPr>
            <w:r w:rsidRPr="00D236FF">
              <w:rPr>
                <w:rFonts w:ascii="宋体" w:eastAsia="宋体" w:hAnsi="宋体" w:hint="eastAsia"/>
                <w:bCs/>
                <w:szCs w:val="21"/>
              </w:rPr>
              <w:t>答：</w:t>
            </w:r>
            <w:r>
              <w:rPr>
                <w:rFonts w:ascii="宋体" w:eastAsia="宋体" w:hAnsi="宋体" w:hint="eastAsia"/>
                <w:bCs/>
                <w:szCs w:val="21"/>
              </w:rPr>
              <w:t>公司自产电芯有34145大圆柱和18650小圆柱，其中大圆柱基本全部自用，小圆柱大部分对外销售，在2025年大约1.44亿元收入。</w:t>
            </w:r>
          </w:p>
          <w:p w14:paraId="5057490B" w14:textId="77777777" w:rsidR="000A62FF" w:rsidRPr="000A62FF" w:rsidRDefault="000A62FF" w:rsidP="006D154C">
            <w:pPr>
              <w:spacing w:line="360" w:lineRule="auto"/>
            </w:pPr>
          </w:p>
          <w:p w14:paraId="54999FBD" w14:textId="0FAE12C8" w:rsidR="003F3E65" w:rsidRDefault="003F3E65" w:rsidP="003F3E65">
            <w:pPr>
              <w:spacing w:line="360" w:lineRule="auto"/>
              <w:ind w:firstLineChars="200" w:firstLine="422"/>
              <w:rPr>
                <w:rFonts w:ascii="宋体" w:eastAsia="宋体" w:hAnsi="宋体" w:hint="eastAsia"/>
                <w:b/>
                <w:szCs w:val="21"/>
              </w:rPr>
            </w:pPr>
            <w:r>
              <w:rPr>
                <w:rFonts w:ascii="宋体" w:eastAsia="宋体" w:hAnsi="宋体" w:hint="eastAsia"/>
                <w:b/>
                <w:szCs w:val="21"/>
              </w:rPr>
              <w:t>问：针对于碳酸锂上涨，公司跟客户的调价机制如何，对利润影响多大？</w:t>
            </w:r>
          </w:p>
          <w:p w14:paraId="0FBFFA9A" w14:textId="48027975" w:rsidR="003F3E65" w:rsidRPr="00D236FF" w:rsidRDefault="003F3E65" w:rsidP="003F3E65">
            <w:pPr>
              <w:spacing w:line="360" w:lineRule="auto"/>
              <w:ind w:firstLineChars="200" w:firstLine="420"/>
              <w:rPr>
                <w:rFonts w:ascii="宋体" w:eastAsia="宋体" w:hAnsi="宋体" w:hint="eastAsia"/>
                <w:bCs/>
                <w:szCs w:val="21"/>
              </w:rPr>
            </w:pPr>
            <w:r w:rsidRPr="00D236FF">
              <w:rPr>
                <w:rFonts w:ascii="宋体" w:eastAsia="宋体" w:hAnsi="宋体" w:hint="eastAsia"/>
                <w:bCs/>
                <w:szCs w:val="21"/>
              </w:rPr>
              <w:t>答：</w:t>
            </w:r>
            <w:r w:rsidR="0011139F" w:rsidRPr="0011139F">
              <w:rPr>
                <w:rFonts w:ascii="宋体" w:eastAsia="宋体" w:hAnsi="宋体"/>
                <w:bCs/>
                <w:szCs w:val="21"/>
              </w:rPr>
              <w:t>公司与下游客户实行季度调价机制，与上游供应商也同样执行季度调价，形成了较为顺畅的成本传导路径</w:t>
            </w:r>
            <w:r w:rsidR="0011139F">
              <w:rPr>
                <w:rFonts w:ascii="宋体" w:eastAsia="宋体" w:hAnsi="宋体" w:hint="eastAsia"/>
                <w:bCs/>
                <w:szCs w:val="21"/>
              </w:rPr>
              <w:t>，第一轮调价通知已于2025年12月发布</w:t>
            </w:r>
            <w:r w:rsidR="0011139F" w:rsidRPr="0011139F">
              <w:rPr>
                <w:rFonts w:ascii="宋体" w:eastAsia="宋体" w:hAnsi="宋体"/>
                <w:bCs/>
                <w:szCs w:val="21"/>
              </w:rPr>
              <w:t>。同时，公司产品主要以电池系统形式出货，碳酸锂需要经过正极材料、电芯再到电池系统等多个环节，在电池系统总成本中占比较为可控。因此，公司具备应对碳酸锂价格波动的成熟机制，能够保障经营层面的平稳运行。</w:t>
            </w:r>
          </w:p>
          <w:p w14:paraId="2BF68A53" w14:textId="77777777" w:rsidR="003F3E65" w:rsidRPr="003F3E65" w:rsidRDefault="003F3E65" w:rsidP="006D154C">
            <w:pPr>
              <w:spacing w:line="360" w:lineRule="auto"/>
            </w:pPr>
          </w:p>
          <w:p w14:paraId="6BBB5524" w14:textId="57F40D24" w:rsidR="006A01E0" w:rsidRDefault="00CE0DEF">
            <w:pPr>
              <w:spacing w:line="360" w:lineRule="auto"/>
              <w:ind w:firstLineChars="200" w:firstLine="422"/>
              <w:rPr>
                <w:rFonts w:ascii="宋体" w:eastAsia="宋体" w:hAnsi="宋体" w:hint="eastAsia"/>
                <w:b/>
                <w:szCs w:val="21"/>
              </w:rPr>
            </w:pPr>
            <w:r>
              <w:rPr>
                <w:rFonts w:ascii="宋体" w:eastAsia="宋体" w:hAnsi="宋体" w:hint="eastAsia"/>
                <w:b/>
                <w:szCs w:val="21"/>
              </w:rPr>
              <w:t>问：</w:t>
            </w:r>
            <w:r w:rsidR="00544BEA">
              <w:rPr>
                <w:rFonts w:ascii="宋体" w:eastAsia="宋体" w:hAnsi="宋体" w:hint="eastAsia"/>
                <w:b/>
                <w:szCs w:val="21"/>
              </w:rPr>
              <w:t>汇率波动对公司的影响</w:t>
            </w:r>
            <w:r>
              <w:rPr>
                <w:rFonts w:ascii="宋体" w:eastAsia="宋体" w:hAnsi="宋体" w:hint="eastAsia"/>
                <w:b/>
                <w:szCs w:val="21"/>
              </w:rPr>
              <w:t>？</w:t>
            </w:r>
          </w:p>
          <w:p w14:paraId="3CF2C0A0" w14:textId="39D41247" w:rsidR="003B2F2F" w:rsidRPr="00FC1B79" w:rsidRDefault="00CE0DEF" w:rsidP="000F7689">
            <w:pPr>
              <w:spacing w:line="360" w:lineRule="auto"/>
              <w:ind w:firstLineChars="200" w:firstLine="420"/>
              <w:rPr>
                <w:rFonts w:ascii="宋体" w:eastAsia="宋体" w:hAnsi="宋体" w:hint="eastAsia"/>
                <w:bCs/>
                <w:szCs w:val="21"/>
              </w:rPr>
            </w:pPr>
            <w:r>
              <w:rPr>
                <w:rFonts w:ascii="宋体" w:eastAsia="宋体" w:hAnsi="宋体" w:hint="eastAsia"/>
                <w:bCs/>
                <w:szCs w:val="21"/>
              </w:rPr>
              <w:t>答：</w:t>
            </w:r>
            <w:r w:rsidR="00544BEA" w:rsidRPr="00544BEA">
              <w:rPr>
                <w:rFonts w:ascii="宋体" w:eastAsia="宋体" w:hAnsi="宋体"/>
                <w:bCs/>
                <w:szCs w:val="21"/>
              </w:rPr>
              <w:t>公司尽可能将外币收入与外币支出相匹配以降低汇率风险，持续监控外币交易和外币资产及负债的规模，以最大程度降低面临的外汇风险。此外，公司将对实际业务规模及汇率走势进行研判，择机开展套期保值业务，积极对冲相关风险敞口，尽可能平滑汇率波动对业绩的冲击，降低汇率变动对公司利润的潜在影响。</w:t>
            </w:r>
          </w:p>
        </w:tc>
      </w:tr>
      <w:tr w:rsidR="006A01E0" w14:paraId="63C05748" w14:textId="77777777">
        <w:tc>
          <w:tcPr>
            <w:tcW w:w="1696" w:type="dxa"/>
            <w:vAlign w:val="center"/>
          </w:tcPr>
          <w:p w14:paraId="64A73902"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关于本次活动是否涉及应当披露重大信息的说明</w:t>
            </w:r>
          </w:p>
        </w:tc>
        <w:tc>
          <w:tcPr>
            <w:tcW w:w="7093" w:type="dxa"/>
            <w:vAlign w:val="center"/>
          </w:tcPr>
          <w:p w14:paraId="5D052D2D" w14:textId="77777777" w:rsidR="006A01E0" w:rsidRDefault="00CE0DEF">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本次活动不涉及应当披露重大信息</w:t>
            </w:r>
          </w:p>
        </w:tc>
      </w:tr>
      <w:tr w:rsidR="006A01E0" w14:paraId="5BC2FAA5" w14:textId="77777777">
        <w:tc>
          <w:tcPr>
            <w:tcW w:w="1696" w:type="dxa"/>
            <w:vAlign w:val="center"/>
          </w:tcPr>
          <w:p w14:paraId="53F02934" w14:textId="435624BC"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附件清单</w:t>
            </w:r>
          </w:p>
        </w:tc>
        <w:tc>
          <w:tcPr>
            <w:tcW w:w="7093" w:type="dxa"/>
          </w:tcPr>
          <w:p w14:paraId="59947FD2" w14:textId="648D3174" w:rsidR="006A01E0" w:rsidRDefault="000F7689">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《与会清单》</w:t>
            </w:r>
          </w:p>
        </w:tc>
      </w:tr>
      <w:tr w:rsidR="006A01E0" w14:paraId="07A4531A" w14:textId="77777777">
        <w:tc>
          <w:tcPr>
            <w:tcW w:w="1696" w:type="dxa"/>
            <w:vAlign w:val="center"/>
          </w:tcPr>
          <w:p w14:paraId="1CD60B03"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7093" w:type="dxa"/>
            <w:vAlign w:val="center"/>
          </w:tcPr>
          <w:p w14:paraId="52964F93" w14:textId="067142E1" w:rsidR="006A01E0" w:rsidRDefault="00CE0DEF">
            <w:pPr>
              <w:spacing w:line="360" w:lineRule="auto"/>
              <w:rPr>
                <w:rFonts w:ascii="宋体" w:eastAsia="宋体" w:hAnsi="宋体" w:cs="Times New Roman" w:hint="eastAsia"/>
                <w:iCs/>
                <w:sz w:val="24"/>
                <w:szCs w:val="24"/>
              </w:rPr>
            </w:pPr>
            <w:r>
              <w:rPr>
                <w:rFonts w:ascii="宋体" w:eastAsia="宋体" w:hAnsi="宋体" w:cs="Times New Roman" w:hint="eastAsia"/>
                <w:iCs/>
                <w:sz w:val="24"/>
                <w:szCs w:val="24"/>
              </w:rPr>
              <w:t>202</w:t>
            </w:r>
            <w:r w:rsidR="003B0A23">
              <w:rPr>
                <w:rFonts w:ascii="宋体" w:eastAsia="宋体" w:hAnsi="宋体" w:cs="Times New Roman" w:hint="eastAsia"/>
                <w:iCs/>
                <w:sz w:val="24"/>
                <w:szCs w:val="24"/>
              </w:rPr>
              <w:t>6</w:t>
            </w:r>
            <w:r>
              <w:rPr>
                <w:rFonts w:ascii="宋体" w:eastAsia="宋体" w:hAnsi="宋体" w:cs="Times New Roman" w:hint="eastAsia"/>
                <w:iCs/>
                <w:sz w:val="24"/>
                <w:szCs w:val="24"/>
              </w:rPr>
              <w:t>年</w:t>
            </w:r>
            <w:r w:rsidR="003B0A23">
              <w:rPr>
                <w:rFonts w:ascii="宋体" w:eastAsia="宋体" w:hAnsi="宋体" w:cs="Times New Roman" w:hint="eastAsia"/>
                <w:iCs/>
                <w:sz w:val="24"/>
                <w:szCs w:val="24"/>
              </w:rPr>
              <w:t>4</w:t>
            </w:r>
            <w:r>
              <w:rPr>
                <w:rFonts w:ascii="宋体" w:eastAsia="宋体" w:hAnsi="宋体" w:cs="Times New Roman" w:hint="eastAsia"/>
                <w:iCs/>
                <w:sz w:val="24"/>
                <w:szCs w:val="24"/>
              </w:rPr>
              <w:t>月</w:t>
            </w:r>
            <w:r w:rsidR="009E7665">
              <w:rPr>
                <w:rFonts w:ascii="宋体" w:eastAsia="宋体" w:hAnsi="宋体" w:cs="Times New Roman" w:hint="eastAsia"/>
                <w:iCs/>
                <w:sz w:val="24"/>
                <w:szCs w:val="24"/>
              </w:rPr>
              <w:t>2</w:t>
            </w:r>
            <w:r w:rsidR="001C202A">
              <w:rPr>
                <w:rFonts w:ascii="宋体" w:eastAsia="宋体" w:hAnsi="宋体" w:cs="Times New Roman" w:hint="eastAsia"/>
                <w:iCs/>
                <w:sz w:val="24"/>
                <w:szCs w:val="24"/>
              </w:rPr>
              <w:t>6</w:t>
            </w:r>
            <w:r>
              <w:rPr>
                <w:rFonts w:ascii="宋体" w:eastAsia="宋体" w:hAnsi="宋体" w:cs="Times New Roman" w:hint="eastAsia"/>
                <w:iCs/>
                <w:sz w:val="24"/>
                <w:szCs w:val="24"/>
              </w:rPr>
              <w:t>日</w:t>
            </w:r>
            <w:r w:rsidR="00680445" w:rsidRPr="00680445">
              <w:rPr>
                <w:rFonts w:ascii="宋体" w:eastAsia="宋体" w:hAnsi="宋体" w:cs="Times New Roman"/>
                <w:iCs/>
                <w:sz w:val="24"/>
                <w:szCs w:val="24"/>
              </w:rPr>
              <w:t>、2026年4月28日</w:t>
            </w:r>
          </w:p>
        </w:tc>
      </w:tr>
    </w:tbl>
    <w:p w14:paraId="5EBE3DCF" w14:textId="6EFF6C60" w:rsidR="000F7689" w:rsidRDefault="000F7689"/>
    <w:p w14:paraId="57EDA1C6" w14:textId="77777777" w:rsidR="000F7689" w:rsidRDefault="000F7689">
      <w:pPr>
        <w:widowControl/>
        <w:jc w:val="left"/>
      </w:pPr>
      <w:r>
        <w:br w:type="page"/>
      </w:r>
    </w:p>
    <w:p w14:paraId="33B2D76E" w14:textId="42BED383" w:rsidR="000F7689" w:rsidRPr="000F7689" w:rsidRDefault="000F7689">
      <w:pPr>
        <w:rPr>
          <w:rFonts w:ascii="宋体" w:eastAsia="宋体" w:hAnsi="宋体" w:hint="eastAsia"/>
          <w:sz w:val="24"/>
          <w:szCs w:val="24"/>
        </w:rPr>
      </w:pPr>
      <w:r w:rsidRPr="000F7689">
        <w:rPr>
          <w:rFonts w:ascii="宋体" w:eastAsia="宋体" w:hAnsi="宋体" w:hint="eastAsia"/>
          <w:sz w:val="24"/>
          <w:szCs w:val="24"/>
        </w:rPr>
        <w:lastRenderedPageBreak/>
        <w:t>附件：《与会清单》</w:t>
      </w:r>
    </w:p>
    <w:tbl>
      <w:tblPr>
        <w:tblStyle w:val="a9"/>
        <w:tblW w:w="0" w:type="auto"/>
        <w:tblLook w:val="04A0" w:firstRow="1" w:lastRow="0" w:firstColumn="1" w:lastColumn="0" w:noHBand="0" w:noVBand="1"/>
      </w:tblPr>
      <w:tblGrid>
        <w:gridCol w:w="4148"/>
        <w:gridCol w:w="4148"/>
      </w:tblGrid>
      <w:tr w:rsidR="000F7689" w:rsidRPr="000F7689" w14:paraId="4138B90C" w14:textId="77777777" w:rsidTr="001A10F6">
        <w:tc>
          <w:tcPr>
            <w:tcW w:w="4148" w:type="dxa"/>
            <w:vAlign w:val="center"/>
          </w:tcPr>
          <w:p w14:paraId="6BA545F0" w14:textId="71AEF8DF" w:rsidR="000F7689" w:rsidRPr="000F7689" w:rsidRDefault="000F7689" w:rsidP="000F7689">
            <w:pPr>
              <w:rPr>
                <w:rFonts w:ascii="宋体" w:eastAsia="宋体" w:hAnsi="宋体" w:hint="eastAsia"/>
                <w:szCs w:val="21"/>
              </w:rPr>
            </w:pPr>
            <w:r w:rsidRPr="000F7689">
              <w:rPr>
                <w:rFonts w:ascii="宋体" w:eastAsia="宋体" w:hAnsi="宋体" w:hint="eastAsia"/>
                <w:szCs w:val="21"/>
              </w:rPr>
              <w:t>申万宏源证券有限公司</w:t>
            </w:r>
          </w:p>
        </w:tc>
        <w:tc>
          <w:tcPr>
            <w:tcW w:w="4148" w:type="dxa"/>
            <w:vAlign w:val="center"/>
          </w:tcPr>
          <w:p w14:paraId="3E78F416" w14:textId="3B54E369" w:rsidR="000F7689" w:rsidRPr="000F7689" w:rsidRDefault="003C269B" w:rsidP="000F7689">
            <w:pPr>
              <w:rPr>
                <w:rFonts w:ascii="宋体" w:eastAsia="宋体" w:hAnsi="宋体" w:hint="eastAsia"/>
                <w:szCs w:val="21"/>
              </w:rPr>
            </w:pPr>
            <w:r w:rsidRPr="003C269B">
              <w:rPr>
                <w:rFonts w:ascii="宋体" w:eastAsia="宋体" w:hAnsi="宋体"/>
                <w:szCs w:val="21"/>
              </w:rPr>
              <w:t>易方达基金管理有限公司</w:t>
            </w:r>
          </w:p>
        </w:tc>
      </w:tr>
      <w:tr w:rsidR="000F7689" w:rsidRPr="000F7689" w14:paraId="6DC06757" w14:textId="77777777" w:rsidTr="001A10F6">
        <w:tc>
          <w:tcPr>
            <w:tcW w:w="4148" w:type="dxa"/>
            <w:vAlign w:val="center"/>
          </w:tcPr>
          <w:p w14:paraId="381FDF05" w14:textId="313C00A7" w:rsidR="000F7689" w:rsidRPr="000F7689" w:rsidRDefault="000F7689" w:rsidP="000F7689">
            <w:pPr>
              <w:rPr>
                <w:rFonts w:ascii="宋体" w:eastAsia="宋体" w:hAnsi="宋体" w:hint="eastAsia"/>
                <w:szCs w:val="21"/>
              </w:rPr>
            </w:pPr>
            <w:r w:rsidRPr="000F7689">
              <w:rPr>
                <w:rFonts w:ascii="宋体" w:eastAsia="宋体" w:hAnsi="宋体" w:hint="eastAsia"/>
                <w:color w:val="000000"/>
                <w:szCs w:val="21"/>
              </w:rPr>
              <w:t>华福证券股份有限公司</w:t>
            </w:r>
          </w:p>
        </w:tc>
        <w:tc>
          <w:tcPr>
            <w:tcW w:w="4148" w:type="dxa"/>
            <w:vAlign w:val="center"/>
          </w:tcPr>
          <w:p w14:paraId="39BB9E9B" w14:textId="5B527964" w:rsidR="000F7689" w:rsidRPr="000F7689" w:rsidRDefault="003C269B" w:rsidP="000F7689">
            <w:pPr>
              <w:rPr>
                <w:rFonts w:ascii="宋体" w:eastAsia="宋体" w:hAnsi="宋体" w:hint="eastAsia"/>
                <w:szCs w:val="21"/>
              </w:rPr>
            </w:pPr>
            <w:r w:rsidRPr="003C269B">
              <w:rPr>
                <w:rFonts w:ascii="宋体" w:eastAsia="宋体" w:hAnsi="宋体"/>
                <w:szCs w:val="21"/>
              </w:rPr>
              <w:t>兴证全球基金管理有限公司</w:t>
            </w:r>
          </w:p>
        </w:tc>
      </w:tr>
      <w:tr w:rsidR="003C269B" w:rsidRPr="000F7689" w14:paraId="13DF8B52" w14:textId="77777777" w:rsidTr="001A10F6">
        <w:tc>
          <w:tcPr>
            <w:tcW w:w="4148" w:type="dxa"/>
            <w:vAlign w:val="center"/>
          </w:tcPr>
          <w:p w14:paraId="094955F1" w14:textId="65F1CF32"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西部证券股份有限公司</w:t>
            </w:r>
          </w:p>
        </w:tc>
        <w:tc>
          <w:tcPr>
            <w:tcW w:w="4148" w:type="dxa"/>
            <w:vAlign w:val="center"/>
          </w:tcPr>
          <w:p w14:paraId="5D72B03A" w14:textId="03612A87"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汇丰晋信基金管理有限公司</w:t>
            </w:r>
          </w:p>
        </w:tc>
      </w:tr>
      <w:tr w:rsidR="003C269B" w:rsidRPr="000F7689" w14:paraId="5DE4468F" w14:textId="77777777" w:rsidTr="001A10F6">
        <w:tc>
          <w:tcPr>
            <w:tcW w:w="4148" w:type="dxa"/>
            <w:vAlign w:val="center"/>
          </w:tcPr>
          <w:p w14:paraId="01F09200" w14:textId="08A6AAC7"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天风证券股份有限公司</w:t>
            </w:r>
          </w:p>
        </w:tc>
        <w:tc>
          <w:tcPr>
            <w:tcW w:w="4148" w:type="dxa"/>
            <w:vAlign w:val="center"/>
          </w:tcPr>
          <w:p w14:paraId="051DA8E0" w14:textId="41A92E45"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鸿运私募基金管理(海南)有限公司</w:t>
            </w:r>
          </w:p>
        </w:tc>
      </w:tr>
      <w:tr w:rsidR="003C269B" w:rsidRPr="000F7689" w14:paraId="32F7D613" w14:textId="77777777" w:rsidTr="001A10F6">
        <w:tc>
          <w:tcPr>
            <w:tcW w:w="4148" w:type="dxa"/>
            <w:vAlign w:val="center"/>
          </w:tcPr>
          <w:p w14:paraId="1973BABA" w14:textId="7CF24033"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华鑫证券有限责任公司</w:t>
            </w:r>
          </w:p>
        </w:tc>
        <w:tc>
          <w:tcPr>
            <w:tcW w:w="4148" w:type="dxa"/>
            <w:vAlign w:val="center"/>
          </w:tcPr>
          <w:p w14:paraId="07CF3383" w14:textId="1260F3DF"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西安江岳私募基金管理有限公司</w:t>
            </w:r>
          </w:p>
        </w:tc>
      </w:tr>
      <w:tr w:rsidR="003C269B" w:rsidRPr="000F7689" w14:paraId="1F1BBFB7" w14:textId="77777777" w:rsidTr="001A10F6">
        <w:tc>
          <w:tcPr>
            <w:tcW w:w="4148" w:type="dxa"/>
            <w:vAlign w:val="center"/>
          </w:tcPr>
          <w:p w14:paraId="68DC5431" w14:textId="7495CF4C"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国信证券股份有限公司</w:t>
            </w:r>
          </w:p>
        </w:tc>
        <w:tc>
          <w:tcPr>
            <w:tcW w:w="4148" w:type="dxa"/>
            <w:vAlign w:val="center"/>
          </w:tcPr>
          <w:p w14:paraId="6796CBF7" w14:textId="2C786D95"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上海合道资产管理有限公司</w:t>
            </w:r>
          </w:p>
        </w:tc>
      </w:tr>
      <w:tr w:rsidR="003C269B" w:rsidRPr="000F7689" w14:paraId="22423B75" w14:textId="77777777" w:rsidTr="001A10F6">
        <w:tc>
          <w:tcPr>
            <w:tcW w:w="4148" w:type="dxa"/>
            <w:vAlign w:val="center"/>
          </w:tcPr>
          <w:p w14:paraId="2595D417" w14:textId="323E90AB"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华创证券有限责任公司</w:t>
            </w:r>
          </w:p>
        </w:tc>
        <w:tc>
          <w:tcPr>
            <w:tcW w:w="4148" w:type="dxa"/>
            <w:vAlign w:val="center"/>
          </w:tcPr>
          <w:p w14:paraId="7FF62DA6" w14:textId="2310B01E"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上海于翼资产管理合伙企业(有限合伙)</w:t>
            </w:r>
          </w:p>
        </w:tc>
      </w:tr>
      <w:tr w:rsidR="003C269B" w:rsidRPr="000F7689" w14:paraId="5386A3BD" w14:textId="77777777" w:rsidTr="001A10F6">
        <w:tc>
          <w:tcPr>
            <w:tcW w:w="4148" w:type="dxa"/>
            <w:vAlign w:val="center"/>
          </w:tcPr>
          <w:p w14:paraId="28C04BF8" w14:textId="2540C5EA"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兴业证券股份有限公司</w:t>
            </w:r>
          </w:p>
        </w:tc>
        <w:tc>
          <w:tcPr>
            <w:tcW w:w="4148" w:type="dxa"/>
            <w:vAlign w:val="center"/>
          </w:tcPr>
          <w:p w14:paraId="742F3EBC" w14:textId="52413136"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广东正圆私募基金管理有限公司</w:t>
            </w:r>
          </w:p>
        </w:tc>
      </w:tr>
      <w:tr w:rsidR="003C269B" w:rsidRPr="000F7689" w14:paraId="16F30803" w14:textId="77777777" w:rsidTr="001A10F6">
        <w:tc>
          <w:tcPr>
            <w:tcW w:w="4148" w:type="dxa"/>
            <w:vAlign w:val="center"/>
          </w:tcPr>
          <w:p w14:paraId="757C01D1" w14:textId="14734505"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东方财富证券股份有限公司</w:t>
            </w:r>
          </w:p>
        </w:tc>
        <w:tc>
          <w:tcPr>
            <w:tcW w:w="4148" w:type="dxa"/>
            <w:vAlign w:val="center"/>
          </w:tcPr>
          <w:p w14:paraId="315EA52A" w14:textId="2A09B4F1"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苏州君榕资产管理有限公司</w:t>
            </w:r>
          </w:p>
        </w:tc>
      </w:tr>
      <w:tr w:rsidR="003C269B" w:rsidRPr="000F7689" w14:paraId="6438AB7B" w14:textId="77777777" w:rsidTr="001A10F6">
        <w:tc>
          <w:tcPr>
            <w:tcW w:w="4148" w:type="dxa"/>
            <w:vAlign w:val="center"/>
          </w:tcPr>
          <w:p w14:paraId="4F293999" w14:textId="252B7E4D"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中信证券股份有限公司</w:t>
            </w:r>
          </w:p>
        </w:tc>
        <w:tc>
          <w:tcPr>
            <w:tcW w:w="4148" w:type="dxa"/>
            <w:vAlign w:val="center"/>
          </w:tcPr>
          <w:p w14:paraId="7B937D3E" w14:textId="516F5099"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上海磐稳投资管理有限公司</w:t>
            </w:r>
          </w:p>
        </w:tc>
      </w:tr>
      <w:tr w:rsidR="003C269B" w:rsidRPr="000F7689" w14:paraId="3DB8A3BA" w14:textId="77777777" w:rsidTr="001A10F6">
        <w:tc>
          <w:tcPr>
            <w:tcW w:w="4148" w:type="dxa"/>
            <w:vAlign w:val="center"/>
          </w:tcPr>
          <w:p w14:paraId="6EA021BA" w14:textId="10990D44"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国泰海通证券股份有限公司</w:t>
            </w:r>
          </w:p>
        </w:tc>
        <w:tc>
          <w:tcPr>
            <w:tcW w:w="4148" w:type="dxa"/>
            <w:vAlign w:val="center"/>
          </w:tcPr>
          <w:p w14:paraId="103AE039" w14:textId="3673EFA0"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海南君阳私募基金管理有限公司</w:t>
            </w:r>
          </w:p>
        </w:tc>
      </w:tr>
      <w:tr w:rsidR="003C269B" w:rsidRPr="000F7689" w14:paraId="6F9FF733" w14:textId="77777777" w:rsidTr="001A10F6">
        <w:tc>
          <w:tcPr>
            <w:tcW w:w="4148" w:type="dxa"/>
            <w:vAlign w:val="center"/>
          </w:tcPr>
          <w:p w14:paraId="494F3F9D" w14:textId="5A9EB382"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招商证券股份有限公司</w:t>
            </w:r>
          </w:p>
        </w:tc>
        <w:tc>
          <w:tcPr>
            <w:tcW w:w="4148" w:type="dxa"/>
            <w:vAlign w:val="center"/>
          </w:tcPr>
          <w:p w14:paraId="00484587" w14:textId="18BC9223"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杭州深沃投资管理合伙企业(有限合伙)</w:t>
            </w:r>
          </w:p>
        </w:tc>
      </w:tr>
      <w:tr w:rsidR="003C269B" w:rsidRPr="000F7689" w14:paraId="23697C1F" w14:textId="77777777" w:rsidTr="001A10F6">
        <w:tc>
          <w:tcPr>
            <w:tcW w:w="4148" w:type="dxa"/>
            <w:vAlign w:val="center"/>
          </w:tcPr>
          <w:p w14:paraId="1F91C96C" w14:textId="155958D9"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中银国际证券股份有限公司</w:t>
            </w:r>
          </w:p>
        </w:tc>
        <w:tc>
          <w:tcPr>
            <w:tcW w:w="4148" w:type="dxa"/>
            <w:vAlign w:val="center"/>
          </w:tcPr>
          <w:p w14:paraId="36E8FE1D" w14:textId="153F075C"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张家港高竹私募基金管理有限公司</w:t>
            </w:r>
          </w:p>
        </w:tc>
      </w:tr>
      <w:tr w:rsidR="003C269B" w:rsidRPr="000F7689" w14:paraId="3F640821" w14:textId="77777777" w:rsidTr="001A10F6">
        <w:tc>
          <w:tcPr>
            <w:tcW w:w="4148" w:type="dxa"/>
            <w:vAlign w:val="center"/>
          </w:tcPr>
          <w:p w14:paraId="3E987AE6" w14:textId="1FB22F69"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中泰证券股份有限公司</w:t>
            </w:r>
          </w:p>
        </w:tc>
        <w:tc>
          <w:tcPr>
            <w:tcW w:w="4148" w:type="dxa"/>
            <w:vAlign w:val="center"/>
          </w:tcPr>
          <w:p w14:paraId="7AAFA543" w14:textId="2E0A0234"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深圳市尚诚资产管理有限责任公司</w:t>
            </w:r>
          </w:p>
        </w:tc>
      </w:tr>
      <w:tr w:rsidR="003C269B" w:rsidRPr="000F7689" w14:paraId="4B61AEC5" w14:textId="77777777" w:rsidTr="001A10F6">
        <w:tc>
          <w:tcPr>
            <w:tcW w:w="4148" w:type="dxa"/>
            <w:vAlign w:val="center"/>
          </w:tcPr>
          <w:p w14:paraId="4A6ECF91" w14:textId="11D199ED"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财通证券股份有限公司</w:t>
            </w:r>
          </w:p>
        </w:tc>
        <w:tc>
          <w:tcPr>
            <w:tcW w:w="4148" w:type="dxa"/>
            <w:vAlign w:val="center"/>
          </w:tcPr>
          <w:p w14:paraId="181DD42E" w14:textId="51035E0E" w:rsidR="003C269B" w:rsidRPr="000F7689" w:rsidRDefault="003C269B" w:rsidP="003C269B">
            <w:pPr>
              <w:widowControl/>
              <w:rPr>
                <w:rFonts w:ascii="宋体" w:eastAsia="宋体" w:hAnsi="宋体" w:cs="宋体" w:hint="eastAsia"/>
                <w:color w:val="000000"/>
                <w:kern w:val="0"/>
                <w:szCs w:val="21"/>
              </w:rPr>
            </w:pPr>
            <w:r w:rsidRPr="000F7689">
              <w:rPr>
                <w:rFonts w:ascii="宋体" w:eastAsia="宋体" w:hAnsi="宋体" w:hint="eastAsia"/>
                <w:color w:val="000000"/>
                <w:szCs w:val="21"/>
              </w:rPr>
              <w:t>青骊投资管理(上海)有限公司</w:t>
            </w:r>
          </w:p>
        </w:tc>
      </w:tr>
      <w:tr w:rsidR="003C269B" w:rsidRPr="000F7689" w14:paraId="40977484" w14:textId="77777777" w:rsidTr="001A10F6">
        <w:tc>
          <w:tcPr>
            <w:tcW w:w="4148" w:type="dxa"/>
            <w:vAlign w:val="center"/>
          </w:tcPr>
          <w:p w14:paraId="1427F672" w14:textId="0A602A59" w:rsidR="003C269B" w:rsidRPr="000F7689" w:rsidRDefault="003C269B" w:rsidP="003C269B">
            <w:pPr>
              <w:rPr>
                <w:rFonts w:ascii="宋体" w:eastAsia="宋体" w:hAnsi="宋体" w:hint="eastAsia"/>
                <w:szCs w:val="21"/>
              </w:rPr>
            </w:pPr>
            <w:r w:rsidRPr="00290292">
              <w:rPr>
                <w:rFonts w:ascii="宋体" w:eastAsia="宋体" w:hAnsi="宋体"/>
                <w:szCs w:val="21"/>
              </w:rPr>
              <w:t>开源证券股份有限公司</w:t>
            </w:r>
          </w:p>
        </w:tc>
        <w:tc>
          <w:tcPr>
            <w:tcW w:w="4148" w:type="dxa"/>
            <w:vAlign w:val="center"/>
          </w:tcPr>
          <w:p w14:paraId="5C2633A0" w14:textId="093C1EC6"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上海恒旭创领私募基金管理有限公司</w:t>
            </w:r>
          </w:p>
        </w:tc>
      </w:tr>
      <w:tr w:rsidR="003C269B" w:rsidRPr="000F7689" w14:paraId="686D36C6" w14:textId="77777777" w:rsidTr="001A10F6">
        <w:tc>
          <w:tcPr>
            <w:tcW w:w="4148" w:type="dxa"/>
            <w:vAlign w:val="center"/>
          </w:tcPr>
          <w:p w14:paraId="07B1E753" w14:textId="17FC43BB" w:rsidR="003C269B" w:rsidRPr="00290292" w:rsidRDefault="003C269B" w:rsidP="003C269B">
            <w:pPr>
              <w:rPr>
                <w:rFonts w:ascii="宋体" w:eastAsia="宋体" w:hAnsi="宋体" w:hint="eastAsia"/>
                <w:szCs w:val="21"/>
              </w:rPr>
            </w:pPr>
            <w:r w:rsidRPr="000F7689">
              <w:rPr>
                <w:rFonts w:ascii="宋体" w:eastAsia="宋体" w:hAnsi="宋体" w:hint="eastAsia"/>
                <w:color w:val="000000"/>
                <w:szCs w:val="21"/>
              </w:rPr>
              <w:t>长城基金管理有限公司</w:t>
            </w:r>
          </w:p>
        </w:tc>
        <w:tc>
          <w:tcPr>
            <w:tcW w:w="4148" w:type="dxa"/>
            <w:vAlign w:val="center"/>
          </w:tcPr>
          <w:p w14:paraId="4F040629" w14:textId="627543AE"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上海匀升投资管理有限公司</w:t>
            </w:r>
          </w:p>
        </w:tc>
      </w:tr>
      <w:tr w:rsidR="003C269B" w:rsidRPr="000F7689" w14:paraId="593204AC" w14:textId="77777777" w:rsidTr="00300EBB">
        <w:tc>
          <w:tcPr>
            <w:tcW w:w="4148" w:type="dxa"/>
            <w:vAlign w:val="center"/>
          </w:tcPr>
          <w:p w14:paraId="500E6498" w14:textId="43BF2DEF"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华夏基金管理有限公司</w:t>
            </w:r>
          </w:p>
        </w:tc>
        <w:tc>
          <w:tcPr>
            <w:tcW w:w="4148" w:type="dxa"/>
            <w:vAlign w:val="center"/>
          </w:tcPr>
          <w:p w14:paraId="5335FCD9" w14:textId="47B25B6D"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深圳市麻王投资集团有限公司</w:t>
            </w:r>
          </w:p>
        </w:tc>
      </w:tr>
      <w:tr w:rsidR="003C269B" w:rsidRPr="000F7689" w14:paraId="50CBCDA3" w14:textId="77777777" w:rsidTr="00E07FED">
        <w:tc>
          <w:tcPr>
            <w:tcW w:w="4148" w:type="dxa"/>
            <w:vAlign w:val="center"/>
          </w:tcPr>
          <w:p w14:paraId="68267B17" w14:textId="1851F65E"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富安达基金管理有限公司</w:t>
            </w:r>
          </w:p>
        </w:tc>
        <w:tc>
          <w:tcPr>
            <w:tcW w:w="4148" w:type="dxa"/>
            <w:vAlign w:val="center"/>
          </w:tcPr>
          <w:p w14:paraId="274D0529" w14:textId="206A500C"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上海度势投资有限公司</w:t>
            </w:r>
          </w:p>
        </w:tc>
      </w:tr>
      <w:tr w:rsidR="003C269B" w:rsidRPr="000F7689" w14:paraId="6FFA4895" w14:textId="77777777" w:rsidTr="00E65D98">
        <w:tc>
          <w:tcPr>
            <w:tcW w:w="4148" w:type="dxa"/>
            <w:vAlign w:val="center"/>
          </w:tcPr>
          <w:p w14:paraId="3715C8B4" w14:textId="1B65295A"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国寿安保基金管理有限公司</w:t>
            </w:r>
          </w:p>
        </w:tc>
        <w:tc>
          <w:tcPr>
            <w:tcW w:w="4148" w:type="dxa"/>
          </w:tcPr>
          <w:p w14:paraId="59C18438" w14:textId="1615449A" w:rsidR="003C269B" w:rsidRPr="000F7689" w:rsidRDefault="00DA5672" w:rsidP="003C269B">
            <w:pPr>
              <w:rPr>
                <w:rFonts w:ascii="宋体" w:eastAsia="宋体" w:hAnsi="宋体" w:hint="eastAsia"/>
                <w:szCs w:val="21"/>
              </w:rPr>
            </w:pPr>
            <w:r w:rsidRPr="00DA5672">
              <w:rPr>
                <w:rFonts w:ascii="宋体" w:eastAsia="宋体" w:hAnsi="宋体"/>
                <w:szCs w:val="21"/>
              </w:rPr>
              <w:t>深圳市景元天成投资顾问有限公司</w:t>
            </w:r>
          </w:p>
        </w:tc>
      </w:tr>
      <w:tr w:rsidR="003C269B" w:rsidRPr="000F7689" w14:paraId="612F1A76" w14:textId="77777777" w:rsidTr="00E65D98">
        <w:tc>
          <w:tcPr>
            <w:tcW w:w="4148" w:type="dxa"/>
            <w:vAlign w:val="center"/>
          </w:tcPr>
          <w:p w14:paraId="129CA34B" w14:textId="12F013D3" w:rsidR="003C269B" w:rsidRPr="000F7689" w:rsidRDefault="003C269B" w:rsidP="003C269B">
            <w:pPr>
              <w:rPr>
                <w:rFonts w:ascii="宋体" w:eastAsia="宋体" w:hAnsi="宋体" w:hint="eastAsia"/>
                <w:color w:val="000000"/>
                <w:szCs w:val="21"/>
              </w:rPr>
            </w:pPr>
            <w:r w:rsidRPr="000F7689">
              <w:rPr>
                <w:rFonts w:ascii="宋体" w:eastAsia="宋体" w:hAnsi="宋体" w:hint="eastAsia"/>
                <w:color w:val="000000"/>
                <w:szCs w:val="21"/>
              </w:rPr>
              <w:t>宝盈基金管理有限公司</w:t>
            </w:r>
          </w:p>
        </w:tc>
        <w:tc>
          <w:tcPr>
            <w:tcW w:w="4148" w:type="dxa"/>
          </w:tcPr>
          <w:p w14:paraId="1E31379C" w14:textId="3E84FD02" w:rsidR="003C269B" w:rsidRPr="000F7689" w:rsidRDefault="003C269B" w:rsidP="003C269B">
            <w:pPr>
              <w:rPr>
                <w:rFonts w:ascii="宋体" w:eastAsia="宋体" w:hAnsi="宋体" w:hint="eastAsia"/>
                <w:szCs w:val="21"/>
              </w:rPr>
            </w:pPr>
            <w:r w:rsidRPr="000F7689">
              <w:rPr>
                <w:rFonts w:ascii="宋体" w:eastAsia="宋体" w:hAnsi="宋体" w:hint="eastAsia"/>
                <w:color w:val="000000"/>
                <w:szCs w:val="21"/>
              </w:rPr>
              <w:t>平安银行股份有限公司</w:t>
            </w:r>
          </w:p>
        </w:tc>
      </w:tr>
      <w:tr w:rsidR="003C269B" w:rsidRPr="000F7689" w14:paraId="085C29B1" w14:textId="77777777" w:rsidTr="00E65D98">
        <w:tc>
          <w:tcPr>
            <w:tcW w:w="4148" w:type="dxa"/>
            <w:vAlign w:val="center"/>
          </w:tcPr>
          <w:p w14:paraId="04C87E83" w14:textId="1F354CFD" w:rsidR="003C269B" w:rsidRPr="000F7689" w:rsidRDefault="003C269B" w:rsidP="003C269B">
            <w:pPr>
              <w:rPr>
                <w:rFonts w:ascii="宋体" w:eastAsia="宋体" w:hAnsi="宋体" w:hint="eastAsia"/>
                <w:color w:val="000000"/>
                <w:szCs w:val="21"/>
              </w:rPr>
            </w:pPr>
            <w:r w:rsidRPr="000F7689">
              <w:rPr>
                <w:rFonts w:ascii="宋体" w:eastAsia="宋体" w:hAnsi="宋体" w:hint="eastAsia"/>
                <w:color w:val="000000"/>
                <w:szCs w:val="21"/>
              </w:rPr>
              <w:t>方正富邦基金管理有限公司</w:t>
            </w:r>
          </w:p>
        </w:tc>
        <w:tc>
          <w:tcPr>
            <w:tcW w:w="4148" w:type="dxa"/>
          </w:tcPr>
          <w:p w14:paraId="1AAA0A5C" w14:textId="77777777" w:rsidR="003C269B" w:rsidRPr="000F7689" w:rsidRDefault="003C269B" w:rsidP="003C269B">
            <w:pPr>
              <w:rPr>
                <w:rFonts w:ascii="宋体" w:eastAsia="宋体" w:hAnsi="宋体" w:hint="eastAsia"/>
                <w:szCs w:val="21"/>
              </w:rPr>
            </w:pPr>
          </w:p>
        </w:tc>
      </w:tr>
    </w:tbl>
    <w:p w14:paraId="7FFD19A9" w14:textId="77777777" w:rsidR="000F7689" w:rsidRDefault="000F7689"/>
    <w:sectPr w:rsidR="000F76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18CC" w14:textId="77777777" w:rsidR="00F77CAF" w:rsidRDefault="00F77CAF" w:rsidP="00CF01AF">
      <w:r>
        <w:separator/>
      </w:r>
    </w:p>
  </w:endnote>
  <w:endnote w:type="continuationSeparator" w:id="0">
    <w:p w14:paraId="12AD84F2" w14:textId="77777777" w:rsidR="00F77CAF" w:rsidRDefault="00F77CAF" w:rsidP="00CF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2F16" w14:textId="77777777" w:rsidR="00F77CAF" w:rsidRDefault="00F77CAF" w:rsidP="00CF01AF">
      <w:r>
        <w:separator/>
      </w:r>
    </w:p>
  </w:footnote>
  <w:footnote w:type="continuationSeparator" w:id="0">
    <w:p w14:paraId="3EED0251" w14:textId="77777777" w:rsidR="00F77CAF" w:rsidRDefault="00F77CAF" w:rsidP="00CF0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C5F2"/>
    <w:multiLevelType w:val="singleLevel"/>
    <w:tmpl w:val="09BAC5F2"/>
    <w:lvl w:ilvl="0">
      <w:start w:val="1"/>
      <w:numFmt w:val="chineseCounting"/>
      <w:suff w:val="nothing"/>
      <w:lvlText w:val="第%1，"/>
      <w:lvlJc w:val="left"/>
      <w:rPr>
        <w:rFonts w:hint="eastAsia"/>
      </w:rPr>
    </w:lvl>
  </w:abstractNum>
  <w:abstractNum w:abstractNumId="1" w15:restartNumberingAfterBreak="0">
    <w:nsid w:val="47D7CFD1"/>
    <w:multiLevelType w:val="singleLevel"/>
    <w:tmpl w:val="47D7CFD1"/>
    <w:lvl w:ilvl="0">
      <w:start w:val="2"/>
      <w:numFmt w:val="decimal"/>
      <w:suff w:val="nothing"/>
      <w:lvlText w:val="%1、"/>
      <w:lvlJc w:val="left"/>
    </w:lvl>
  </w:abstractNum>
  <w:num w:numId="1" w16cid:durableId="1644194158">
    <w:abstractNumId w:val="1"/>
  </w:num>
  <w:num w:numId="2" w16cid:durableId="147675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zZGJiMzk3NmE4MTFmY2I0NmVkOTVhODY4OTk3OTcifQ=="/>
  </w:docVars>
  <w:rsids>
    <w:rsidRoot w:val="00C464B1"/>
    <w:rsid w:val="00005520"/>
    <w:rsid w:val="00025903"/>
    <w:rsid w:val="0003213A"/>
    <w:rsid w:val="00032202"/>
    <w:rsid w:val="000329EE"/>
    <w:rsid w:val="000334EB"/>
    <w:rsid w:val="000420E1"/>
    <w:rsid w:val="0005088A"/>
    <w:rsid w:val="00054F57"/>
    <w:rsid w:val="0005506A"/>
    <w:rsid w:val="00055803"/>
    <w:rsid w:val="000907ED"/>
    <w:rsid w:val="000959E1"/>
    <w:rsid w:val="000A372F"/>
    <w:rsid w:val="000A387F"/>
    <w:rsid w:val="000A62FF"/>
    <w:rsid w:val="000A7169"/>
    <w:rsid w:val="000B2427"/>
    <w:rsid w:val="000B5197"/>
    <w:rsid w:val="000B7728"/>
    <w:rsid w:val="000D55AC"/>
    <w:rsid w:val="000E0D4B"/>
    <w:rsid w:val="000F1B91"/>
    <w:rsid w:val="000F4F06"/>
    <w:rsid w:val="000F7689"/>
    <w:rsid w:val="0010371C"/>
    <w:rsid w:val="0011139F"/>
    <w:rsid w:val="001212DA"/>
    <w:rsid w:val="00124176"/>
    <w:rsid w:val="00126774"/>
    <w:rsid w:val="0013280D"/>
    <w:rsid w:val="0013329C"/>
    <w:rsid w:val="001366D1"/>
    <w:rsid w:val="00136A53"/>
    <w:rsid w:val="00137AF3"/>
    <w:rsid w:val="00141CD0"/>
    <w:rsid w:val="0015256D"/>
    <w:rsid w:val="001671EE"/>
    <w:rsid w:val="0018316A"/>
    <w:rsid w:val="001A0C24"/>
    <w:rsid w:val="001B3BE5"/>
    <w:rsid w:val="001B689F"/>
    <w:rsid w:val="001C202A"/>
    <w:rsid w:val="001D7F75"/>
    <w:rsid w:val="001E0FBB"/>
    <w:rsid w:val="001E2E31"/>
    <w:rsid w:val="001F13C1"/>
    <w:rsid w:val="001F1482"/>
    <w:rsid w:val="001F7718"/>
    <w:rsid w:val="002007D1"/>
    <w:rsid w:val="00204CCF"/>
    <w:rsid w:val="0021448F"/>
    <w:rsid w:val="002211E2"/>
    <w:rsid w:val="002253EC"/>
    <w:rsid w:val="002269A7"/>
    <w:rsid w:val="00231AE9"/>
    <w:rsid w:val="002402C2"/>
    <w:rsid w:val="00253BE7"/>
    <w:rsid w:val="00271338"/>
    <w:rsid w:val="00285E4E"/>
    <w:rsid w:val="00290292"/>
    <w:rsid w:val="0029162E"/>
    <w:rsid w:val="002A0268"/>
    <w:rsid w:val="002A1B2E"/>
    <w:rsid w:val="002C2271"/>
    <w:rsid w:val="002C2BA7"/>
    <w:rsid w:val="002D58BD"/>
    <w:rsid w:val="002D7D90"/>
    <w:rsid w:val="002D7F10"/>
    <w:rsid w:val="002E24AA"/>
    <w:rsid w:val="002E425B"/>
    <w:rsid w:val="003006F0"/>
    <w:rsid w:val="00304F10"/>
    <w:rsid w:val="0031242D"/>
    <w:rsid w:val="0031537E"/>
    <w:rsid w:val="003222CD"/>
    <w:rsid w:val="00322657"/>
    <w:rsid w:val="003234D4"/>
    <w:rsid w:val="00331B58"/>
    <w:rsid w:val="003355BF"/>
    <w:rsid w:val="0033719B"/>
    <w:rsid w:val="003530E6"/>
    <w:rsid w:val="00353E95"/>
    <w:rsid w:val="00367E08"/>
    <w:rsid w:val="00367E85"/>
    <w:rsid w:val="00371BBE"/>
    <w:rsid w:val="003742C0"/>
    <w:rsid w:val="00375A7A"/>
    <w:rsid w:val="0037611E"/>
    <w:rsid w:val="0038648A"/>
    <w:rsid w:val="00395C47"/>
    <w:rsid w:val="0039755D"/>
    <w:rsid w:val="003A3D05"/>
    <w:rsid w:val="003A4B83"/>
    <w:rsid w:val="003B0A23"/>
    <w:rsid w:val="003B2F2F"/>
    <w:rsid w:val="003B3E39"/>
    <w:rsid w:val="003C269B"/>
    <w:rsid w:val="003C44F2"/>
    <w:rsid w:val="003D4918"/>
    <w:rsid w:val="003E74D9"/>
    <w:rsid w:val="003F3E65"/>
    <w:rsid w:val="003F5004"/>
    <w:rsid w:val="00400A6C"/>
    <w:rsid w:val="00402C97"/>
    <w:rsid w:val="0040333B"/>
    <w:rsid w:val="00412DCD"/>
    <w:rsid w:val="00427313"/>
    <w:rsid w:val="00427A9C"/>
    <w:rsid w:val="0043594C"/>
    <w:rsid w:val="0044201F"/>
    <w:rsid w:val="004542CC"/>
    <w:rsid w:val="004576C4"/>
    <w:rsid w:val="00457AA4"/>
    <w:rsid w:val="00462A77"/>
    <w:rsid w:val="004642E2"/>
    <w:rsid w:val="00467589"/>
    <w:rsid w:val="004720EE"/>
    <w:rsid w:val="0047249E"/>
    <w:rsid w:val="00475083"/>
    <w:rsid w:val="00476F8B"/>
    <w:rsid w:val="00477D36"/>
    <w:rsid w:val="00490093"/>
    <w:rsid w:val="004A3A8D"/>
    <w:rsid w:val="004A7798"/>
    <w:rsid w:val="004C25D2"/>
    <w:rsid w:val="004C36F0"/>
    <w:rsid w:val="004C45FF"/>
    <w:rsid w:val="004F3642"/>
    <w:rsid w:val="00501670"/>
    <w:rsid w:val="00506E9E"/>
    <w:rsid w:val="0051667E"/>
    <w:rsid w:val="0052233B"/>
    <w:rsid w:val="00522356"/>
    <w:rsid w:val="00530058"/>
    <w:rsid w:val="005360C4"/>
    <w:rsid w:val="005368D6"/>
    <w:rsid w:val="00544BEA"/>
    <w:rsid w:val="00552254"/>
    <w:rsid w:val="00553F73"/>
    <w:rsid w:val="00565E6A"/>
    <w:rsid w:val="005664E8"/>
    <w:rsid w:val="005669F7"/>
    <w:rsid w:val="00572C88"/>
    <w:rsid w:val="005773DA"/>
    <w:rsid w:val="00577DD8"/>
    <w:rsid w:val="0058319C"/>
    <w:rsid w:val="00584339"/>
    <w:rsid w:val="00584934"/>
    <w:rsid w:val="00586D26"/>
    <w:rsid w:val="00587599"/>
    <w:rsid w:val="00591884"/>
    <w:rsid w:val="00592090"/>
    <w:rsid w:val="00595436"/>
    <w:rsid w:val="00595A22"/>
    <w:rsid w:val="005A1168"/>
    <w:rsid w:val="005A331E"/>
    <w:rsid w:val="005B2855"/>
    <w:rsid w:val="005B4A2F"/>
    <w:rsid w:val="005B51D5"/>
    <w:rsid w:val="005C026C"/>
    <w:rsid w:val="005C673F"/>
    <w:rsid w:val="005D3D6F"/>
    <w:rsid w:val="005D5076"/>
    <w:rsid w:val="005D60DE"/>
    <w:rsid w:val="005D7171"/>
    <w:rsid w:val="005E354B"/>
    <w:rsid w:val="005E55C5"/>
    <w:rsid w:val="005F308F"/>
    <w:rsid w:val="005F5E99"/>
    <w:rsid w:val="0060070D"/>
    <w:rsid w:val="0060293F"/>
    <w:rsid w:val="00606768"/>
    <w:rsid w:val="00623779"/>
    <w:rsid w:val="00625628"/>
    <w:rsid w:val="006256F9"/>
    <w:rsid w:val="00632B5F"/>
    <w:rsid w:val="0063621B"/>
    <w:rsid w:val="00636A85"/>
    <w:rsid w:val="0065231F"/>
    <w:rsid w:val="00652FBB"/>
    <w:rsid w:val="00653BEB"/>
    <w:rsid w:val="006565BE"/>
    <w:rsid w:val="00665E0F"/>
    <w:rsid w:val="00670CFD"/>
    <w:rsid w:val="00672F2A"/>
    <w:rsid w:val="00680445"/>
    <w:rsid w:val="006813FC"/>
    <w:rsid w:val="00682512"/>
    <w:rsid w:val="00683A14"/>
    <w:rsid w:val="006862A4"/>
    <w:rsid w:val="00687ECC"/>
    <w:rsid w:val="00693816"/>
    <w:rsid w:val="00697B91"/>
    <w:rsid w:val="006A01E0"/>
    <w:rsid w:val="006A0212"/>
    <w:rsid w:val="006B0957"/>
    <w:rsid w:val="006B1094"/>
    <w:rsid w:val="006B597B"/>
    <w:rsid w:val="006C1999"/>
    <w:rsid w:val="006C282C"/>
    <w:rsid w:val="006C5790"/>
    <w:rsid w:val="006C673D"/>
    <w:rsid w:val="006D154C"/>
    <w:rsid w:val="006D19AF"/>
    <w:rsid w:val="006D3316"/>
    <w:rsid w:val="006E1D9E"/>
    <w:rsid w:val="006E39E2"/>
    <w:rsid w:val="006F0F88"/>
    <w:rsid w:val="006F7080"/>
    <w:rsid w:val="007074C0"/>
    <w:rsid w:val="00707F1C"/>
    <w:rsid w:val="007172E3"/>
    <w:rsid w:val="00721ABB"/>
    <w:rsid w:val="00724832"/>
    <w:rsid w:val="007266C2"/>
    <w:rsid w:val="00726E6A"/>
    <w:rsid w:val="00726F63"/>
    <w:rsid w:val="00731120"/>
    <w:rsid w:val="00734C00"/>
    <w:rsid w:val="00737618"/>
    <w:rsid w:val="00737B8C"/>
    <w:rsid w:val="0074098E"/>
    <w:rsid w:val="00742678"/>
    <w:rsid w:val="00745A09"/>
    <w:rsid w:val="00757278"/>
    <w:rsid w:val="00766491"/>
    <w:rsid w:val="00771EAD"/>
    <w:rsid w:val="00790C98"/>
    <w:rsid w:val="00791B2B"/>
    <w:rsid w:val="007A396D"/>
    <w:rsid w:val="007A3B0B"/>
    <w:rsid w:val="007A3C91"/>
    <w:rsid w:val="007B6545"/>
    <w:rsid w:val="007D04F9"/>
    <w:rsid w:val="007D5D96"/>
    <w:rsid w:val="007D6343"/>
    <w:rsid w:val="007E4E00"/>
    <w:rsid w:val="007E560F"/>
    <w:rsid w:val="007E5E5B"/>
    <w:rsid w:val="007F01FC"/>
    <w:rsid w:val="007F2C5A"/>
    <w:rsid w:val="00811A90"/>
    <w:rsid w:val="00816C8D"/>
    <w:rsid w:val="00823E2E"/>
    <w:rsid w:val="00824783"/>
    <w:rsid w:val="00826F07"/>
    <w:rsid w:val="00827491"/>
    <w:rsid w:val="00831BFD"/>
    <w:rsid w:val="00834A8E"/>
    <w:rsid w:val="00857409"/>
    <w:rsid w:val="008604B2"/>
    <w:rsid w:val="00861242"/>
    <w:rsid w:val="008741A0"/>
    <w:rsid w:val="00874E58"/>
    <w:rsid w:val="00882938"/>
    <w:rsid w:val="00885735"/>
    <w:rsid w:val="0089126F"/>
    <w:rsid w:val="00891C26"/>
    <w:rsid w:val="008975E9"/>
    <w:rsid w:val="008A1039"/>
    <w:rsid w:val="008A5832"/>
    <w:rsid w:val="008A5BF0"/>
    <w:rsid w:val="008B0763"/>
    <w:rsid w:val="008B3416"/>
    <w:rsid w:val="008B34D3"/>
    <w:rsid w:val="008B6F1A"/>
    <w:rsid w:val="008B73C1"/>
    <w:rsid w:val="008B7FF5"/>
    <w:rsid w:val="008C2294"/>
    <w:rsid w:val="008C46A8"/>
    <w:rsid w:val="008C7759"/>
    <w:rsid w:val="008D5A54"/>
    <w:rsid w:val="008E183E"/>
    <w:rsid w:val="008E32F5"/>
    <w:rsid w:val="008E6AC7"/>
    <w:rsid w:val="008F1210"/>
    <w:rsid w:val="008F775A"/>
    <w:rsid w:val="0090266C"/>
    <w:rsid w:val="00903134"/>
    <w:rsid w:val="00904659"/>
    <w:rsid w:val="009057BE"/>
    <w:rsid w:val="00910674"/>
    <w:rsid w:val="0091129A"/>
    <w:rsid w:val="0092773A"/>
    <w:rsid w:val="00927B1F"/>
    <w:rsid w:val="00933CB6"/>
    <w:rsid w:val="00946EEB"/>
    <w:rsid w:val="00950C83"/>
    <w:rsid w:val="00952F56"/>
    <w:rsid w:val="00962FB2"/>
    <w:rsid w:val="009632CA"/>
    <w:rsid w:val="00977127"/>
    <w:rsid w:val="00977C39"/>
    <w:rsid w:val="00986925"/>
    <w:rsid w:val="00993FA0"/>
    <w:rsid w:val="009A0527"/>
    <w:rsid w:val="009A12B3"/>
    <w:rsid w:val="009B10F2"/>
    <w:rsid w:val="009B2B16"/>
    <w:rsid w:val="009B72E8"/>
    <w:rsid w:val="009C0491"/>
    <w:rsid w:val="009C234A"/>
    <w:rsid w:val="009C4403"/>
    <w:rsid w:val="009D02F5"/>
    <w:rsid w:val="009E7665"/>
    <w:rsid w:val="009F2FC0"/>
    <w:rsid w:val="00A00FDF"/>
    <w:rsid w:val="00A10B50"/>
    <w:rsid w:val="00A11130"/>
    <w:rsid w:val="00A125BD"/>
    <w:rsid w:val="00A169E8"/>
    <w:rsid w:val="00A20311"/>
    <w:rsid w:val="00A20BEC"/>
    <w:rsid w:val="00A330E6"/>
    <w:rsid w:val="00A330F4"/>
    <w:rsid w:val="00A37DC4"/>
    <w:rsid w:val="00A56102"/>
    <w:rsid w:val="00A65E50"/>
    <w:rsid w:val="00A7310A"/>
    <w:rsid w:val="00A74FF4"/>
    <w:rsid w:val="00A82655"/>
    <w:rsid w:val="00A83199"/>
    <w:rsid w:val="00A838D4"/>
    <w:rsid w:val="00A862F9"/>
    <w:rsid w:val="00AA6AF5"/>
    <w:rsid w:val="00AA6FCE"/>
    <w:rsid w:val="00AB6591"/>
    <w:rsid w:val="00AC0065"/>
    <w:rsid w:val="00AC06EA"/>
    <w:rsid w:val="00AC13C4"/>
    <w:rsid w:val="00AC46CA"/>
    <w:rsid w:val="00AD0647"/>
    <w:rsid w:val="00AD2432"/>
    <w:rsid w:val="00AD2DEC"/>
    <w:rsid w:val="00AE0717"/>
    <w:rsid w:val="00AF248C"/>
    <w:rsid w:val="00AF45C5"/>
    <w:rsid w:val="00B015DB"/>
    <w:rsid w:val="00B04A26"/>
    <w:rsid w:val="00B06315"/>
    <w:rsid w:val="00B06412"/>
    <w:rsid w:val="00B12113"/>
    <w:rsid w:val="00B52CAE"/>
    <w:rsid w:val="00B62814"/>
    <w:rsid w:val="00B6628B"/>
    <w:rsid w:val="00B7073B"/>
    <w:rsid w:val="00B825F1"/>
    <w:rsid w:val="00B87C60"/>
    <w:rsid w:val="00B9112B"/>
    <w:rsid w:val="00B91DEB"/>
    <w:rsid w:val="00B91F88"/>
    <w:rsid w:val="00B95F2F"/>
    <w:rsid w:val="00BA3E90"/>
    <w:rsid w:val="00BA4256"/>
    <w:rsid w:val="00BA53DC"/>
    <w:rsid w:val="00BA55CA"/>
    <w:rsid w:val="00BA6E36"/>
    <w:rsid w:val="00BA78AC"/>
    <w:rsid w:val="00BB20E8"/>
    <w:rsid w:val="00BB3FC3"/>
    <w:rsid w:val="00BC4E8A"/>
    <w:rsid w:val="00BC6514"/>
    <w:rsid w:val="00BE7389"/>
    <w:rsid w:val="00C04060"/>
    <w:rsid w:val="00C06B4A"/>
    <w:rsid w:val="00C124E7"/>
    <w:rsid w:val="00C20B38"/>
    <w:rsid w:val="00C20E4E"/>
    <w:rsid w:val="00C31926"/>
    <w:rsid w:val="00C435B3"/>
    <w:rsid w:val="00C4461B"/>
    <w:rsid w:val="00C464B1"/>
    <w:rsid w:val="00C6718D"/>
    <w:rsid w:val="00C84BC4"/>
    <w:rsid w:val="00C94711"/>
    <w:rsid w:val="00C965D6"/>
    <w:rsid w:val="00C9769E"/>
    <w:rsid w:val="00CB1F72"/>
    <w:rsid w:val="00CB718E"/>
    <w:rsid w:val="00CE0DEF"/>
    <w:rsid w:val="00CE77DB"/>
    <w:rsid w:val="00CF01AF"/>
    <w:rsid w:val="00CF3C16"/>
    <w:rsid w:val="00CF7847"/>
    <w:rsid w:val="00D016AA"/>
    <w:rsid w:val="00D038CA"/>
    <w:rsid w:val="00D210F3"/>
    <w:rsid w:val="00D2113F"/>
    <w:rsid w:val="00D2252C"/>
    <w:rsid w:val="00D22CCB"/>
    <w:rsid w:val="00D2318E"/>
    <w:rsid w:val="00D236FF"/>
    <w:rsid w:val="00D2443E"/>
    <w:rsid w:val="00D24BDD"/>
    <w:rsid w:val="00D27DCB"/>
    <w:rsid w:val="00D337F4"/>
    <w:rsid w:val="00D34256"/>
    <w:rsid w:val="00D34669"/>
    <w:rsid w:val="00D4495D"/>
    <w:rsid w:val="00D46431"/>
    <w:rsid w:val="00D50D90"/>
    <w:rsid w:val="00D55983"/>
    <w:rsid w:val="00D56A4D"/>
    <w:rsid w:val="00D5729A"/>
    <w:rsid w:val="00D84935"/>
    <w:rsid w:val="00D97B94"/>
    <w:rsid w:val="00DA13A2"/>
    <w:rsid w:val="00DA5672"/>
    <w:rsid w:val="00DA6417"/>
    <w:rsid w:val="00DA6A74"/>
    <w:rsid w:val="00DA6BC5"/>
    <w:rsid w:val="00DA7539"/>
    <w:rsid w:val="00DB4165"/>
    <w:rsid w:val="00DC1285"/>
    <w:rsid w:val="00DC1455"/>
    <w:rsid w:val="00DC1E1E"/>
    <w:rsid w:val="00DC5C2B"/>
    <w:rsid w:val="00DC7440"/>
    <w:rsid w:val="00DD6E65"/>
    <w:rsid w:val="00DE1A62"/>
    <w:rsid w:val="00DE265E"/>
    <w:rsid w:val="00DF25B9"/>
    <w:rsid w:val="00DF60D9"/>
    <w:rsid w:val="00E01A2D"/>
    <w:rsid w:val="00E02B5B"/>
    <w:rsid w:val="00E03D00"/>
    <w:rsid w:val="00E07410"/>
    <w:rsid w:val="00E113DD"/>
    <w:rsid w:val="00E15AB8"/>
    <w:rsid w:val="00E22291"/>
    <w:rsid w:val="00E36E93"/>
    <w:rsid w:val="00E51317"/>
    <w:rsid w:val="00E534C3"/>
    <w:rsid w:val="00E61EEF"/>
    <w:rsid w:val="00E62C6A"/>
    <w:rsid w:val="00E65C01"/>
    <w:rsid w:val="00E770BE"/>
    <w:rsid w:val="00E842D9"/>
    <w:rsid w:val="00E857D1"/>
    <w:rsid w:val="00E87587"/>
    <w:rsid w:val="00E90002"/>
    <w:rsid w:val="00E91FF0"/>
    <w:rsid w:val="00EA2D9A"/>
    <w:rsid w:val="00EA57A8"/>
    <w:rsid w:val="00EA6FC6"/>
    <w:rsid w:val="00EB7D23"/>
    <w:rsid w:val="00EC095F"/>
    <w:rsid w:val="00EC0E10"/>
    <w:rsid w:val="00EC298C"/>
    <w:rsid w:val="00EC3177"/>
    <w:rsid w:val="00ED4D3D"/>
    <w:rsid w:val="00ED77AB"/>
    <w:rsid w:val="00ED78C7"/>
    <w:rsid w:val="00F1275D"/>
    <w:rsid w:val="00F15504"/>
    <w:rsid w:val="00F24D6E"/>
    <w:rsid w:val="00F27B7C"/>
    <w:rsid w:val="00F346FE"/>
    <w:rsid w:val="00F40C57"/>
    <w:rsid w:val="00F41C3A"/>
    <w:rsid w:val="00F424A7"/>
    <w:rsid w:val="00F42511"/>
    <w:rsid w:val="00F50A84"/>
    <w:rsid w:val="00F5145A"/>
    <w:rsid w:val="00F53496"/>
    <w:rsid w:val="00F538B0"/>
    <w:rsid w:val="00F5414A"/>
    <w:rsid w:val="00F543B2"/>
    <w:rsid w:val="00F61886"/>
    <w:rsid w:val="00F63801"/>
    <w:rsid w:val="00F77CAF"/>
    <w:rsid w:val="00F80398"/>
    <w:rsid w:val="00F84DBD"/>
    <w:rsid w:val="00F87E65"/>
    <w:rsid w:val="00F91C4B"/>
    <w:rsid w:val="00FA694F"/>
    <w:rsid w:val="00FC0B87"/>
    <w:rsid w:val="00FC1B79"/>
    <w:rsid w:val="00FD645D"/>
    <w:rsid w:val="00FE39A1"/>
    <w:rsid w:val="00FF647E"/>
    <w:rsid w:val="05A22916"/>
    <w:rsid w:val="088A15BB"/>
    <w:rsid w:val="101533B1"/>
    <w:rsid w:val="113B24D4"/>
    <w:rsid w:val="141C58CD"/>
    <w:rsid w:val="17BA3E30"/>
    <w:rsid w:val="18124FB3"/>
    <w:rsid w:val="1AAA4135"/>
    <w:rsid w:val="1EC92F0B"/>
    <w:rsid w:val="24A96E91"/>
    <w:rsid w:val="29503177"/>
    <w:rsid w:val="2ECA234C"/>
    <w:rsid w:val="30463541"/>
    <w:rsid w:val="32851872"/>
    <w:rsid w:val="3538685D"/>
    <w:rsid w:val="360E55BB"/>
    <w:rsid w:val="376F0E29"/>
    <w:rsid w:val="3CC75CC4"/>
    <w:rsid w:val="424B3DD2"/>
    <w:rsid w:val="43312354"/>
    <w:rsid w:val="45570552"/>
    <w:rsid w:val="491C4100"/>
    <w:rsid w:val="4DA96408"/>
    <w:rsid w:val="51702566"/>
    <w:rsid w:val="52A84715"/>
    <w:rsid w:val="5B464E69"/>
    <w:rsid w:val="5FE61766"/>
    <w:rsid w:val="603A624F"/>
    <w:rsid w:val="6412273A"/>
    <w:rsid w:val="65966139"/>
    <w:rsid w:val="6B954470"/>
    <w:rsid w:val="6BDC034B"/>
    <w:rsid w:val="6D336949"/>
    <w:rsid w:val="71A10660"/>
    <w:rsid w:val="7D1E6D02"/>
    <w:rsid w:val="7FBD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407A4"/>
  <w15:docId w15:val="{CEBF93FF-683F-4CC6-82AD-EEBBE4A5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Emphasis"/>
    <w:basedOn w:val="a0"/>
    <w:uiPriority w:val="20"/>
    <w:qFormat/>
    <w:rPr>
      <w:i/>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Style208">
    <w:name w:val="_Style 208"/>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740C3-4074-4742-9D0A-3681DE7CBAD9}">
  <ds:schemaRefs/>
</ds:datastoreItem>
</file>

<file path=customXml/itemProps2.xml><?xml version="1.0" encoding="utf-8"?>
<ds:datastoreItem xmlns:ds="http://schemas.openxmlformats.org/officeDocument/2006/customXml" ds:itemID="{F2B9ABDE-6369-462B-80D0-2B9A7FED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6</Pages>
  <Words>582</Words>
  <Characters>3323</Characters>
  <Application>Microsoft Office Word</Application>
  <DocSecurity>0</DocSecurity>
  <Lines>27</Lines>
  <Paragraphs>7</Paragraphs>
  <ScaleCrop>false</ScaleCrop>
  <Company>中国石油大学</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a46896</cp:lastModifiedBy>
  <cp:revision>135</cp:revision>
  <dcterms:created xsi:type="dcterms:W3CDTF">2023-05-29T08:34:00Z</dcterms:created>
  <dcterms:modified xsi:type="dcterms:W3CDTF">2026-04-28T12:57:00Z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6114F17AAE08435A8E001B9B551F1FF2_13</vt:lpwstr>
  </property>
  <property fmtid="{D5CDD505-2E9C-101B-9397-08002B2CF9AE}" pid="4" name="KSOTemplateDocerSaveRecord">
    <vt:lpwstr>eyJoZGlkIjoiNmNiNjkwMjkyODA3MTc0M2U0MDcxYTA4YzlmNDhjMDYiLCJ1c2VySWQiOiIxMjA5NzE2ODA1In0=</vt:lpwstr>
  </property>
</Properties>
</file>