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BD52" w14:textId="77777777" w:rsidR="008E3110" w:rsidRDefault="00000000">
      <w:pPr>
        <w:spacing w:beforeLines="50" w:before="120" w:afterLines="50" w:after="120" w:line="360" w:lineRule="auto"/>
        <w:jc w:val="both"/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688</w:t>
      </w:r>
      <w:r>
        <w:rPr>
          <w:rFonts w:ascii="宋体" w:eastAsia="宋体" w:hAnsi="宋体" w:cs="宋体"/>
          <w:sz w:val="24"/>
        </w:rPr>
        <w:t>607                                   证券简称：</w:t>
      </w:r>
      <w:r>
        <w:rPr>
          <w:rFonts w:ascii="宋体" w:eastAsia="宋体" w:hAnsi="宋体" w:cs="宋体" w:hint="eastAsia"/>
          <w:sz w:val="24"/>
        </w:rPr>
        <w:t>康众医疗</w:t>
      </w:r>
    </w:p>
    <w:p w14:paraId="7ECC9D92" w14:textId="77777777" w:rsidR="008E3110" w:rsidRDefault="00000000">
      <w:pPr>
        <w:spacing w:beforeLines="50" w:before="120" w:afterLines="50" w:after="120" w:line="360" w:lineRule="auto"/>
        <w:jc w:val="center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江苏康众数字医疗</w:t>
      </w:r>
      <w:r>
        <w:rPr>
          <w:rFonts w:ascii="宋体" w:eastAsia="宋体" w:hAnsi="宋体" w:cs="宋体"/>
          <w:b/>
          <w:sz w:val="28"/>
          <w:szCs w:val="28"/>
        </w:rPr>
        <w:t>科技股份有限公司投资者关系活动记录表</w:t>
      </w:r>
    </w:p>
    <w:p w14:paraId="0AC5DF61" w14:textId="638A50B6" w:rsidR="008E3110" w:rsidRDefault="00000000" w:rsidP="00EC730F">
      <w:pPr>
        <w:spacing w:after="0" w:line="240" w:lineRule="auto"/>
        <w:ind w:right="120"/>
        <w:jc w:val="right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编号：</w:t>
      </w:r>
      <w:r w:rsidR="00EC730F">
        <w:rPr>
          <w:rFonts w:ascii="宋体" w:eastAsia="宋体" w:hAnsi="宋体" w:cs="宋体" w:hint="eastAsia"/>
          <w:sz w:val="24"/>
          <w:szCs w:val="24"/>
        </w:rPr>
        <w:t>2026-001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Style w:val="TableGrid"/>
        <w:tblW w:w="5016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3611"/>
        <w:gridCol w:w="4695"/>
      </w:tblGrid>
      <w:tr w:rsidR="008E3110" w14:paraId="520A6527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64175118" w14:textId="77777777" w:rsidR="008E3110" w:rsidRDefault="0000000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投资者关系活动类别</w:t>
            </w:r>
          </w:p>
        </w:tc>
        <w:tc>
          <w:tcPr>
            <w:tcW w:w="2825" w:type="pct"/>
            <w:vAlign w:val="center"/>
          </w:tcPr>
          <w:p w14:paraId="6D8F0325" w14:textId="77777777" w:rsidR="008E3110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特定对象调研        □分析师会议 </w:t>
            </w:r>
          </w:p>
          <w:p w14:paraId="2278A532" w14:textId="77777777" w:rsidR="008E3110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□媒体采访            □业绩说明会 </w:t>
            </w:r>
          </w:p>
          <w:p w14:paraId="0966214B" w14:textId="77777777" w:rsidR="008E3110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□新闻发布会          □路演活动 </w:t>
            </w:r>
          </w:p>
          <w:p w14:paraId="2E180194" w14:textId="77777777" w:rsidR="008E3110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现场参观            □一对一沟通 </w:t>
            </w:r>
          </w:p>
          <w:p w14:paraId="6A01619B" w14:textId="77777777" w:rsidR="008E3110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□其他  </w:t>
            </w:r>
          </w:p>
        </w:tc>
      </w:tr>
      <w:tr w:rsidR="008E3110" w14:paraId="4FC9ABFB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73D76DF2" w14:textId="77777777" w:rsidR="008E3110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参与单位</w:t>
            </w:r>
          </w:p>
        </w:tc>
        <w:tc>
          <w:tcPr>
            <w:tcW w:w="2825" w:type="pct"/>
            <w:vAlign w:val="center"/>
          </w:tcPr>
          <w:p w14:paraId="2AA1C285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财通资管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>支君</w:t>
            </w:r>
          </w:p>
          <w:p w14:paraId="1AB0277C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磐耀资产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>陈浩</w:t>
            </w:r>
          </w:p>
          <w:p w14:paraId="72E7783E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杭银理财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>王哲</w:t>
            </w:r>
          </w:p>
          <w:p w14:paraId="34FCC534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广发基金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>周飞</w:t>
            </w:r>
          </w:p>
          <w:p w14:paraId="60263E45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东方证券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>李峰</w:t>
            </w:r>
          </w:p>
          <w:p w14:paraId="362FC9DD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华福证券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>王艳</w:t>
            </w:r>
          </w:p>
          <w:p w14:paraId="1603175F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柏乔投资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杨威</w:t>
            </w:r>
          </w:p>
          <w:p w14:paraId="0FA4516F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中信建投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eastAsia="宋体"/>
                <w:sz w:val="24"/>
                <w:szCs w:val="24"/>
              </w:rPr>
              <w:t>朱红亮</w:t>
            </w:r>
          </w:p>
          <w:p w14:paraId="2DD4D276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德邦基金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>揭诗琪</w:t>
            </w:r>
          </w:p>
          <w:p w14:paraId="589AC91D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财通基金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王靖瑄</w:t>
            </w:r>
          </w:p>
          <w:p w14:paraId="45224BFB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姚泾河投资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周小钢</w:t>
            </w:r>
          </w:p>
        </w:tc>
      </w:tr>
      <w:tr w:rsidR="008E3110" w14:paraId="10527E8D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06D7A72F" w14:textId="77777777" w:rsidR="008E3110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825" w:type="pct"/>
            <w:vAlign w:val="center"/>
          </w:tcPr>
          <w:p w14:paraId="1A35783D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2026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 w:hint="eastAsia"/>
                <w:sz w:val="24"/>
                <w:szCs w:val="24"/>
              </w:rPr>
              <w:t>4</w:t>
            </w:r>
            <w:r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 w:hint="eastAsia"/>
                <w:sz w:val="24"/>
                <w:szCs w:val="24"/>
              </w:rPr>
              <w:t>28</w:t>
            </w:r>
            <w:r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8E3110" w14:paraId="46AC1A22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47CD9827" w14:textId="77777777" w:rsidR="008E3110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地点</w:t>
            </w:r>
          </w:p>
        </w:tc>
        <w:tc>
          <w:tcPr>
            <w:tcW w:w="2825" w:type="pct"/>
            <w:vAlign w:val="center"/>
          </w:tcPr>
          <w:p w14:paraId="3552DB19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康众医疗总部（苏州市吴中区淞北路</w:t>
            </w:r>
            <w:r>
              <w:rPr>
                <w:rFonts w:eastAsia="宋体" w:hint="eastAsia"/>
                <w:sz w:val="24"/>
                <w:szCs w:val="24"/>
              </w:rPr>
              <w:t>15</w:t>
            </w:r>
            <w:r>
              <w:rPr>
                <w:rFonts w:eastAsia="宋体" w:hint="eastAsia"/>
                <w:sz w:val="24"/>
                <w:szCs w:val="24"/>
              </w:rPr>
              <w:t>号）及线上会议</w:t>
            </w:r>
          </w:p>
        </w:tc>
      </w:tr>
      <w:tr w:rsidR="008E3110" w14:paraId="151CFDEB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53737234" w14:textId="77777777" w:rsidR="008E3110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接待人员</w:t>
            </w:r>
          </w:p>
        </w:tc>
        <w:tc>
          <w:tcPr>
            <w:tcW w:w="2825" w:type="pct"/>
            <w:vAlign w:val="center"/>
          </w:tcPr>
          <w:p w14:paraId="0EF1054B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董事长：刘建强</w:t>
            </w:r>
          </w:p>
          <w:p w14:paraId="4F64BDE6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脉得智能董事长：陈咏虹</w:t>
            </w:r>
          </w:p>
          <w:p w14:paraId="66D60E79" w14:textId="77777777" w:rsidR="008E3110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康众医能战略顾问：王明辉</w:t>
            </w:r>
          </w:p>
          <w:p w14:paraId="49C491DF" w14:textId="77777777" w:rsidR="008E3110" w:rsidRDefault="00000000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IR</w:t>
            </w:r>
            <w:r>
              <w:rPr>
                <w:rFonts w:eastAsia="宋体" w:hint="eastAsia"/>
                <w:sz w:val="24"/>
                <w:szCs w:val="24"/>
              </w:rPr>
              <w:t>：李秀新</w:t>
            </w:r>
          </w:p>
        </w:tc>
      </w:tr>
      <w:tr w:rsidR="008E3110" w14:paraId="560AFB6F" w14:textId="77777777">
        <w:trPr>
          <w:trHeight w:val="90"/>
          <w:jc w:val="center"/>
        </w:trPr>
        <w:tc>
          <w:tcPr>
            <w:tcW w:w="5000" w:type="pct"/>
            <w:gridSpan w:val="2"/>
            <w:vAlign w:val="center"/>
          </w:tcPr>
          <w:p w14:paraId="1445D50C" w14:textId="77777777" w:rsidR="008E3110" w:rsidRDefault="00000000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投资者关系活动主要内容介绍</w:t>
            </w:r>
          </w:p>
        </w:tc>
      </w:tr>
      <w:tr w:rsidR="008E3110" w14:paraId="57F7BAA4" w14:textId="77777777">
        <w:trPr>
          <w:trHeight w:val="397"/>
          <w:jc w:val="center"/>
        </w:trPr>
        <w:tc>
          <w:tcPr>
            <w:tcW w:w="5000" w:type="pct"/>
            <w:gridSpan w:val="2"/>
          </w:tcPr>
          <w:p w14:paraId="7E5CB580" w14:textId="77777777" w:rsidR="008E3110" w:rsidRDefault="00000000">
            <w:pPr>
              <w:spacing w:before="80" w:after="40" w:line="276" w:lineRule="auto"/>
              <w:jc w:val="both"/>
            </w:pPr>
            <w:r>
              <w:rPr>
                <w:rFonts w:ascii="宋体" w:eastAsia="宋体" w:hAnsi="宋体"/>
                <w:b/>
                <w:sz w:val="24"/>
              </w:rPr>
              <w:t>1、简要介绍公司的战略规划？</w:t>
            </w:r>
          </w:p>
          <w:p w14:paraId="45ABEA15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回复：公司正围绕“创新影像硬件系统+AI辅助诊断+基层医疗服务”推进战略升级，从传统医学影像硬件制造商向智能化诊断解决方案提供商转型。公司长期积累了数字化X射线平板探测器、影像链路工程化、整机系统集成及创新硬件开发能力，并已开始围绕AI诊断需求重构硬件产品设计逻辑，即从“为医生提供成像设备”进一步延伸为“为AI设计诊断机器”。在X光领域，公司已发布和布局一系列面向基层场景的创新硬件系统，目标是通过更高效、标准</w:t>
            </w:r>
            <w:r>
              <w:rPr>
                <w:rFonts w:ascii="宋体" w:eastAsia="宋体" w:hAnsi="宋体"/>
                <w:sz w:val="24"/>
              </w:rPr>
              <w:lastRenderedPageBreak/>
              <w:t>化、智能化的数据采集和辅助诊断能力，更好辅助医生提升诊疗效率和质量，服务基层医疗机构。</w:t>
            </w:r>
          </w:p>
          <w:p w14:paraId="6F4007C2" w14:textId="1F9AADDE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公司</w:t>
            </w:r>
            <w:r w:rsidR="00A438CC">
              <w:rPr>
                <w:rFonts w:ascii="宋体" w:eastAsia="宋体" w:hAnsi="宋体" w:hint="eastAsia"/>
                <w:sz w:val="24"/>
              </w:rPr>
              <w:t>收购</w:t>
            </w:r>
            <w:r>
              <w:rPr>
                <w:rFonts w:ascii="宋体" w:eastAsia="宋体" w:hAnsi="宋体"/>
                <w:sz w:val="24"/>
              </w:rPr>
              <w:t>并深度整合脉得智能，是上述战略升级的重要组成部分。脉得智能在超声AI、标准化质控、高质量医疗数据集建设及AI算法工程化方面形成了较强积累。公司与脉得智能</w:t>
            </w:r>
            <w:r>
              <w:rPr>
                <w:rFonts w:ascii="宋体" w:eastAsia="宋体" w:hAnsi="宋体" w:hint="eastAsia"/>
                <w:sz w:val="24"/>
              </w:rPr>
              <w:t>正</w:t>
            </w:r>
            <w:r>
              <w:rPr>
                <w:rFonts w:ascii="宋体" w:eastAsia="宋体" w:hAnsi="宋体"/>
                <w:sz w:val="24"/>
              </w:rPr>
              <w:t>围绕产品、数据、研发、市场等方面开展深度整合，显著增强公司在超声影像数据模态、医疗AI研发团队和基层超声应用场景方面的能力，使公司在原有X光影像硬件与数据基础上，进一步扩展至超声模态，正在逐步形成“X光+超声+AI质控+辅助诊断+结构化数据”的多模态能力，为公司中期打造多模态融合诊断系统奠定重要基础。</w:t>
            </w:r>
          </w:p>
          <w:p w14:paraId="06769F68" w14:textId="77777777" w:rsidR="008E3110" w:rsidRDefault="00000000">
            <w:pPr>
              <w:spacing w:before="80" w:after="40" w:line="276" w:lineRule="auto"/>
              <w:jc w:val="both"/>
            </w:pPr>
            <w:r>
              <w:rPr>
                <w:rFonts w:ascii="宋体" w:eastAsia="宋体" w:hAnsi="宋体"/>
                <w:b/>
                <w:sz w:val="24"/>
              </w:rPr>
              <w:t>2、简要介绍脉得智能的产品？</w:t>
            </w:r>
          </w:p>
          <w:p w14:paraId="0FCE0B10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回复：脉得智能的产品体系主要围绕超声检查标准化、AI质控、AI辅助诊断和体检流程智能化展开，核心目标是提升基层及区域医疗场景下超声检查的规范性、效率和诊断辅助能力。</w:t>
            </w:r>
          </w:p>
          <w:p w14:paraId="6E8B13B7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1）超声质控系统：旨在提升基层超声检查的标准化和质量控制水平。质控系统（声奈特）能够动态识别超声检查中的探头切面规范性、图像清晰度、标准切面留存完整性，从源头确保检查数据质量；针对报告撰写，系统内置标准化术语库与逻辑校验模块，可辅助纠正术语不统一、描述不严谨等问题，提升医生操作与报告的合规水平。</w:t>
            </w:r>
          </w:p>
          <w:p w14:paraId="68804871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（2）体检全流程AI解决方案（让娜）：利用AI技术优化体检流程，围绕超声AI辅助分析、智能质控、标准留图、结构化报告生成及报告审核解读等环节，提高体检效率和筛查准确率。</w:t>
            </w:r>
          </w:p>
          <w:p w14:paraId="1C6805B9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3）AI辅助诊断系统：基于国家药监局三类证——甲状腺结节超声影像辅助诊断软件，具备实时动态分析、高精准度识别和复杂病症辅助判断等功能。其AI给出的良恶性判断与组织病理活检结果具有较高一致性，能够在基层筛查和医生辅助诊断场景中发挥重要作用。</w:t>
            </w:r>
          </w:p>
          <w:p w14:paraId="5DB0488C" w14:textId="77777777" w:rsidR="008E3110" w:rsidRDefault="00000000">
            <w:pPr>
              <w:spacing w:before="80" w:after="40" w:line="276" w:lineRule="auto"/>
              <w:jc w:val="both"/>
            </w:pPr>
            <w:r>
              <w:rPr>
                <w:rFonts w:ascii="宋体" w:eastAsia="宋体" w:hAnsi="宋体"/>
                <w:b/>
                <w:sz w:val="24"/>
              </w:rPr>
              <w:t>3、脉得智能近期有无新的成果发布？</w:t>
            </w:r>
          </w:p>
          <w:p w14:paraId="4EDC017E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回复：脉得智能今年4月作为高质量数据集建设与应用的代表企业，受邀出席在无锡举办的2026年江苏省高质量数据集建设推进会暨数据标注产业供需对接会。会上，公司展示了其基于国家级高质量医疗数据集研发的核心成果——医疗AI智能体“让娜”。“让娜”构建了涵盖超声AI辅助分析、智能质控与报告助手的服务体系，主要功能包括：实时识别甲状腺、乳腺、腹部脏器等标准切面，并依据规范进行图像质控与标准留图；对检查中出现的常见阳性病灶进行辅助检测与标记；集成结构化报告生成、审核与解读功能，有助于提升报告效率与规范性。</w:t>
            </w:r>
          </w:p>
          <w:p w14:paraId="6932286C" w14:textId="77777777" w:rsidR="008E3110" w:rsidRDefault="00000000">
            <w:pPr>
              <w:spacing w:before="80" w:after="40" w:line="276" w:lineRule="auto"/>
              <w:jc w:val="both"/>
            </w:pPr>
            <w:r>
              <w:rPr>
                <w:rFonts w:ascii="宋体" w:eastAsia="宋体" w:hAnsi="宋体"/>
                <w:b/>
                <w:sz w:val="24"/>
              </w:rPr>
              <w:t>4、脉得智能近期有哪些项目合作？</w:t>
            </w:r>
          </w:p>
          <w:p w14:paraId="4445956B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lastRenderedPageBreak/>
              <w:t>回复：近期，脉得智能与无锡市人民医院就“医疗影像高质量数据集”建设项目达成合作，同时联合区域内共9家三甲医院及1家二甲医院，共同探索基于城市医疗集团的AI医疗应用场景与模式创新。</w:t>
            </w:r>
          </w:p>
          <w:p w14:paraId="3C821013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此外，脉得智能与中国移动签署合作协议，共同推进“医疗影像数据中心项目”建设。双方将协同推广脉得智能的AI应用模式，中国移动将助力打通数据传输通道并提供算力支持，以提升整体算力能力与规模；脉得智能则提供相应的AI解决方案与部署方案。此次合作旨在共同构建医疗AI数据应用基础设施。</w:t>
            </w:r>
          </w:p>
          <w:p w14:paraId="64AF7973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今年3月，脉得智能与华为达成健康生态合作。依托华为从网络、计算到存储的全栈ICT底座，集成脉得智能智能超声整体诊疗解决方案，双方共同构建覆盖远程诊断、基层普惠与数据价值挖掘的端到端智能医疗体系。合作将围绕产品采购、算力支撑及医院场景应用三大核心领域展开。</w:t>
            </w:r>
          </w:p>
          <w:p w14:paraId="3AD314BB" w14:textId="77777777" w:rsidR="008E3110" w:rsidRDefault="00000000">
            <w:pPr>
              <w:spacing w:before="80" w:after="40" w:line="276" w:lineRule="auto"/>
              <w:jc w:val="both"/>
            </w:pPr>
            <w:r>
              <w:rPr>
                <w:rFonts w:ascii="宋体" w:eastAsia="宋体" w:hAnsi="宋体"/>
                <w:b/>
                <w:sz w:val="24"/>
              </w:rPr>
              <w:t>5、如何看待当前医疗AI行业的数据壁垒？</w:t>
            </w:r>
          </w:p>
          <w:p w14:paraId="4ECF2F9C" w14:textId="629FEBB8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回复：医疗AI的核心壁垒不仅在于算法本身，更在于长期、持续、高质量、结构化、可验证的数据体系。脉得智能非常重视高质量结构化数据的积累，严格的数据采集与标</w:t>
            </w:r>
            <w:r w:rsidR="00A438CC">
              <w:rPr>
                <w:rFonts w:ascii="宋体" w:eastAsia="宋体" w:hAnsi="宋体" w:hint="eastAsia"/>
                <w:sz w:val="24"/>
              </w:rPr>
              <w:t>准</w:t>
            </w:r>
            <w:r>
              <w:rPr>
                <w:rFonts w:ascii="宋体" w:eastAsia="宋体" w:hAnsi="宋体"/>
                <w:sz w:val="24"/>
              </w:rPr>
              <w:t>体系</w:t>
            </w:r>
            <w:r w:rsidR="00A438CC">
              <w:rPr>
                <w:rFonts w:ascii="宋体" w:eastAsia="宋体" w:hAnsi="宋体" w:hint="eastAsia"/>
                <w:sz w:val="24"/>
              </w:rPr>
              <w:t>的</w:t>
            </w:r>
            <w:r w:rsidR="001E2D48">
              <w:rPr>
                <w:rFonts w:ascii="宋体" w:eastAsia="宋体" w:hAnsi="宋体" w:hint="eastAsia"/>
                <w:sz w:val="24"/>
              </w:rPr>
              <w:t>建立</w:t>
            </w:r>
            <w:r>
              <w:rPr>
                <w:rFonts w:ascii="宋体" w:eastAsia="宋体" w:hAnsi="宋体"/>
                <w:sz w:val="24"/>
              </w:rPr>
              <w:t>，并通过与权威医院合作，获取包含金标准的高质量数据集。此类数据既能够提升模型训练质量，也能够支撑产品注册、临床验证和真实世界应用迭代。</w:t>
            </w:r>
          </w:p>
          <w:p w14:paraId="7D62602A" w14:textId="2C22D234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对康众医疗而言，</w:t>
            </w:r>
            <w:r w:rsidR="00A438CC">
              <w:rPr>
                <w:rFonts w:ascii="宋体" w:eastAsia="宋体" w:hAnsi="宋体" w:hint="eastAsia"/>
                <w:sz w:val="24"/>
              </w:rPr>
              <w:t>收购</w:t>
            </w:r>
            <w:r>
              <w:rPr>
                <w:rFonts w:ascii="宋体" w:eastAsia="宋体" w:hAnsi="宋体"/>
                <w:sz w:val="24"/>
              </w:rPr>
              <w:t>并深度整合脉得智能的战略意义之一，是将公司在X光影像硬件、影像链路和数据采集方面的长期积累，与脉得</w:t>
            </w:r>
            <w:r w:rsidR="00A438CC">
              <w:rPr>
                <w:rFonts w:ascii="宋体" w:eastAsia="宋体" w:hAnsi="宋体" w:hint="eastAsia"/>
                <w:sz w:val="24"/>
              </w:rPr>
              <w:t>智能</w:t>
            </w:r>
            <w:r>
              <w:rPr>
                <w:rFonts w:ascii="宋体" w:eastAsia="宋体" w:hAnsi="宋体"/>
                <w:sz w:val="24"/>
              </w:rPr>
              <w:t>在超声标准切面、图像质控、结构化报告和金标准数据方面的积累结合起来。</w:t>
            </w:r>
            <w:r>
              <w:rPr>
                <w:rFonts w:ascii="宋体" w:eastAsia="宋体" w:hAnsi="宋体" w:hint="eastAsia"/>
                <w:sz w:val="24"/>
              </w:rPr>
              <w:t>未来</w:t>
            </w:r>
            <w:r>
              <w:rPr>
                <w:rFonts w:ascii="宋体" w:eastAsia="宋体" w:hAnsi="宋体"/>
                <w:sz w:val="24"/>
              </w:rPr>
              <w:t>随着双方整合持续深化，公司</w:t>
            </w:r>
            <w:r>
              <w:rPr>
                <w:rFonts w:ascii="宋体" w:eastAsia="宋体" w:hAnsi="宋体" w:hint="eastAsia"/>
                <w:sz w:val="24"/>
              </w:rPr>
              <w:t>将</w:t>
            </w:r>
            <w:r>
              <w:rPr>
                <w:rFonts w:ascii="宋体" w:eastAsia="宋体" w:hAnsi="宋体"/>
                <w:sz w:val="24"/>
              </w:rPr>
              <w:t>在多影像模态、高质量数据集和基层诊疗应用场景之间形成更强协同，为后续多模态AI诊断系统研发提供数据基础。</w:t>
            </w:r>
          </w:p>
          <w:p w14:paraId="42102C0F" w14:textId="77777777" w:rsidR="008E3110" w:rsidRDefault="00000000">
            <w:pPr>
              <w:spacing w:before="80" w:after="40" w:line="276" w:lineRule="auto"/>
              <w:jc w:val="both"/>
            </w:pPr>
            <w:r>
              <w:rPr>
                <w:rFonts w:ascii="宋体" w:eastAsia="宋体" w:hAnsi="宋体"/>
                <w:b/>
                <w:sz w:val="24"/>
              </w:rPr>
              <w:t>6、脉得智能今年的经营计划是什么？</w:t>
            </w:r>
          </w:p>
          <w:p w14:paraId="01771E95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回复：脉得智能自2025年12月成功中标温州市鹿城区人民医院“超声AI远程诊断及区域AI质控统计分析系统”采购项目后，正在采取“以点带面”的推广策略，计划在全国重点区域复制成功案例。今年的重点在于市场开拓、标杆区域示范、基层医生培训以及临床数据持续积累，并通过大规模临床验证和数据迭代，加速相关产品注册证（二/三类）的获批进程。</w:t>
            </w:r>
          </w:p>
          <w:p w14:paraId="51DCF984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在与公司协同方面，康众医疗正结合自身基层医疗场景、渠道服务能力和硬件产品体系，协同脉得智能提高产品落地效率，并推动超声AI与公司现有X光创新硬件、基层医疗服务体系形成组合式解决方案。</w:t>
            </w:r>
          </w:p>
          <w:p w14:paraId="255D306C" w14:textId="77777777" w:rsidR="008E3110" w:rsidRDefault="00000000">
            <w:pPr>
              <w:spacing w:before="80" w:after="40" w:line="276" w:lineRule="auto"/>
              <w:jc w:val="both"/>
            </w:pPr>
            <w:r>
              <w:rPr>
                <w:rFonts w:ascii="宋体" w:eastAsia="宋体" w:hAnsi="宋体"/>
                <w:b/>
                <w:sz w:val="24"/>
              </w:rPr>
              <w:t>7、公司与脉得智能整合后如何展开合作？</w:t>
            </w:r>
          </w:p>
          <w:p w14:paraId="03175AA8" w14:textId="4EE6DEFE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回复：本次</w:t>
            </w:r>
            <w:r w:rsidR="00A438CC">
              <w:rPr>
                <w:rFonts w:ascii="宋体" w:eastAsia="宋体" w:hAnsi="宋体" w:hint="eastAsia"/>
                <w:sz w:val="24"/>
              </w:rPr>
              <w:t>收购</w:t>
            </w:r>
            <w:r>
              <w:rPr>
                <w:rFonts w:ascii="宋体" w:eastAsia="宋体" w:hAnsi="宋体"/>
                <w:sz w:val="24"/>
              </w:rPr>
              <w:t>的战略价值，不是简单增加一个超声AI产品线，而是补齐公司从“创新硬件系统”走向“多模态智能诊断系统”的关键拼图。公司与脉得</w:t>
            </w:r>
            <w:r>
              <w:rPr>
                <w:rFonts w:ascii="宋体" w:eastAsia="宋体" w:hAnsi="宋体"/>
                <w:sz w:val="24"/>
              </w:rPr>
              <w:lastRenderedPageBreak/>
              <w:t>智能已进入深度整合阶段，正在从产品、数据、研发、市场四个层面系统推进：</w:t>
            </w:r>
          </w:p>
          <w:p w14:paraId="31FD9415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1）产品协同：公司在X光影像硬件、创新硬件系统、整机工程化和基层应用场景方面具备积累，脉得智能在超声AI、智能质控和辅助诊断方面具备优势。双方深度协同正在推动公司逐步形成覆盖X光、超声等影像模态的基层智能诊断产品组合。</w:t>
            </w:r>
          </w:p>
          <w:p w14:paraId="6826B42F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2）数据协同：脉得智能在超声标准切面、图像质控、结构化报告和包含病理金标准的数据体系方面的积累，正在显著增强公司的数据模态丰富度和模型训练、验证基础。公司原有X光影像数据能力与脉得超声数据能力的结合，正在为多模态融合诊断系统建设提供更高质量的数据支撑。</w:t>
            </w:r>
          </w:p>
          <w:p w14:paraId="2FDB55A7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3）研发协同：脉得智能的AI开发团队正在帮助公司进一步从传统硬件产品开发走向“硬件为AI而设计、AI反向定义硬件”的研发范式。双方正围绕X光、超声及其他基层高频检查场景，共同推进边缘计算、实时质控、AI辅助诊断、报告自动化和多模态模型融合等能力建设。</w:t>
            </w:r>
          </w:p>
          <w:p w14:paraId="0C71B4B3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（4）市场协同：公司正依托康众医能等渠道和基层医疗场景资源，推动脉得智能超声AI产品在基层医疗市场落地；脉得智能已验证的超声AI产品和服务模式，也正在增强公司面向区域医疗、基层筛查、体检中心和医疗集团的整体解决方案能力。</w:t>
            </w:r>
          </w:p>
          <w:p w14:paraId="012DE004" w14:textId="77777777" w:rsidR="008E3110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/>
                <w:sz w:val="24"/>
              </w:rPr>
              <w:t>整合节奏上，双方已按“分阶段、渐进式”的路径推进：短期聚焦渠道协同、产品导入和重点区域示范；中期推进X光与超声数据、算法和硬件系统融合；长期目标是打造可持续迭代的多模态智能诊断系统，提升基层医疗服务效率和诊断标准化水平。</w:t>
            </w:r>
          </w:p>
        </w:tc>
      </w:tr>
      <w:tr w:rsidR="008E3110" w14:paraId="1A8CAD92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55C00077" w14:textId="77777777" w:rsidR="008E3110" w:rsidRDefault="00000000">
            <w:pPr>
              <w:spacing w:after="0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2825" w:type="pct"/>
            <w:vAlign w:val="center"/>
          </w:tcPr>
          <w:p w14:paraId="41DEC732" w14:textId="77777777" w:rsidR="008E3110" w:rsidRDefault="008E3110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8E3110" w14:paraId="71205F35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21EB7CCD" w14:textId="77777777" w:rsidR="008E3110" w:rsidRDefault="00000000">
            <w:pPr>
              <w:spacing w:after="0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2825" w:type="pct"/>
            <w:vAlign w:val="center"/>
          </w:tcPr>
          <w:p w14:paraId="621F983E" w14:textId="77777777" w:rsidR="008E3110" w:rsidRDefault="00000000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</w:t>
            </w:r>
            <w:r>
              <w:rPr>
                <w:rFonts w:ascii="宋体" w:eastAsia="宋体" w:hAnsi="宋体" w:cs="宋体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28</w:t>
            </w:r>
            <w:r>
              <w:rPr>
                <w:rFonts w:ascii="宋体" w:eastAsia="宋体" w:hAnsi="宋体" w:cs="宋体"/>
                <w:sz w:val="24"/>
              </w:rPr>
              <w:t>日</w:t>
            </w:r>
          </w:p>
        </w:tc>
      </w:tr>
    </w:tbl>
    <w:p w14:paraId="01F1688C" w14:textId="77777777" w:rsidR="008E3110" w:rsidRDefault="008E3110">
      <w:pPr>
        <w:spacing w:after="0"/>
        <w:jc w:val="both"/>
      </w:pPr>
    </w:p>
    <w:sectPr w:rsidR="008E3110"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A969" w14:textId="77777777" w:rsidR="00300E83" w:rsidRDefault="00300E83">
      <w:pPr>
        <w:spacing w:line="240" w:lineRule="auto"/>
      </w:pPr>
      <w:r>
        <w:separator/>
      </w:r>
    </w:p>
  </w:endnote>
  <w:endnote w:type="continuationSeparator" w:id="0">
    <w:p w14:paraId="0F8057A5" w14:textId="77777777" w:rsidR="00300E83" w:rsidRDefault="00300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3226" w14:textId="77777777" w:rsidR="00300E83" w:rsidRDefault="00300E83">
      <w:pPr>
        <w:spacing w:after="0"/>
      </w:pPr>
      <w:r>
        <w:separator/>
      </w:r>
    </w:p>
  </w:footnote>
  <w:footnote w:type="continuationSeparator" w:id="0">
    <w:p w14:paraId="6DEC50C0" w14:textId="77777777" w:rsidR="00300E83" w:rsidRDefault="00300E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E20EC"/>
    <w:rsid w:val="0012282F"/>
    <w:rsid w:val="00143A17"/>
    <w:rsid w:val="001E2D48"/>
    <w:rsid w:val="002C7A59"/>
    <w:rsid w:val="00300E83"/>
    <w:rsid w:val="003C4DC7"/>
    <w:rsid w:val="005B4516"/>
    <w:rsid w:val="006B15E8"/>
    <w:rsid w:val="006E45BA"/>
    <w:rsid w:val="006E7E2B"/>
    <w:rsid w:val="00732B07"/>
    <w:rsid w:val="00765771"/>
    <w:rsid w:val="008E3110"/>
    <w:rsid w:val="009C1CDF"/>
    <w:rsid w:val="00A438CC"/>
    <w:rsid w:val="00A54DA5"/>
    <w:rsid w:val="00B50CAF"/>
    <w:rsid w:val="00BE6EB3"/>
    <w:rsid w:val="00C94CAE"/>
    <w:rsid w:val="00E0201F"/>
    <w:rsid w:val="00E12638"/>
    <w:rsid w:val="00EC730F"/>
    <w:rsid w:val="0393640F"/>
    <w:rsid w:val="03A85738"/>
    <w:rsid w:val="03AD10E5"/>
    <w:rsid w:val="062F1292"/>
    <w:rsid w:val="0766087E"/>
    <w:rsid w:val="07D74BD2"/>
    <w:rsid w:val="083E2F6B"/>
    <w:rsid w:val="088F37C7"/>
    <w:rsid w:val="08F04266"/>
    <w:rsid w:val="09A1725A"/>
    <w:rsid w:val="09F62C0E"/>
    <w:rsid w:val="0AB51CD2"/>
    <w:rsid w:val="0C8F023A"/>
    <w:rsid w:val="0E265BA8"/>
    <w:rsid w:val="0F04350F"/>
    <w:rsid w:val="0F0A5C29"/>
    <w:rsid w:val="12FE2C52"/>
    <w:rsid w:val="141379A2"/>
    <w:rsid w:val="16225115"/>
    <w:rsid w:val="167E0D44"/>
    <w:rsid w:val="16813D27"/>
    <w:rsid w:val="172906EC"/>
    <w:rsid w:val="183C554F"/>
    <w:rsid w:val="1ACB068F"/>
    <w:rsid w:val="1C465FC9"/>
    <w:rsid w:val="1C7D58D7"/>
    <w:rsid w:val="1D594678"/>
    <w:rsid w:val="1E200CF1"/>
    <w:rsid w:val="20EF6679"/>
    <w:rsid w:val="21335230"/>
    <w:rsid w:val="21D963F2"/>
    <w:rsid w:val="220C2B08"/>
    <w:rsid w:val="232D01A6"/>
    <w:rsid w:val="24250489"/>
    <w:rsid w:val="25A9183B"/>
    <w:rsid w:val="272F4DFF"/>
    <w:rsid w:val="27C7526B"/>
    <w:rsid w:val="28300D49"/>
    <w:rsid w:val="291D5E12"/>
    <w:rsid w:val="29486A84"/>
    <w:rsid w:val="2C3F74E5"/>
    <w:rsid w:val="2E443808"/>
    <w:rsid w:val="2F120BC6"/>
    <w:rsid w:val="2F374163"/>
    <w:rsid w:val="31277A6D"/>
    <w:rsid w:val="31480833"/>
    <w:rsid w:val="328D4906"/>
    <w:rsid w:val="33326771"/>
    <w:rsid w:val="33ED3A8A"/>
    <w:rsid w:val="34CC177B"/>
    <w:rsid w:val="36C21264"/>
    <w:rsid w:val="38060AE2"/>
    <w:rsid w:val="3944674A"/>
    <w:rsid w:val="3A0164D6"/>
    <w:rsid w:val="3BA47F47"/>
    <w:rsid w:val="3D396A0A"/>
    <w:rsid w:val="3D6B054C"/>
    <w:rsid w:val="3E964C3B"/>
    <w:rsid w:val="3FCD52EF"/>
    <w:rsid w:val="40730CFD"/>
    <w:rsid w:val="40820021"/>
    <w:rsid w:val="41847415"/>
    <w:rsid w:val="42161379"/>
    <w:rsid w:val="429D6505"/>
    <w:rsid w:val="44930287"/>
    <w:rsid w:val="46CE0352"/>
    <w:rsid w:val="474B2FD1"/>
    <w:rsid w:val="47B972D2"/>
    <w:rsid w:val="48761676"/>
    <w:rsid w:val="4B90799F"/>
    <w:rsid w:val="50ED61DF"/>
    <w:rsid w:val="51326CC3"/>
    <w:rsid w:val="51350D3F"/>
    <w:rsid w:val="515526FB"/>
    <w:rsid w:val="519F5DF6"/>
    <w:rsid w:val="55525286"/>
    <w:rsid w:val="557E0544"/>
    <w:rsid w:val="55B74816"/>
    <w:rsid w:val="55F9697E"/>
    <w:rsid w:val="57060E24"/>
    <w:rsid w:val="581846D9"/>
    <w:rsid w:val="59381C91"/>
    <w:rsid w:val="59B03888"/>
    <w:rsid w:val="5A89578F"/>
    <w:rsid w:val="5A9B1124"/>
    <w:rsid w:val="5E716381"/>
    <w:rsid w:val="607E3B0F"/>
    <w:rsid w:val="618464E0"/>
    <w:rsid w:val="61AC7224"/>
    <w:rsid w:val="65426D6C"/>
    <w:rsid w:val="66E83943"/>
    <w:rsid w:val="67AF3547"/>
    <w:rsid w:val="692A3719"/>
    <w:rsid w:val="6AE67270"/>
    <w:rsid w:val="6B8270EE"/>
    <w:rsid w:val="6BCF2A70"/>
    <w:rsid w:val="6BE22CDD"/>
    <w:rsid w:val="6EDE6AF0"/>
    <w:rsid w:val="6FCD7A7D"/>
    <w:rsid w:val="70802F2C"/>
    <w:rsid w:val="720346C8"/>
    <w:rsid w:val="74784BA3"/>
    <w:rsid w:val="74C209E5"/>
    <w:rsid w:val="74FD0501"/>
    <w:rsid w:val="753913DE"/>
    <w:rsid w:val="75803351"/>
    <w:rsid w:val="77077B18"/>
    <w:rsid w:val="77ED4A39"/>
    <w:rsid w:val="78E75F57"/>
    <w:rsid w:val="796F7551"/>
    <w:rsid w:val="7A1B4F29"/>
    <w:rsid w:val="7AAF6D8C"/>
    <w:rsid w:val="7E2D7C04"/>
    <w:rsid w:val="7EDC687C"/>
    <w:rsid w:val="7F2870AA"/>
    <w:rsid w:val="7FE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B89B"/>
  <w15:docId w15:val="{12E6FD01-A4AA-4D5B-9C6A-11A3AACD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kern w:val="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Revision"/>
    <w:hidden/>
    <w:uiPriority w:val="99"/>
    <w:unhideWhenUsed/>
    <w:rsid w:val="009C1CDF"/>
    <w:rPr>
      <w:rFonts w:ascii="Calibri" w:eastAsia="Calibri" w:hAnsi="Calibri" w:cs="Calibri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</Words>
  <Characters>2863</Characters>
  <Application>Microsoft Office Word</Application>
  <DocSecurity>0</DocSecurity>
  <Lines>23</Lines>
  <Paragraphs>6</Paragraphs>
  <ScaleCrop>false</ScaleCrop>
  <Company>QN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Wang Peng</cp:lastModifiedBy>
  <cp:revision>3</cp:revision>
  <dcterms:created xsi:type="dcterms:W3CDTF">2026-04-29T08:23:00Z</dcterms:created>
  <dcterms:modified xsi:type="dcterms:W3CDTF">2026-04-29T08:51:00Z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eyJoZGlkIjoiY2M2ZWQ2NDJkMzFlZDE1MWEzNTgxZDE1OWY2OTEwYjIiLCJ1c2VySWQiOiIxODIzMjYzOTU5In0=</vt:lpwstr>
  </property>
  <property fmtid="{D5CDD505-2E9C-101B-9397-08002B2CF9AE}" pid="3" name="KSOProductBuildVer">
    <vt:lpwstr>2052-12.1.0.25865</vt:lpwstr>
  </property>
  <property fmtid="{D5CDD505-2E9C-101B-9397-08002B2CF9AE}" pid="4" name="ICV">
    <vt:lpwstr>10EFCD3F1D654331A5F347FBE0CD6234_12</vt:lpwstr>
  </property>
</Properties>
</file>