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1264">
      <w:pPr>
        <w:spacing w:before="156" w:beforeLines="50" w:after="156" w:afterLines="50" w:line="400" w:lineRule="exact"/>
        <w:rPr>
          <w:rFonts w:hint="eastAsia" w:ascii="宋体" w:hAnsi="宋体"/>
          <w:bCs/>
          <w:iCs/>
          <w:color w:val="000000"/>
          <w:sz w:val="24"/>
          <w:szCs w:val="22"/>
        </w:rPr>
      </w:pPr>
      <w:r>
        <w:rPr>
          <w:rFonts w:hint="eastAsia" w:ascii="宋体" w:hAnsi="宋体"/>
          <w:bCs/>
          <w:iCs/>
          <w:color w:val="000000"/>
          <w:sz w:val="24"/>
          <w:szCs w:val="22"/>
        </w:rPr>
        <w:t>证券代码：</w:t>
      </w:r>
      <w:r>
        <w:rPr>
          <w:rFonts w:ascii="宋体" w:hAnsi="宋体"/>
          <w:bCs/>
          <w:iCs/>
          <w:color w:val="000000"/>
          <w:sz w:val="24"/>
          <w:szCs w:val="22"/>
        </w:rPr>
        <w:t>688361</w:t>
      </w:r>
      <w:r>
        <w:rPr>
          <w:rFonts w:hint="eastAsia" w:ascii="宋体" w:hAnsi="宋体"/>
          <w:bCs/>
          <w:iCs/>
          <w:color w:val="000000"/>
          <w:sz w:val="24"/>
          <w:szCs w:val="22"/>
        </w:rPr>
        <w:t xml:space="preserve">                         </w:t>
      </w:r>
      <w:r>
        <w:rPr>
          <w:rFonts w:ascii="宋体" w:hAnsi="宋体"/>
          <w:bCs/>
          <w:iCs/>
          <w:color w:val="000000"/>
          <w:sz w:val="24"/>
          <w:szCs w:val="22"/>
        </w:rPr>
        <w:t xml:space="preserve">        </w:t>
      </w:r>
      <w:r>
        <w:rPr>
          <w:rFonts w:hint="eastAsia" w:ascii="宋体" w:hAnsi="宋体"/>
          <w:bCs/>
          <w:iCs/>
          <w:color w:val="000000"/>
          <w:sz w:val="24"/>
          <w:szCs w:val="22"/>
        </w:rPr>
        <w:t>证券简称：中科飞测</w:t>
      </w:r>
    </w:p>
    <w:p w14:paraId="1F7D584D">
      <w:pPr>
        <w:spacing w:line="360" w:lineRule="auto"/>
        <w:ind w:firstLine="482" w:firstLineChars="200"/>
        <w:jc w:val="center"/>
        <w:rPr>
          <w:rFonts w:hint="eastAsia" w:ascii="宋体" w:hAnsi="宋体"/>
          <w:b/>
          <w:bCs/>
          <w:iCs/>
          <w:color w:val="000000"/>
          <w:sz w:val="24"/>
        </w:rPr>
      </w:pPr>
      <w:r>
        <w:rPr>
          <w:rFonts w:hint="eastAsia" w:ascii="宋体" w:hAnsi="宋体"/>
          <w:b/>
          <w:bCs/>
          <w:iCs/>
          <w:color w:val="000000"/>
          <w:sz w:val="24"/>
        </w:rPr>
        <w:t>深圳中科飞测科技股份有限公司投资者关系活动记录表</w:t>
      </w:r>
    </w:p>
    <w:p w14:paraId="26B150E0">
      <w:pPr>
        <w:spacing w:line="400" w:lineRule="exact"/>
        <w:ind w:firstLine="480" w:firstLineChars="200"/>
        <w:rPr>
          <w:bCs/>
          <w:iCs/>
          <w:color w:val="000000"/>
          <w:sz w:val="24"/>
        </w:rPr>
      </w:pPr>
      <w:r>
        <w:rPr>
          <w:rFonts w:hint="eastAsia" w:ascii="宋体" w:hAnsi="宋体"/>
          <w:bCs/>
          <w:iCs/>
          <w:color w:val="000000"/>
          <w:sz w:val="24"/>
        </w:rPr>
        <w:t xml:space="preserve">                                                   </w:t>
      </w:r>
      <w:r>
        <w:rPr>
          <w:bCs/>
          <w:iCs/>
          <w:color w:val="000000"/>
          <w:sz w:val="24"/>
        </w:rPr>
        <w:t>编号：202</w:t>
      </w:r>
      <w:r>
        <w:rPr>
          <w:rFonts w:hint="eastAsia"/>
          <w:bCs/>
          <w:iCs/>
          <w:color w:val="000000"/>
          <w:sz w:val="24"/>
        </w:rPr>
        <w:t>6</w:t>
      </w:r>
      <w:r>
        <w:rPr>
          <w:bCs/>
          <w:iCs/>
          <w:color w:val="000000"/>
          <w:sz w:val="24"/>
        </w:rPr>
        <w:t>-00</w:t>
      </w:r>
      <w:r>
        <w:rPr>
          <w:rFonts w:hint="eastAsia"/>
          <w:bCs/>
          <w:iCs/>
          <w:color w:val="000000"/>
          <w:sz w:val="24"/>
        </w:rPr>
        <w:t>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182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7B785F1D">
            <w:pPr>
              <w:rPr>
                <w:bCs/>
                <w:iCs/>
                <w:color w:val="000000"/>
                <w:szCs w:val="21"/>
              </w:rPr>
            </w:pPr>
            <w:r>
              <w:rPr>
                <w:rFonts w:hint="eastAsia"/>
                <w:bCs/>
                <w:iCs/>
                <w:color w:val="000000"/>
                <w:szCs w:val="21"/>
              </w:rPr>
              <w:t>投资者关系活动类别</w:t>
            </w:r>
          </w:p>
        </w:tc>
        <w:tc>
          <w:tcPr>
            <w:tcW w:w="6614" w:type="dxa"/>
            <w:tcBorders>
              <w:top w:val="single" w:color="auto" w:sz="4" w:space="0"/>
              <w:left w:val="single" w:color="auto" w:sz="4" w:space="0"/>
              <w:bottom w:val="single" w:color="auto" w:sz="4" w:space="0"/>
              <w:right w:val="single" w:color="auto" w:sz="4" w:space="0"/>
            </w:tcBorders>
          </w:tcPr>
          <w:p w14:paraId="53E5CF26">
            <w:pPr>
              <w:spacing w:line="480" w:lineRule="atLeast"/>
              <w:rPr>
                <w:bCs/>
                <w:iCs/>
                <w:color w:val="000000"/>
                <w:szCs w:val="21"/>
              </w:rPr>
            </w:pPr>
            <w:r>
              <w:rPr>
                <w:rFonts w:hint="eastAsia"/>
                <w:bCs/>
                <w:iCs/>
                <w:color w:val="000000"/>
                <w:szCs w:val="21"/>
              </w:rPr>
              <w:t>☑</w:t>
            </w:r>
            <w:r>
              <w:rPr>
                <w:rFonts w:hint="eastAsia"/>
                <w:szCs w:val="21"/>
              </w:rPr>
              <w:t xml:space="preserve">特定对象调研        </w:t>
            </w:r>
            <w:r>
              <w:rPr>
                <w:rFonts w:hint="eastAsia"/>
                <w:bCs/>
                <w:iCs/>
                <w:color w:val="000000"/>
                <w:szCs w:val="21"/>
              </w:rPr>
              <w:t>□</w:t>
            </w:r>
            <w:r>
              <w:rPr>
                <w:rFonts w:hint="eastAsia"/>
                <w:szCs w:val="21"/>
              </w:rPr>
              <w:t>分析师会议</w:t>
            </w:r>
          </w:p>
          <w:p w14:paraId="3248C923">
            <w:pPr>
              <w:spacing w:line="480" w:lineRule="atLeast"/>
              <w:rPr>
                <w:bCs/>
                <w:iCs/>
                <w:color w:val="000000"/>
                <w:szCs w:val="21"/>
              </w:rPr>
            </w:pPr>
            <w:r>
              <w:rPr>
                <w:rFonts w:hint="eastAsia"/>
                <w:bCs/>
                <w:iCs/>
                <w:color w:val="000000"/>
                <w:szCs w:val="21"/>
              </w:rPr>
              <w:t>□</w:t>
            </w:r>
            <w:r>
              <w:rPr>
                <w:rFonts w:hint="eastAsia"/>
                <w:szCs w:val="21"/>
              </w:rPr>
              <w:t xml:space="preserve">媒体采访            </w:t>
            </w:r>
            <w:r>
              <w:rPr>
                <w:rFonts w:hint="eastAsia"/>
                <w:bCs/>
                <w:iCs/>
                <w:color w:val="000000"/>
                <w:szCs w:val="21"/>
              </w:rPr>
              <w:t>□</w:t>
            </w:r>
            <w:r>
              <w:rPr>
                <w:rFonts w:hint="eastAsia"/>
                <w:szCs w:val="21"/>
              </w:rPr>
              <w:t>业绩说明会</w:t>
            </w:r>
          </w:p>
          <w:p w14:paraId="2D58FF82">
            <w:pPr>
              <w:spacing w:line="480" w:lineRule="atLeast"/>
              <w:rPr>
                <w:bCs/>
                <w:iCs/>
                <w:color w:val="000000"/>
                <w:szCs w:val="21"/>
              </w:rPr>
            </w:pPr>
            <w:r>
              <w:rPr>
                <w:rFonts w:hint="eastAsia"/>
                <w:bCs/>
                <w:iCs/>
                <w:color w:val="000000"/>
                <w:szCs w:val="21"/>
              </w:rPr>
              <w:t>□</w:t>
            </w:r>
            <w:r>
              <w:rPr>
                <w:rFonts w:hint="eastAsia"/>
                <w:szCs w:val="21"/>
              </w:rPr>
              <w:t xml:space="preserve">新闻发布会          </w:t>
            </w:r>
            <w:r>
              <w:rPr>
                <w:rFonts w:hint="eastAsia"/>
                <w:bCs/>
                <w:iCs/>
                <w:color w:val="000000"/>
                <w:szCs w:val="21"/>
              </w:rPr>
              <w:t>□</w:t>
            </w:r>
            <w:r>
              <w:rPr>
                <w:rFonts w:hint="eastAsia"/>
                <w:szCs w:val="21"/>
              </w:rPr>
              <w:t>路演活动</w:t>
            </w:r>
          </w:p>
          <w:p w14:paraId="4A4EF61E">
            <w:pPr>
              <w:tabs>
                <w:tab w:val="left" w:pos="3045"/>
                <w:tab w:val="center" w:pos="3199"/>
              </w:tabs>
              <w:spacing w:line="480" w:lineRule="atLeast"/>
              <w:rPr>
                <w:bCs/>
                <w:iCs/>
                <w:color w:val="000000"/>
                <w:szCs w:val="21"/>
              </w:rPr>
            </w:pPr>
            <w:r>
              <w:rPr>
                <w:rFonts w:hint="eastAsia"/>
                <w:bCs/>
                <w:iCs/>
                <w:color w:val="000000"/>
                <w:szCs w:val="21"/>
              </w:rPr>
              <w:t>□</w:t>
            </w:r>
            <w:r>
              <w:rPr>
                <w:rFonts w:hint="eastAsia"/>
                <w:szCs w:val="21"/>
              </w:rPr>
              <w:t>现场参观</w:t>
            </w:r>
            <w:r>
              <w:rPr>
                <w:rFonts w:hint="eastAsia"/>
                <w:bCs/>
                <w:iCs/>
                <w:color w:val="000000"/>
                <w:szCs w:val="21"/>
              </w:rPr>
              <w:tab/>
            </w:r>
          </w:p>
          <w:p w14:paraId="5244B936">
            <w:pPr>
              <w:tabs>
                <w:tab w:val="center" w:pos="3199"/>
              </w:tabs>
              <w:spacing w:line="480" w:lineRule="atLeast"/>
              <w:rPr>
                <w:bCs/>
                <w:iCs/>
                <w:color w:val="000000"/>
                <w:szCs w:val="21"/>
              </w:rPr>
            </w:pPr>
            <w:r>
              <w:rPr>
                <w:rFonts w:hint="eastAsia"/>
                <w:bCs/>
                <w:iCs/>
                <w:color w:val="000000"/>
                <w:szCs w:val="21"/>
                <w:lang w:eastAsia="zh-CN"/>
              </w:rPr>
              <w:t>☑</w:t>
            </w:r>
            <w:r>
              <w:rPr>
                <w:rFonts w:hint="eastAsia"/>
                <w:szCs w:val="21"/>
              </w:rPr>
              <w:t xml:space="preserve">其他 </w:t>
            </w:r>
            <w:r>
              <w:rPr>
                <w:rFonts w:hint="eastAsia"/>
                <w:szCs w:val="21"/>
                <w:u w:val="single"/>
              </w:rPr>
              <w:t>（电话会议）</w:t>
            </w:r>
          </w:p>
        </w:tc>
      </w:tr>
      <w:tr w14:paraId="38C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67C836A8">
            <w:pPr>
              <w:spacing w:line="360" w:lineRule="auto"/>
              <w:rPr>
                <w:bCs/>
                <w:iCs/>
                <w:color w:val="000000"/>
                <w:szCs w:val="21"/>
              </w:rPr>
            </w:pPr>
            <w:r>
              <w:rPr>
                <w:rFonts w:hint="eastAsia"/>
                <w:bCs/>
                <w:iCs/>
                <w:color w:val="000000"/>
                <w:szCs w:val="21"/>
              </w:rPr>
              <w:t>参与单位名称</w:t>
            </w:r>
          </w:p>
        </w:tc>
        <w:tc>
          <w:tcPr>
            <w:tcW w:w="6614" w:type="dxa"/>
            <w:tcBorders>
              <w:top w:val="single" w:color="auto" w:sz="4" w:space="0"/>
              <w:left w:val="single" w:color="auto" w:sz="4" w:space="0"/>
              <w:bottom w:val="single" w:color="auto" w:sz="4" w:space="0"/>
              <w:right w:val="single" w:color="auto" w:sz="4" w:space="0"/>
            </w:tcBorders>
            <w:vAlign w:val="center"/>
          </w:tcPr>
          <w:p w14:paraId="39020624">
            <w:pPr>
              <w:rPr>
                <w:bCs/>
                <w:iCs/>
                <w:color w:val="000000"/>
                <w:szCs w:val="21"/>
              </w:rPr>
            </w:pPr>
            <w:r>
              <w:rPr>
                <w:bCs/>
                <w:iCs/>
                <w:color w:val="000000"/>
                <w:szCs w:val="21"/>
              </w:rPr>
              <w:t>详见附件 1《与会单位名单》</w:t>
            </w:r>
          </w:p>
        </w:tc>
      </w:tr>
      <w:tr w14:paraId="1E7C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03D08DE5">
            <w:pPr>
              <w:spacing w:line="360" w:lineRule="auto"/>
              <w:rPr>
                <w:bCs/>
                <w:iCs/>
                <w:color w:val="000000"/>
                <w:szCs w:val="21"/>
              </w:rPr>
            </w:pPr>
            <w:r>
              <w:rPr>
                <w:rFonts w:hint="eastAsia"/>
                <w:bCs/>
                <w:iCs/>
                <w:color w:val="000000"/>
                <w:szCs w:val="21"/>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72E035CC">
            <w:pPr>
              <w:rPr>
                <w:bCs/>
                <w:iCs/>
                <w:color w:val="000000"/>
                <w:szCs w:val="21"/>
              </w:rPr>
            </w:pPr>
            <w:r>
              <w:rPr>
                <w:bCs/>
                <w:iCs/>
                <w:color w:val="000000"/>
                <w:szCs w:val="21"/>
              </w:rPr>
              <w:t>202</w:t>
            </w:r>
            <w:r>
              <w:rPr>
                <w:rFonts w:hint="eastAsia"/>
                <w:bCs/>
                <w:iCs/>
                <w:color w:val="000000"/>
                <w:szCs w:val="21"/>
              </w:rPr>
              <w:t>6</w:t>
            </w:r>
            <w:r>
              <w:rPr>
                <w:bCs/>
                <w:iCs/>
                <w:color w:val="000000"/>
                <w:szCs w:val="21"/>
              </w:rPr>
              <w:t>年</w:t>
            </w:r>
            <w:r>
              <w:rPr>
                <w:rFonts w:hint="eastAsia"/>
                <w:bCs/>
                <w:iCs/>
                <w:color w:val="000000"/>
                <w:szCs w:val="21"/>
              </w:rPr>
              <w:t>4</w:t>
            </w:r>
            <w:r>
              <w:rPr>
                <w:bCs/>
                <w:iCs/>
                <w:color w:val="000000"/>
                <w:szCs w:val="21"/>
              </w:rPr>
              <w:t>月</w:t>
            </w:r>
            <w:r>
              <w:rPr>
                <w:rFonts w:hint="eastAsia"/>
                <w:bCs/>
                <w:iCs/>
                <w:color w:val="000000"/>
                <w:szCs w:val="21"/>
              </w:rPr>
              <w:t>28</w:t>
            </w:r>
            <w:r>
              <w:rPr>
                <w:bCs/>
                <w:iCs/>
                <w:color w:val="000000"/>
                <w:szCs w:val="21"/>
              </w:rPr>
              <w:t>日</w:t>
            </w:r>
            <w:r>
              <w:rPr>
                <w:rFonts w:hint="eastAsia"/>
                <w:bCs/>
                <w:iCs/>
                <w:color w:val="000000"/>
                <w:szCs w:val="21"/>
              </w:rPr>
              <w:t xml:space="preserve"> 20：00</w:t>
            </w:r>
            <w:bookmarkStart w:id="0" w:name="_GoBack"/>
            <w:bookmarkEnd w:id="0"/>
          </w:p>
        </w:tc>
      </w:tr>
      <w:tr w14:paraId="6B64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341FC8B1">
            <w:pPr>
              <w:spacing w:line="360" w:lineRule="auto"/>
              <w:rPr>
                <w:bCs/>
                <w:iCs/>
                <w:color w:val="000000"/>
                <w:szCs w:val="21"/>
              </w:rPr>
            </w:pPr>
            <w:r>
              <w:rPr>
                <w:rFonts w:hint="eastAsia"/>
                <w:bCs/>
                <w:iCs/>
                <w:color w:val="000000"/>
                <w:szCs w:val="21"/>
              </w:rPr>
              <w:t>地点</w:t>
            </w:r>
          </w:p>
        </w:tc>
        <w:tc>
          <w:tcPr>
            <w:tcW w:w="6614" w:type="dxa"/>
            <w:tcBorders>
              <w:top w:val="single" w:color="auto" w:sz="4" w:space="0"/>
              <w:left w:val="single" w:color="auto" w:sz="4" w:space="0"/>
              <w:bottom w:val="single" w:color="auto" w:sz="4" w:space="0"/>
              <w:right w:val="single" w:color="auto" w:sz="4" w:space="0"/>
            </w:tcBorders>
            <w:vAlign w:val="center"/>
          </w:tcPr>
          <w:p w14:paraId="42630285">
            <w:pPr>
              <w:rPr>
                <w:bCs/>
                <w:iCs/>
                <w:color w:val="000000"/>
                <w:szCs w:val="21"/>
              </w:rPr>
            </w:pPr>
            <w:r>
              <w:rPr>
                <w:rFonts w:hint="eastAsia"/>
                <w:bCs/>
                <w:iCs/>
                <w:color w:val="000000"/>
                <w:szCs w:val="21"/>
              </w:rPr>
              <w:t>中科飞测办公室</w:t>
            </w:r>
          </w:p>
        </w:tc>
      </w:tr>
      <w:tr w14:paraId="1DC9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0AD37F58">
            <w:pPr>
              <w:rPr>
                <w:bCs/>
                <w:iCs/>
                <w:color w:val="000000"/>
                <w:szCs w:val="21"/>
              </w:rPr>
            </w:pPr>
            <w:r>
              <w:rPr>
                <w:rFonts w:hint="eastAsia"/>
                <w:bCs/>
                <w:iCs/>
                <w:color w:val="000000"/>
                <w:szCs w:val="21"/>
              </w:rPr>
              <w:t>上市公司接待人员姓名</w:t>
            </w:r>
          </w:p>
        </w:tc>
        <w:tc>
          <w:tcPr>
            <w:tcW w:w="6614" w:type="dxa"/>
            <w:tcBorders>
              <w:top w:val="single" w:color="auto" w:sz="4" w:space="0"/>
              <w:left w:val="single" w:color="auto" w:sz="4" w:space="0"/>
              <w:bottom w:val="single" w:color="auto" w:sz="4" w:space="0"/>
              <w:right w:val="single" w:color="auto" w:sz="4" w:space="0"/>
            </w:tcBorders>
          </w:tcPr>
          <w:p w14:paraId="00F6259C">
            <w:pPr>
              <w:spacing w:line="480" w:lineRule="atLeast"/>
              <w:rPr>
                <w:bCs/>
                <w:iCs/>
                <w:color w:val="000000"/>
                <w:szCs w:val="21"/>
              </w:rPr>
            </w:pPr>
            <w:r>
              <w:rPr>
                <w:rFonts w:hint="eastAsia"/>
                <w:bCs/>
                <w:iCs/>
                <w:color w:val="000000"/>
                <w:szCs w:val="21"/>
              </w:rPr>
              <w:t>陈 鲁 董事长、总经理</w:t>
            </w:r>
          </w:p>
          <w:p w14:paraId="224C00D8">
            <w:pPr>
              <w:spacing w:line="480" w:lineRule="atLeast"/>
              <w:rPr>
                <w:bCs/>
                <w:iCs/>
                <w:color w:val="000000"/>
                <w:szCs w:val="21"/>
              </w:rPr>
            </w:pPr>
            <w:r>
              <w:rPr>
                <w:rFonts w:hint="eastAsia"/>
                <w:bCs/>
                <w:iCs/>
                <w:color w:val="000000"/>
                <w:szCs w:val="21"/>
              </w:rPr>
              <w:t>古凯男 董事会秘书</w:t>
            </w:r>
          </w:p>
          <w:p w14:paraId="005A2854">
            <w:pPr>
              <w:spacing w:line="480" w:lineRule="atLeast"/>
              <w:rPr>
                <w:bCs/>
                <w:iCs/>
                <w:color w:val="000000"/>
                <w:szCs w:val="21"/>
              </w:rPr>
            </w:pPr>
            <w:r>
              <w:rPr>
                <w:rFonts w:hint="eastAsia"/>
                <w:bCs/>
                <w:iCs/>
                <w:color w:val="000000"/>
                <w:szCs w:val="21"/>
              </w:rPr>
              <w:t>周凡女 财务总监</w:t>
            </w:r>
          </w:p>
        </w:tc>
      </w:tr>
      <w:tr w14:paraId="2C44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vAlign w:val="center"/>
          </w:tcPr>
          <w:p w14:paraId="73E684F5">
            <w:pPr>
              <w:spacing w:line="360" w:lineRule="auto"/>
              <w:rPr>
                <w:color w:val="000000"/>
                <w:szCs w:val="21"/>
              </w:rPr>
            </w:pPr>
            <w:r>
              <w:rPr>
                <w:rFonts w:hint="eastAsia"/>
                <w:color w:val="000000"/>
                <w:szCs w:val="21"/>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tcPr>
          <w:p w14:paraId="44849C20">
            <w:pPr>
              <w:numPr>
                <w:ilvl w:val="0"/>
                <w:numId w:val="1"/>
              </w:numPr>
              <w:spacing w:line="360" w:lineRule="auto"/>
              <w:ind w:firstLine="422" w:firstLineChars="200"/>
              <w:rPr>
                <w:b/>
                <w:szCs w:val="21"/>
              </w:rPr>
            </w:pPr>
            <w:r>
              <w:rPr>
                <w:rFonts w:hint="eastAsia"/>
                <w:b/>
                <w:szCs w:val="21"/>
              </w:rPr>
              <w:t>主要内容介绍</w:t>
            </w:r>
          </w:p>
          <w:p w14:paraId="20649E46">
            <w:pPr>
              <w:spacing w:line="360" w:lineRule="auto"/>
              <w:ind w:firstLine="420" w:firstLineChars="200"/>
              <w:rPr>
                <w:szCs w:val="21"/>
              </w:rPr>
            </w:pPr>
            <w:r>
              <w:rPr>
                <w:rFonts w:hint="eastAsia"/>
                <w:szCs w:val="21"/>
              </w:rPr>
              <w:t xml:space="preserve">公司就中科飞测2025年度及2026年一季度经营情况进行了介绍。 </w:t>
            </w:r>
          </w:p>
          <w:p w14:paraId="1A099BE4">
            <w:pPr>
              <w:numPr>
                <w:ilvl w:val="0"/>
                <w:numId w:val="1"/>
              </w:numPr>
              <w:spacing w:line="360" w:lineRule="auto"/>
              <w:ind w:firstLine="422" w:firstLineChars="200"/>
              <w:rPr>
                <w:b/>
                <w:szCs w:val="21"/>
              </w:rPr>
            </w:pPr>
            <w:r>
              <w:rPr>
                <w:rFonts w:hint="eastAsia"/>
                <w:b/>
                <w:szCs w:val="21"/>
              </w:rPr>
              <w:t>互动问答</w:t>
            </w:r>
          </w:p>
          <w:p w14:paraId="112A7AFC">
            <w:pPr>
              <w:numPr>
                <w:ilvl w:val="0"/>
                <w:numId w:val="2"/>
              </w:numPr>
              <w:spacing w:line="360" w:lineRule="auto"/>
              <w:ind w:firstLine="422" w:firstLineChars="200"/>
              <w:rPr>
                <w:b/>
                <w:szCs w:val="21"/>
              </w:rPr>
            </w:pPr>
            <w:r>
              <w:rPr>
                <w:rFonts w:hint="eastAsia"/>
                <w:b/>
                <w:szCs w:val="21"/>
              </w:rPr>
              <w:t>关于2025年及2026年一季度收入和订单构成情况。</w:t>
            </w:r>
          </w:p>
          <w:p w14:paraId="1E301B85">
            <w:pPr>
              <w:spacing w:line="360" w:lineRule="auto"/>
              <w:ind w:firstLine="420" w:firstLineChars="200"/>
              <w:rPr>
                <w:szCs w:val="21"/>
              </w:rPr>
            </w:pPr>
            <w:r>
              <w:rPr>
                <w:rFonts w:hint="eastAsia"/>
                <w:szCs w:val="21"/>
              </w:rPr>
              <w:t>答：</w:t>
            </w:r>
          </w:p>
          <w:p w14:paraId="7B6A66A1">
            <w:pPr>
              <w:spacing w:line="360" w:lineRule="auto"/>
              <w:ind w:firstLine="420" w:firstLineChars="200"/>
              <w:rPr>
                <w:szCs w:val="21"/>
              </w:rPr>
            </w:pPr>
            <w:r>
              <w:rPr>
                <w:rFonts w:hint="eastAsia"/>
                <w:szCs w:val="21"/>
              </w:rPr>
              <w:t>2025年及2026年一季度，公司收入及订单结构整体正在发生积极变化：</w:t>
            </w:r>
          </w:p>
          <w:p w14:paraId="23CE0E42">
            <w:pPr>
              <w:numPr>
                <w:ilvl w:val="0"/>
                <w:numId w:val="3"/>
              </w:numPr>
              <w:spacing w:line="360" w:lineRule="auto"/>
              <w:ind w:firstLine="420" w:firstLineChars="200"/>
              <w:rPr>
                <w:szCs w:val="21"/>
              </w:rPr>
            </w:pPr>
            <w:r>
              <w:rPr>
                <w:rFonts w:hint="eastAsia"/>
                <w:szCs w:val="21"/>
              </w:rPr>
              <w:t>产品结构方面，暗场纳米图形晶圆缺陷检测设备持续通过多家国内头部逻辑、存储客户验证并实现销售，成为2025年以及2026年一季度收入的重要增长引擎，并且在2026年一季度的新增订单中占比快速提升，其他系列产品订单占比有不同程度稀释。</w:t>
            </w:r>
          </w:p>
          <w:p w14:paraId="05D72587">
            <w:pPr>
              <w:numPr>
                <w:ilvl w:val="0"/>
                <w:numId w:val="3"/>
              </w:numPr>
              <w:spacing w:line="360" w:lineRule="auto"/>
              <w:ind w:firstLine="420" w:firstLineChars="200"/>
              <w:rPr>
                <w:szCs w:val="21"/>
              </w:rPr>
            </w:pPr>
            <w:r>
              <w:rPr>
                <w:rFonts w:hint="eastAsia"/>
                <w:szCs w:val="21"/>
              </w:rPr>
              <w:t>客户类型方面，2025年公司收入及订单构成与往年基本一致，以前道制程客户为主，其中存储客户的订单占比稳步提升，先进封装业务以HBM、2.5D/3D封装为主。2026年一季度，受2025年HBM</w:t>
            </w:r>
            <w:r>
              <w:rPr>
                <w:rFonts w:hint="eastAsia"/>
                <w:szCs w:val="21"/>
                <w:lang w:eastAsia="zh-CN"/>
              </w:rPr>
              <w:t>、</w:t>
            </w:r>
            <w:r>
              <w:rPr>
                <w:rFonts w:hint="eastAsia"/>
                <w:szCs w:val="21"/>
              </w:rPr>
              <w:t xml:space="preserve"> 2.5D/3D封装订单拉动，先进封装收入占比阶段性超过30%，结合在手订单结构，后续客户构成将回归正常，前道制程的收入占比逐步回升。</w:t>
            </w:r>
          </w:p>
          <w:p w14:paraId="2AF70325">
            <w:pPr>
              <w:numPr>
                <w:ilvl w:val="0"/>
                <w:numId w:val="3"/>
              </w:numPr>
              <w:spacing w:line="360" w:lineRule="auto"/>
              <w:ind w:firstLine="420" w:firstLineChars="200"/>
              <w:rPr>
                <w:szCs w:val="21"/>
              </w:rPr>
            </w:pPr>
            <w:r>
              <w:rPr>
                <w:rFonts w:hint="eastAsia"/>
                <w:szCs w:val="21"/>
              </w:rPr>
              <w:t>工艺节点方面，2025年先进制程收入占比超过60%，在订单结构中先进制程占比超过了70%，未来先进制程的收入和订单贡献有望进一步增长。</w:t>
            </w:r>
          </w:p>
          <w:p w14:paraId="14C0C063">
            <w:pPr>
              <w:spacing w:line="360" w:lineRule="auto"/>
              <w:rPr>
                <w:szCs w:val="21"/>
              </w:rPr>
            </w:pPr>
          </w:p>
          <w:p w14:paraId="33E3471B">
            <w:pPr>
              <w:numPr>
                <w:ilvl w:val="0"/>
                <w:numId w:val="2"/>
              </w:numPr>
              <w:spacing w:line="360" w:lineRule="auto"/>
              <w:ind w:firstLine="422" w:firstLineChars="200"/>
              <w:rPr>
                <w:b/>
                <w:szCs w:val="21"/>
              </w:rPr>
            </w:pPr>
            <w:r>
              <w:rPr>
                <w:rFonts w:hint="eastAsia"/>
                <w:b/>
                <w:szCs w:val="21"/>
              </w:rPr>
              <w:t>关于明暗场设备验证以及新产品研发进展。</w:t>
            </w:r>
          </w:p>
          <w:p w14:paraId="74CCF32A">
            <w:pPr>
              <w:spacing w:line="360" w:lineRule="auto"/>
              <w:ind w:firstLine="420" w:firstLineChars="200"/>
              <w:rPr>
                <w:szCs w:val="21"/>
              </w:rPr>
            </w:pPr>
            <w:r>
              <w:rPr>
                <w:rFonts w:hint="eastAsia"/>
                <w:szCs w:val="21"/>
              </w:rPr>
              <w:t>答：</w:t>
            </w:r>
          </w:p>
          <w:p w14:paraId="6601EFB1">
            <w:pPr>
              <w:spacing w:line="360" w:lineRule="auto"/>
              <w:ind w:firstLine="420" w:firstLineChars="200"/>
              <w:rPr>
                <w:szCs w:val="21"/>
              </w:rPr>
            </w:pPr>
            <w:r>
              <w:rPr>
                <w:rFonts w:hint="eastAsia"/>
                <w:szCs w:val="21"/>
              </w:rPr>
              <w:t>公司明暗场设备及电子束、X 光等新产品研发均取得积极</w:t>
            </w:r>
            <w:r>
              <w:rPr>
                <w:rFonts w:hint="eastAsia"/>
                <w:szCs w:val="21"/>
                <w:lang w:val="en-US" w:eastAsia="zh-CN"/>
              </w:rPr>
              <w:t>的</w:t>
            </w:r>
            <w:r>
              <w:rPr>
                <w:rFonts w:hint="eastAsia"/>
                <w:szCs w:val="21"/>
              </w:rPr>
              <w:t>阶段性成果，具体来看：</w:t>
            </w:r>
          </w:p>
          <w:p w14:paraId="63AC0B17">
            <w:pPr>
              <w:spacing w:line="360" w:lineRule="auto"/>
              <w:ind w:firstLine="420" w:firstLineChars="200"/>
              <w:rPr>
                <w:szCs w:val="21"/>
              </w:rPr>
            </w:pPr>
            <w:r>
              <w:rPr>
                <w:rFonts w:hint="eastAsia"/>
                <w:szCs w:val="21"/>
              </w:rPr>
              <w:t>（1）暗场设备已在多家国内头部逻辑、存储客户产线完成验证并实现批量销售。基于该系列设备在国内绝对领先优势，以及国内头部客户对国产量检测设备的迫切需求，预计今年暗场设备将有更积极的订单和收入贡献。</w:t>
            </w:r>
          </w:p>
          <w:p w14:paraId="7CA73033">
            <w:pPr>
              <w:spacing w:line="360" w:lineRule="auto"/>
              <w:ind w:firstLine="420" w:firstLineChars="200"/>
              <w:rPr>
                <w:szCs w:val="21"/>
              </w:rPr>
            </w:pPr>
            <w:r>
              <w:rPr>
                <w:rFonts w:hint="eastAsia"/>
                <w:szCs w:val="21"/>
              </w:rPr>
              <w:t>（2）明场设备已在多家国内头部逻辑、存储客户产线验证较长时间，从客户端反馈的测试数据来看，设备性能与稳定性都有明显提升，公司对明场设备的验证进展和未来发展非常有信心，预计今年将看到更多的成果。</w:t>
            </w:r>
          </w:p>
          <w:p w14:paraId="48DAB43A">
            <w:pPr>
              <w:spacing w:line="360" w:lineRule="auto"/>
              <w:ind w:firstLine="420" w:firstLineChars="200"/>
              <w:rPr>
                <w:szCs w:val="21"/>
              </w:rPr>
            </w:pPr>
            <w:r>
              <w:rPr>
                <w:rFonts w:hint="eastAsia"/>
                <w:szCs w:val="21"/>
              </w:rPr>
              <w:t>（3）新产品研发方面，公司推出了晶圆平整度量测设备、电子束关键尺寸量测设备，以及基于 X光技术的高深宽比刻蚀结构量测设备、硅通孔铜填充空隙量测设备等4 款新产品。其中高深宽比刻蚀结构量测设备目前已经成功应用于国内先进存储客户产线；晶圆平整度量测设备、硅通孔铜填充空隙量测设备也已经出货到国内头部客户开展产线验证；电子束关键尺寸量测设备正在国内多家头部客户进行晶圆样片测试，预计很快会出货到头部客户产线验证。</w:t>
            </w:r>
          </w:p>
          <w:p w14:paraId="042CC33C">
            <w:pPr>
              <w:spacing w:line="360" w:lineRule="auto"/>
              <w:ind w:firstLine="420" w:firstLineChars="200"/>
              <w:rPr>
                <w:szCs w:val="21"/>
              </w:rPr>
            </w:pPr>
          </w:p>
          <w:p w14:paraId="4B01C10A">
            <w:pPr>
              <w:numPr>
                <w:ilvl w:val="0"/>
                <w:numId w:val="2"/>
              </w:numPr>
              <w:spacing w:line="360" w:lineRule="auto"/>
              <w:ind w:firstLine="422" w:firstLineChars="200"/>
              <w:rPr>
                <w:b/>
                <w:szCs w:val="21"/>
              </w:rPr>
            </w:pPr>
            <w:r>
              <w:rPr>
                <w:rFonts w:hint="eastAsia"/>
                <w:b/>
                <w:szCs w:val="21"/>
              </w:rPr>
              <w:t>关于各系列产品产业化进展。</w:t>
            </w:r>
          </w:p>
          <w:p w14:paraId="1A5BE784">
            <w:pPr>
              <w:spacing w:line="360" w:lineRule="auto"/>
              <w:ind w:firstLine="420" w:firstLineChars="200"/>
              <w:rPr>
                <w:szCs w:val="21"/>
              </w:rPr>
            </w:pPr>
            <w:r>
              <w:rPr>
                <w:rFonts w:hint="eastAsia"/>
                <w:szCs w:val="21"/>
              </w:rPr>
              <w:t>答：</w:t>
            </w:r>
          </w:p>
          <w:p w14:paraId="350E3E9E">
            <w:pPr>
              <w:spacing w:line="360" w:lineRule="auto"/>
              <w:ind w:firstLine="420" w:firstLineChars="200"/>
              <w:rPr>
                <w:szCs w:val="21"/>
              </w:rPr>
            </w:pPr>
            <w:r>
              <w:rPr>
                <w:rFonts w:hint="eastAsia"/>
                <w:szCs w:val="21"/>
              </w:rPr>
              <w:t>公司能够为半导体行业客户提供涵盖三大核心技术路线的十三大系列设备产品、三大系列智能软件产品和相关服务的全流程良率管理解决方案，能够帮助客户显著提升采购效率和售后服务响应，降低对接和管理成本，有效提升产线整体良率与运营效率。公司2025年全年出货超过了400台，客户覆盖国内逻辑、存储、特色工艺、硅片及制程设备等不同类型，以及从成熟到先进制程的不同工艺节点，并在先进制程、HBM、2.5D/3D封装领域保持国内显著领先：</w:t>
            </w:r>
          </w:p>
          <w:p w14:paraId="3D1ADACF">
            <w:pPr>
              <w:spacing w:line="360" w:lineRule="auto"/>
              <w:ind w:firstLine="420" w:firstLineChars="200"/>
              <w:rPr>
                <w:szCs w:val="21"/>
              </w:rPr>
            </w:pPr>
            <w:r>
              <w:rPr>
                <w:rFonts w:hint="eastAsia"/>
                <w:szCs w:val="21"/>
              </w:rPr>
              <w:t>（1）在先进制程领域，目前九大系列量产设备全面覆盖国内最先进工艺产线的扩产需求。其中公司在暗场纳米图形晶圆缺陷检测设备、无图形晶圆缺陷检测设备、套刻精度量测设备、金属膜厚量测设备等多款设备是目前在国内先进制程领域唯一具备量产交付能力的国产供应商；面向国内更先进工艺节点，无图形晶圆缺陷检测设备已经通过国内头部客户验证并实现销售，预计今年会有包括暗场纳米图形晶圆缺陷检测设备、套刻精度量测设备、膜厚量测设备等多款设备出货到客户端验证。</w:t>
            </w:r>
          </w:p>
          <w:p w14:paraId="430ADE08">
            <w:pPr>
              <w:spacing w:line="360" w:lineRule="auto"/>
              <w:ind w:firstLine="420" w:firstLineChars="200"/>
              <w:rPr>
                <w:szCs w:val="21"/>
              </w:rPr>
            </w:pPr>
            <w:r>
              <w:rPr>
                <w:rFonts w:hint="eastAsia"/>
                <w:szCs w:val="21"/>
              </w:rPr>
              <w:t>（2）在HBM、2.5D/3D封装领域，公司的量产设备已经覆盖了国内头部客户对于量检测的全部需求，包括暗场纳米图形晶圆缺陷检测设备、无图形晶圆缺陷检测设备、图形晶圆缺陷检测设备、三维形貌量测设备、套刻精度量测设备、介质膜厚量测设备等，这些设备在先进封装收入中占有很高比例。</w:t>
            </w:r>
          </w:p>
          <w:p w14:paraId="692B95A2">
            <w:pPr>
              <w:spacing w:line="360" w:lineRule="auto"/>
              <w:rPr>
                <w:b/>
                <w:szCs w:val="21"/>
              </w:rPr>
            </w:pPr>
          </w:p>
          <w:p w14:paraId="6EC9ADDA">
            <w:pPr>
              <w:numPr>
                <w:ilvl w:val="0"/>
                <w:numId w:val="2"/>
              </w:numPr>
              <w:spacing w:line="360" w:lineRule="auto"/>
              <w:ind w:firstLine="422" w:firstLineChars="200"/>
              <w:rPr>
                <w:b/>
                <w:szCs w:val="21"/>
              </w:rPr>
            </w:pPr>
            <w:r>
              <w:rPr>
                <w:rFonts w:hint="eastAsia"/>
                <w:b/>
                <w:szCs w:val="21"/>
              </w:rPr>
              <w:t>关于公司研发投入情况以及未来展望。</w:t>
            </w:r>
          </w:p>
          <w:p w14:paraId="292F15C0">
            <w:pPr>
              <w:spacing w:line="360" w:lineRule="auto"/>
              <w:ind w:firstLine="420" w:firstLineChars="200"/>
              <w:rPr>
                <w:szCs w:val="21"/>
              </w:rPr>
            </w:pPr>
            <w:r>
              <w:rPr>
                <w:rFonts w:hint="eastAsia"/>
                <w:szCs w:val="21"/>
              </w:rPr>
              <w:t>答：公司重点研发方向始终重点围绕两方面：一是持续拓展设备品类，二是推动现有产品向更先进制程升级迭代。</w:t>
            </w:r>
          </w:p>
          <w:p w14:paraId="327E1681">
            <w:pPr>
              <w:spacing w:line="360" w:lineRule="auto"/>
              <w:ind w:firstLine="420" w:firstLineChars="200"/>
              <w:rPr>
                <w:szCs w:val="21"/>
              </w:rPr>
            </w:pPr>
            <w:r>
              <w:rPr>
                <w:rFonts w:hint="eastAsia"/>
                <w:szCs w:val="21"/>
              </w:rPr>
              <w:t>（1）新产品研发方面，为了尽快完成新产品研发与验证，响应国内最先进制程客户扩产对于更全面覆盖的产品组合的需求，2025年公司密集推出了多款光学、电子束、X光设备。目前，公司已经全面覆盖国内先进制程客户扩产所需的全部光学类量检测设备，同时覆盖了电子束和X光的部分核心设备。</w:t>
            </w:r>
          </w:p>
          <w:p w14:paraId="45868381">
            <w:pPr>
              <w:spacing w:line="360" w:lineRule="auto"/>
              <w:ind w:firstLine="420" w:firstLineChars="200"/>
              <w:rPr>
                <w:szCs w:val="21"/>
              </w:rPr>
            </w:pPr>
            <w:r>
              <w:rPr>
                <w:rFonts w:hint="eastAsia"/>
                <w:szCs w:val="21"/>
              </w:rPr>
              <w:t>（2）各系列产品升级迭代方面，公司十三大系列设备已全面覆盖国内当下先进制程客户的扩产需求，同时还在持续推进各系列设备面向更先进工艺的迭代升级，这在硬件、软件上都需要持续的研发投入。</w:t>
            </w:r>
          </w:p>
          <w:p w14:paraId="29DEFB44">
            <w:pPr>
              <w:spacing w:line="360" w:lineRule="auto"/>
              <w:ind w:firstLine="420" w:firstLineChars="200"/>
              <w:rPr>
                <w:szCs w:val="21"/>
              </w:rPr>
            </w:pPr>
            <w:r>
              <w:rPr>
                <w:rFonts w:hint="eastAsia"/>
                <w:szCs w:val="21"/>
              </w:rPr>
              <w:t>基于上述布局，2026年一季度公司持续加大新产品及现有产品向更前沿工艺的迭代升级，在研项目数量以及研发人员规模较去年同期均有较大增长，带动职工薪酬、研发用材料费及资产折旧摊销等研发投入同比大幅增加。</w:t>
            </w:r>
          </w:p>
          <w:p w14:paraId="45EA3261">
            <w:pPr>
              <w:spacing w:line="360" w:lineRule="auto"/>
              <w:ind w:firstLine="420" w:firstLineChars="200"/>
              <w:rPr>
                <w:szCs w:val="21"/>
              </w:rPr>
            </w:pPr>
            <w:r>
              <w:rPr>
                <w:rFonts w:hint="eastAsia"/>
                <w:szCs w:val="21"/>
              </w:rPr>
              <w:t>展望未来，随着新产品及现有产品升级迭代产品逐步验证通过，收入贡献不断增长，规模效应逐步显现，公司研发投入增速预计低于收入增速，研发占收入的比例会呈现整体稳步下降的趋势。</w:t>
            </w:r>
          </w:p>
          <w:p w14:paraId="386A3106">
            <w:pPr>
              <w:spacing w:line="360" w:lineRule="auto"/>
              <w:ind w:firstLine="420" w:firstLineChars="200"/>
              <w:rPr>
                <w:szCs w:val="21"/>
              </w:rPr>
            </w:pPr>
          </w:p>
          <w:p w14:paraId="0714C5ED">
            <w:pPr>
              <w:numPr>
                <w:ilvl w:val="0"/>
                <w:numId w:val="2"/>
              </w:numPr>
              <w:spacing w:line="360" w:lineRule="auto"/>
              <w:ind w:firstLine="422" w:firstLineChars="200"/>
              <w:rPr>
                <w:b/>
                <w:szCs w:val="21"/>
              </w:rPr>
            </w:pPr>
            <w:r>
              <w:rPr>
                <w:rFonts w:hint="eastAsia"/>
                <w:b/>
                <w:szCs w:val="21"/>
              </w:rPr>
              <w:t>关于一季度毛利率波动的原因及未来展望。</w:t>
            </w:r>
          </w:p>
          <w:p w14:paraId="50B57F1F">
            <w:pPr>
              <w:spacing w:line="360" w:lineRule="auto"/>
              <w:ind w:firstLine="420" w:firstLineChars="200"/>
              <w:rPr>
                <w:szCs w:val="21"/>
              </w:rPr>
            </w:pPr>
            <w:r>
              <w:rPr>
                <w:rFonts w:hint="eastAsia"/>
                <w:szCs w:val="21"/>
              </w:rPr>
              <w:t>答：2026 年一季度毛利率相比往年有小幅波动，主要是当期毛利率相对较低的先进封装以及成熟制程型号占比相对较高。</w:t>
            </w:r>
          </w:p>
          <w:p w14:paraId="322364D2">
            <w:pPr>
              <w:spacing w:line="360" w:lineRule="auto"/>
              <w:ind w:firstLine="420" w:firstLineChars="200"/>
              <w:rPr>
                <w:szCs w:val="21"/>
              </w:rPr>
            </w:pPr>
            <w:r>
              <w:rPr>
                <w:rFonts w:hint="eastAsia"/>
                <w:szCs w:val="21"/>
              </w:rPr>
              <w:t>结合公司目前在手订单结构，未来先进封装以及成熟制程产品占比将逐步回归正常区间，叠加新产品在多家客户产线上陆续完成验证、进入稳定量产交付阶段，全年毛利率有望保持在过去几年平均水平。</w:t>
            </w:r>
          </w:p>
          <w:p w14:paraId="68396554">
            <w:pPr>
              <w:spacing w:line="360" w:lineRule="auto"/>
              <w:rPr>
                <w:szCs w:val="21"/>
              </w:rPr>
            </w:pPr>
          </w:p>
          <w:p w14:paraId="5F45305E">
            <w:pPr>
              <w:numPr>
                <w:ilvl w:val="0"/>
                <w:numId w:val="2"/>
              </w:numPr>
              <w:spacing w:line="360" w:lineRule="auto"/>
              <w:ind w:firstLine="422" w:firstLineChars="200"/>
              <w:rPr>
                <w:b/>
                <w:szCs w:val="21"/>
              </w:rPr>
            </w:pPr>
            <w:r>
              <w:rPr>
                <w:rFonts w:hint="eastAsia"/>
                <w:b/>
                <w:szCs w:val="21"/>
              </w:rPr>
              <w:t>关于当前国内竞争形势及演变趋势、公司的竞争优势以及应对策略。</w:t>
            </w:r>
          </w:p>
          <w:p w14:paraId="57A53A59">
            <w:pPr>
              <w:spacing w:line="360" w:lineRule="auto"/>
              <w:ind w:firstLine="420" w:firstLineChars="200"/>
              <w:rPr>
                <w:szCs w:val="21"/>
              </w:rPr>
            </w:pPr>
            <w:r>
              <w:rPr>
                <w:rFonts w:hint="eastAsia"/>
                <w:szCs w:val="21"/>
              </w:rPr>
              <w:t>答：</w:t>
            </w:r>
          </w:p>
          <w:p w14:paraId="1CD17F9E">
            <w:pPr>
              <w:spacing w:line="360" w:lineRule="auto"/>
              <w:ind w:firstLine="420" w:firstLineChars="200"/>
              <w:rPr>
                <w:szCs w:val="21"/>
              </w:rPr>
            </w:pPr>
            <w:r>
              <w:rPr>
                <w:rFonts w:hint="eastAsia"/>
                <w:szCs w:val="21"/>
              </w:rPr>
              <w:t>整体来看，国内量检测设备国产化率仍然很低，尤其是在先进制程应用领域，未来几年国内设备企业整体上还处在抢占国外企业市场份额的过程中。</w:t>
            </w:r>
          </w:p>
          <w:p w14:paraId="4A39EAB1">
            <w:pPr>
              <w:spacing w:line="360" w:lineRule="auto"/>
              <w:ind w:firstLine="420" w:firstLineChars="200"/>
              <w:rPr>
                <w:szCs w:val="21"/>
              </w:rPr>
            </w:pPr>
            <w:r>
              <w:rPr>
                <w:rFonts w:hint="eastAsia"/>
                <w:szCs w:val="21"/>
              </w:rPr>
              <w:t>半导体量检测设备行业产品种类多，技术壁垒高，设备从研发到稳定量产至少需要几年的时间，而且出于验证资源投入、产线管理成本以及缺陷数据积累等方面考虑，尤其在先进制程领域，客户通常不会在同一条产线上选择太多供应商。因此，参照国际竞争格局，率先进入头部客户产线并形成深度绑定，同时具备全品类产品布局和持续迭代能力的企业，将持续保持显著的竞争优势。</w:t>
            </w:r>
          </w:p>
          <w:p w14:paraId="703E2BF6">
            <w:pPr>
              <w:spacing w:line="360" w:lineRule="auto"/>
              <w:ind w:firstLine="420" w:firstLineChars="200"/>
              <w:rPr>
                <w:szCs w:val="21"/>
              </w:rPr>
            </w:pPr>
            <w:r>
              <w:rPr>
                <w:rFonts w:hint="eastAsia"/>
                <w:szCs w:val="21"/>
              </w:rPr>
              <w:t>经过10 余年的持续研发和产品迭代，公司目前在产品覆盖的广度和深度、客户资源、供应链体系等方面已经在国内显著领先，技术迭代能力已经充分得到市场验证。公司对未来在新设备推出、现有设备的迭代升级以及产业化推进等方面继续保持领先地位充满信心。</w:t>
            </w:r>
          </w:p>
          <w:p w14:paraId="0BA2D9BC">
            <w:pPr>
              <w:spacing w:line="360" w:lineRule="auto"/>
              <w:ind w:firstLine="420" w:firstLineChars="200"/>
              <w:rPr>
                <w:szCs w:val="21"/>
              </w:rPr>
            </w:pPr>
            <w:r>
              <w:rPr>
                <w:rFonts w:hint="eastAsia"/>
                <w:szCs w:val="21"/>
              </w:rPr>
              <w:t>公司的目标始终锚定更广阔、更前沿的检测与量测市场。一方面，持续推进新产品和各系列量产产品向更先进制程的研发，通过产品线的全面覆盖以及制程能力与国内头部客户需求保持同步，持续巩固国内领先优势；另一方面，在巩固国内市场的同时积极拓展海外市场。目前公司在先进封装领域已经取得了多个东南亚客户的订单，2025年实现超过5000万的境外收入，未来还有很大增长空间。凭借性价比以及定制化服务等优势，公司对未来海外收入的持续增长充满信心。</w:t>
            </w:r>
          </w:p>
          <w:p w14:paraId="2F48C6D7">
            <w:pPr>
              <w:spacing w:line="360" w:lineRule="auto"/>
              <w:ind w:firstLine="420" w:firstLineChars="200"/>
              <w:rPr>
                <w:szCs w:val="21"/>
              </w:rPr>
            </w:pPr>
          </w:p>
          <w:p w14:paraId="09D3D0A3">
            <w:pPr>
              <w:numPr>
                <w:ilvl w:val="0"/>
                <w:numId w:val="2"/>
              </w:numPr>
              <w:spacing w:line="360" w:lineRule="auto"/>
              <w:ind w:firstLine="422" w:firstLineChars="200"/>
              <w:rPr>
                <w:b/>
                <w:szCs w:val="21"/>
              </w:rPr>
            </w:pPr>
            <w:r>
              <w:rPr>
                <w:rFonts w:hint="eastAsia"/>
                <w:b/>
                <w:szCs w:val="21"/>
              </w:rPr>
              <w:t>关于全年收入、利润及订单的展望</w:t>
            </w:r>
          </w:p>
          <w:p w14:paraId="0493939E">
            <w:pPr>
              <w:spacing w:line="360" w:lineRule="auto"/>
              <w:ind w:firstLine="420" w:firstLineChars="200"/>
              <w:rPr>
                <w:szCs w:val="21"/>
              </w:rPr>
            </w:pPr>
            <w:r>
              <w:rPr>
                <w:rFonts w:hint="eastAsia"/>
                <w:szCs w:val="21"/>
              </w:rPr>
              <w:t>答：</w:t>
            </w:r>
          </w:p>
          <w:p w14:paraId="3AB9D668">
            <w:pPr>
              <w:spacing w:line="360" w:lineRule="auto"/>
              <w:ind w:firstLine="420" w:firstLineChars="200"/>
              <w:rPr>
                <w:szCs w:val="21"/>
              </w:rPr>
            </w:pPr>
            <w:r>
              <w:rPr>
                <w:rFonts w:hint="eastAsia"/>
                <w:szCs w:val="21"/>
              </w:rPr>
              <w:t>综合目前的经营情况、产品进展以及市场环境，公司对2026年经营情况充满信心：</w:t>
            </w:r>
          </w:p>
          <w:p w14:paraId="3C250870">
            <w:pPr>
              <w:spacing w:line="360" w:lineRule="auto"/>
              <w:ind w:firstLine="420" w:firstLineChars="200"/>
              <w:rPr>
                <w:szCs w:val="21"/>
              </w:rPr>
            </w:pPr>
            <w:r>
              <w:rPr>
                <w:rFonts w:hint="eastAsia"/>
                <w:szCs w:val="21"/>
              </w:rPr>
              <w:t>（1）收入层面：结合公司现阶段在手订单、新产品验证情况、以及出货设备在客户端的验收工作进展，今年有望保持较高的收入增长水平；</w:t>
            </w:r>
          </w:p>
          <w:p w14:paraId="0A264F4A">
            <w:pPr>
              <w:spacing w:line="360" w:lineRule="auto"/>
              <w:ind w:firstLine="420" w:firstLineChars="200"/>
              <w:rPr>
                <w:szCs w:val="21"/>
              </w:rPr>
            </w:pPr>
            <w:r>
              <w:rPr>
                <w:rFonts w:hint="eastAsia"/>
                <w:szCs w:val="21"/>
              </w:rPr>
              <w:t>（2）利润层面：2026年一季度亏损，主要是为加快打破国外企业在国内市场的垄断局面，公司进一步加大新产品及现有产品向更前沿工艺的研发和产业化，研发、销售以及客户相关服务人员规模同步提升，带动职工薪酬、研发用材料费、市场推广费等研发、销售相关费用同比有较大幅度增长。同时，毛利率受产品结构影响同比有小幅波动。展望全年，随着新产品及现有产品升级迭代产品逐步验证通过，收入贡献不断增长，规模效应逐步显现，研发及销售等各项费用占收入的比例整体呈现下降趋势，全年盈利水平有望进一步改善。</w:t>
            </w:r>
          </w:p>
          <w:p w14:paraId="5C2EBF6A">
            <w:pPr>
              <w:spacing w:line="360" w:lineRule="auto"/>
              <w:ind w:firstLine="420" w:firstLineChars="200"/>
              <w:rPr>
                <w:b/>
                <w:szCs w:val="21"/>
              </w:rPr>
            </w:pPr>
            <w:r>
              <w:rPr>
                <w:rFonts w:hint="eastAsia"/>
                <w:szCs w:val="21"/>
              </w:rPr>
              <w:t>（3）订单层面：在AI算力、数据中心建设等相关强劲需求带动下，公司对于未来国内先进制程及HBM、2.5D/3D先进封装等前沿领域客户的扩产需求乐观。基于和头部客户长期深度的合作基础、全面覆盖的产品组合以及成熟的技术实力，公司有信心在相关客户未来扩产对国产量检测设备的需求中占据较大的竞争优势。由于客户下单节奏存在一定波动，具体增幅还需后续进一步明确，但趋势和方向非常确定。</w:t>
            </w:r>
          </w:p>
          <w:p w14:paraId="0F5A45E9">
            <w:pPr>
              <w:tabs>
                <w:tab w:val="left" w:pos="0"/>
              </w:tabs>
              <w:spacing w:line="360" w:lineRule="auto"/>
              <w:ind w:left="420" w:leftChars="200"/>
              <w:rPr>
                <w:b/>
                <w:szCs w:val="21"/>
              </w:rPr>
            </w:pPr>
          </w:p>
          <w:p w14:paraId="5D7015C2">
            <w:pPr>
              <w:numPr>
                <w:ilvl w:val="0"/>
                <w:numId w:val="2"/>
              </w:numPr>
              <w:spacing w:line="360" w:lineRule="auto"/>
              <w:ind w:firstLine="422" w:firstLineChars="200"/>
              <w:rPr>
                <w:b/>
                <w:szCs w:val="21"/>
              </w:rPr>
            </w:pPr>
            <w:r>
              <w:rPr>
                <w:rFonts w:hint="eastAsia"/>
                <w:b/>
                <w:szCs w:val="21"/>
              </w:rPr>
              <w:t>关于核心零部件供应稳定性。</w:t>
            </w:r>
          </w:p>
          <w:p w14:paraId="25A1AB46">
            <w:pPr>
              <w:spacing w:line="360" w:lineRule="auto"/>
              <w:ind w:firstLine="420" w:firstLineChars="200"/>
              <w:rPr>
                <w:szCs w:val="21"/>
              </w:rPr>
            </w:pPr>
            <w:r>
              <w:rPr>
                <w:rFonts w:hint="eastAsia"/>
                <w:szCs w:val="21"/>
              </w:rPr>
              <w:t>答：</w:t>
            </w:r>
          </w:p>
          <w:p w14:paraId="472903E9">
            <w:pPr>
              <w:spacing w:line="360" w:lineRule="auto"/>
              <w:ind w:firstLine="420" w:firstLineChars="200"/>
              <w:rPr>
                <w:szCs w:val="21"/>
              </w:rPr>
            </w:pPr>
            <w:r>
              <w:rPr>
                <w:rFonts w:hint="eastAsia"/>
                <w:szCs w:val="21"/>
              </w:rPr>
              <w:t>长期以来，公司在设备整机的研发和产业化进程中，同时会进行大量的投入与国产零部件供应商开展技术合作，以满足公司设备的要求。目前，公司在上游零部件国产化方面成效显著，而且对于核心的关键零部件均配置多家备选供应商，能够确保供应链能够在设备完成研发后顺利转入大规模量产，为客户持续稳定供货。</w:t>
            </w:r>
          </w:p>
          <w:p w14:paraId="0E90C1CB">
            <w:pPr>
              <w:spacing w:line="360" w:lineRule="auto"/>
              <w:ind w:firstLine="420" w:firstLineChars="200"/>
              <w:rPr>
                <w:szCs w:val="21"/>
              </w:rPr>
            </w:pPr>
          </w:p>
          <w:p w14:paraId="16FB924A">
            <w:pPr>
              <w:numPr>
                <w:ilvl w:val="0"/>
                <w:numId w:val="2"/>
              </w:numPr>
              <w:spacing w:line="360" w:lineRule="auto"/>
              <w:ind w:firstLine="422" w:firstLineChars="200"/>
              <w:rPr>
                <w:b/>
                <w:szCs w:val="21"/>
              </w:rPr>
            </w:pPr>
            <w:r>
              <w:rPr>
                <w:rFonts w:hint="eastAsia"/>
                <w:b/>
                <w:szCs w:val="21"/>
              </w:rPr>
              <w:t>关于市值管理执行情况及规划安排</w:t>
            </w:r>
          </w:p>
          <w:p w14:paraId="256D98E2">
            <w:pPr>
              <w:spacing w:line="360" w:lineRule="auto"/>
              <w:ind w:firstLine="420" w:firstLineChars="200"/>
              <w:rPr>
                <w:szCs w:val="21"/>
              </w:rPr>
            </w:pPr>
            <w:r>
              <w:rPr>
                <w:rFonts w:hint="eastAsia"/>
                <w:szCs w:val="21"/>
              </w:rPr>
              <w:t>答：</w:t>
            </w:r>
          </w:p>
          <w:p w14:paraId="5A76758B">
            <w:pPr>
              <w:spacing w:line="360" w:lineRule="auto"/>
              <w:ind w:firstLine="420" w:firstLineChars="200"/>
              <w:rPr>
                <w:szCs w:val="21"/>
              </w:rPr>
            </w:pPr>
            <w:r>
              <w:rPr>
                <w:rFonts w:hint="eastAsia"/>
                <w:szCs w:val="21"/>
              </w:rPr>
              <w:t>公司高度重视市值管理工作，制定了《市值管理制度》，确保公司市值管理活动的合规性、科学性、有效性，实现公司价值和股东利益的最大化。公司将坚持长期、稳定、可持续的发展，专注主业，稳步推进各系列产品的产业化，做好内外部经营管理，以优良的业绩回报投资者，努力为股东创造长期可持续的价值，推动公司股价与长期发展价值相匹配。</w:t>
            </w:r>
          </w:p>
          <w:p w14:paraId="5361E8AF">
            <w:pPr>
              <w:spacing w:line="360" w:lineRule="exact"/>
              <w:rPr>
                <w:szCs w:val="21"/>
              </w:rPr>
            </w:pPr>
          </w:p>
          <w:p w14:paraId="56008F06">
            <w:pPr>
              <w:spacing w:line="360" w:lineRule="auto"/>
              <w:ind w:firstLine="420" w:firstLineChars="200"/>
              <w:rPr>
                <w:szCs w:val="21"/>
              </w:rPr>
            </w:pPr>
            <w:r>
              <w:rPr>
                <w:rFonts w:hint="eastAsia"/>
                <w:szCs w:val="21"/>
              </w:rPr>
              <w:t>除以上问题外，其余交流内容已在之前发布的投资者关系活动记录表或定期报告等公告中披露，本次不再重复披露。</w:t>
            </w:r>
          </w:p>
        </w:tc>
      </w:tr>
    </w:tbl>
    <w:p w14:paraId="43E42DC8">
      <w:pPr>
        <w:spacing w:line="360" w:lineRule="auto"/>
      </w:pPr>
      <w:r>
        <w:br w:type="page"/>
      </w:r>
    </w:p>
    <w:p w14:paraId="223D064A">
      <w:pPr>
        <w:rPr>
          <w:b/>
          <w:bCs/>
        </w:rPr>
      </w:pPr>
      <w:r>
        <w:rPr>
          <w:b/>
          <w:bCs/>
        </w:rPr>
        <w:t>附件 1《与会单位名单》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51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CFACA87">
            <w:pPr>
              <w:jc w:val="center"/>
              <w:rPr>
                <w:b/>
                <w:bCs/>
                <w14:ligatures w14:val="standardContextual"/>
              </w:rPr>
            </w:pPr>
            <w:r>
              <w:rPr>
                <w:b/>
                <w:bCs/>
                <w14:ligatures w14:val="standardContextual"/>
              </w:rPr>
              <w:t>机构名称（排名不分先后）</w:t>
            </w:r>
          </w:p>
        </w:tc>
      </w:tr>
      <w:tr w14:paraId="576E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58732B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IDG资本管理(香港)有限公司</w:t>
            </w:r>
          </w:p>
        </w:tc>
      </w:tr>
      <w:tr w14:paraId="5E93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32766C4">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IGWT Investment 投资公司</w:t>
            </w:r>
          </w:p>
        </w:tc>
      </w:tr>
      <w:tr w14:paraId="218F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1EC0C2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埃普斯国际(香港)有限公司</w:t>
            </w:r>
          </w:p>
        </w:tc>
      </w:tr>
      <w:tr w14:paraId="7824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282A685">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爱建证券有限责任公司</w:t>
            </w:r>
          </w:p>
        </w:tc>
      </w:tr>
      <w:tr w14:paraId="54B4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528425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百年保险资产管理有限责任公司</w:t>
            </w:r>
          </w:p>
        </w:tc>
      </w:tr>
      <w:tr w14:paraId="60F9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D9E97F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宝盈基金管理有限公司</w:t>
            </w:r>
          </w:p>
        </w:tc>
      </w:tr>
      <w:tr w14:paraId="347E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69BD26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鲍尔赛嘉(上海)投资管理有限公司</w:t>
            </w:r>
          </w:p>
        </w:tc>
      </w:tr>
      <w:tr w14:paraId="4D9E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507FDB5">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北京富纳投资有限公司</w:t>
            </w:r>
          </w:p>
        </w:tc>
      </w:tr>
      <w:tr w14:paraId="796B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8CF504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北京弘峰投资管理有限公司</w:t>
            </w:r>
          </w:p>
        </w:tc>
      </w:tr>
      <w:tr w14:paraId="5535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3DD5733">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北京弘君私募基金管理有限公司</w:t>
            </w:r>
          </w:p>
        </w:tc>
      </w:tr>
      <w:tr w14:paraId="64FE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8C9DAB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北京盛运德诚投资管理有限责任公司</w:t>
            </w:r>
          </w:p>
        </w:tc>
      </w:tr>
      <w:tr w14:paraId="1B1F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B6E3F97">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北京泽铭投资有限公司</w:t>
            </w:r>
          </w:p>
        </w:tc>
      </w:tr>
      <w:tr w14:paraId="78DE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8ED1E63">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北京中军投资管理有限公司</w:t>
            </w:r>
          </w:p>
        </w:tc>
      </w:tr>
      <w:tr w14:paraId="6845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735179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碧云资本管理有限公司</w:t>
            </w:r>
          </w:p>
        </w:tc>
      </w:tr>
      <w:tr w14:paraId="5C06E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FDA12E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财通基金管理有限公司</w:t>
            </w:r>
          </w:p>
        </w:tc>
      </w:tr>
      <w:tr w14:paraId="7D0C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21113A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财通证券股份有限公司</w:t>
            </w:r>
          </w:p>
        </w:tc>
      </w:tr>
      <w:tr w14:paraId="2F90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A75089C">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创金合信基金管理有限公司</w:t>
            </w:r>
          </w:p>
        </w:tc>
      </w:tr>
      <w:tr w14:paraId="32E5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1A555CC">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大和日华(上海)企业咨询有限公司</w:t>
            </w:r>
          </w:p>
        </w:tc>
      </w:tr>
      <w:tr w14:paraId="4108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F3ABF4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淡水泉(北京)投资管理有限公司</w:t>
            </w:r>
          </w:p>
        </w:tc>
      </w:tr>
      <w:tr w14:paraId="2FB2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DB7E27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东北证券股份有限公司</w:t>
            </w:r>
          </w:p>
        </w:tc>
      </w:tr>
      <w:tr w14:paraId="1784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C4CFF7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东方阿尔法基金管理有限公司</w:t>
            </w:r>
          </w:p>
        </w:tc>
      </w:tr>
      <w:tr w14:paraId="6A93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3CD668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东方财富证券股份有限公司</w:t>
            </w:r>
          </w:p>
        </w:tc>
      </w:tr>
      <w:tr w14:paraId="5736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DEB938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东方证券股份有限公司</w:t>
            </w:r>
          </w:p>
        </w:tc>
      </w:tr>
      <w:tr w14:paraId="08C9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F022394">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方正证券股份有限公司</w:t>
            </w:r>
          </w:p>
        </w:tc>
      </w:tr>
      <w:tr w14:paraId="1486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37A6CD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丰海资产管理</w:t>
            </w:r>
          </w:p>
        </w:tc>
      </w:tr>
      <w:tr w14:paraId="4864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CC63B1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冯源(宁波)私募基金管理有限公司</w:t>
            </w:r>
          </w:p>
        </w:tc>
      </w:tr>
      <w:tr w14:paraId="60D2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A1A8337">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富国基金管理有限公司</w:t>
            </w:r>
          </w:p>
        </w:tc>
      </w:tr>
      <w:tr w14:paraId="4369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23411A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高维私募基金管理(上海)有限公司</w:t>
            </w:r>
          </w:p>
        </w:tc>
      </w:tr>
      <w:tr w14:paraId="634F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A6EDBE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工银瑞信基金管理有限公司</w:t>
            </w:r>
          </w:p>
        </w:tc>
      </w:tr>
      <w:tr w14:paraId="5076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DA8C15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光大证券股份有限公司</w:t>
            </w:r>
          </w:p>
        </w:tc>
      </w:tr>
      <w:tr w14:paraId="01CD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D21E34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广东钜洲投资有限责任公司</w:t>
            </w:r>
          </w:p>
        </w:tc>
      </w:tr>
      <w:tr w14:paraId="036D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417B17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广东粤财基金管理有限公司</w:t>
            </w:r>
          </w:p>
        </w:tc>
      </w:tr>
      <w:tr w14:paraId="288D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2031455">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广东正圆私募基金管理有限公司</w:t>
            </w:r>
          </w:p>
        </w:tc>
      </w:tr>
      <w:tr w14:paraId="7483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BF5205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广发证券股份有限公司</w:t>
            </w:r>
          </w:p>
        </w:tc>
      </w:tr>
      <w:tr w14:paraId="5EDD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C8499F3">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广开控股</w:t>
            </w:r>
          </w:p>
        </w:tc>
      </w:tr>
      <w:tr w14:paraId="365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B64284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广州卡迪莲</w:t>
            </w:r>
          </w:p>
        </w:tc>
      </w:tr>
      <w:tr w14:paraId="0A64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66BBF3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广州市慧创蚨祥私募基金管理有限公司</w:t>
            </w:r>
          </w:p>
        </w:tc>
      </w:tr>
      <w:tr w14:paraId="63BA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0B3C5F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国富联合(青岛)私募基金管理有限公司</w:t>
            </w:r>
          </w:p>
        </w:tc>
      </w:tr>
      <w:tr w14:paraId="487E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BBD3CB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国海证券股份有限公司</w:t>
            </w:r>
          </w:p>
        </w:tc>
      </w:tr>
      <w:tr w14:paraId="3159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F19712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国金证券股份有限公司</w:t>
            </w:r>
          </w:p>
        </w:tc>
      </w:tr>
      <w:tr w14:paraId="79BA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417A1F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国联民生证券股份有限公司</w:t>
            </w:r>
          </w:p>
        </w:tc>
      </w:tr>
      <w:tr w14:paraId="7053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27F460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国泰海通证券股份有限公司</w:t>
            </w:r>
          </w:p>
        </w:tc>
      </w:tr>
      <w:tr w14:paraId="189C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61885C7">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国泰海通资管</w:t>
            </w:r>
          </w:p>
        </w:tc>
      </w:tr>
      <w:tr w14:paraId="4613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0FE8B9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国投创业投资管理有限公司</w:t>
            </w:r>
          </w:p>
        </w:tc>
      </w:tr>
      <w:tr w14:paraId="6BA6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E165D9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国投瑞银基金管理有限公司</w:t>
            </w:r>
          </w:p>
        </w:tc>
      </w:tr>
      <w:tr w14:paraId="23FE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C3BEA3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国投证券股份有限公司</w:t>
            </w:r>
          </w:p>
        </w:tc>
      </w:tr>
      <w:tr w14:paraId="475F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98F860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国信证券股份有限公司</w:t>
            </w:r>
          </w:p>
        </w:tc>
      </w:tr>
      <w:tr w14:paraId="0009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77ADD7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国元证券股份有限公司</w:t>
            </w:r>
          </w:p>
        </w:tc>
      </w:tr>
      <w:tr w14:paraId="734D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461E7B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海南果实私募基金管理有限公司</w:t>
            </w:r>
          </w:p>
        </w:tc>
      </w:tr>
      <w:tr w14:paraId="6307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F93260F">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海南鸿盛私募基金管理有限公司</w:t>
            </w:r>
          </w:p>
        </w:tc>
      </w:tr>
      <w:tr w14:paraId="01D7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92C1E4A">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海南星火私募基金管理有限公司</w:t>
            </w:r>
          </w:p>
        </w:tc>
      </w:tr>
      <w:tr w14:paraId="7999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BCB7FD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瀚亚投资管理(上海)有限公司</w:t>
            </w:r>
          </w:p>
        </w:tc>
      </w:tr>
      <w:tr w14:paraId="0DDD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69799B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杭州遂玖私募基金管理有限公司</w:t>
            </w:r>
          </w:p>
        </w:tc>
      </w:tr>
      <w:tr w14:paraId="4A38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D5A7AB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杭州正鑫私募基金管理有限公司</w:t>
            </w:r>
          </w:p>
        </w:tc>
      </w:tr>
      <w:tr w14:paraId="2E29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87CEAA6">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和谐健康保险股份有限公司</w:t>
            </w:r>
          </w:p>
        </w:tc>
      </w:tr>
      <w:tr w14:paraId="1A05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5B906C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泓德基金管理有限公司</w:t>
            </w:r>
          </w:p>
        </w:tc>
      </w:tr>
      <w:tr w14:paraId="6772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A125F2D">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鸿运私募基金管理(海南)有限公司</w:t>
            </w:r>
          </w:p>
        </w:tc>
      </w:tr>
      <w:tr w14:paraId="3771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C8C6ED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湖南长心私募基金管理有限公司</w:t>
            </w:r>
          </w:p>
        </w:tc>
      </w:tr>
      <w:tr w14:paraId="461D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2B1D7DC">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华安证券股份有限公司</w:t>
            </w:r>
          </w:p>
        </w:tc>
      </w:tr>
      <w:tr w14:paraId="30E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38AE6EB">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华方私募基金管理(上海)有限公司</w:t>
            </w:r>
          </w:p>
        </w:tc>
      </w:tr>
      <w:tr w14:paraId="3835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5B7F3F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华福证券股份有限公司</w:t>
            </w:r>
          </w:p>
        </w:tc>
      </w:tr>
      <w:tr w14:paraId="61CA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4E9327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华杉瑞联基金管理有限公司</w:t>
            </w:r>
          </w:p>
        </w:tc>
      </w:tr>
      <w:tr w14:paraId="5CE0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2D3CE1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华泰证券股份有限公司</w:t>
            </w:r>
          </w:p>
        </w:tc>
      </w:tr>
      <w:tr w14:paraId="27F0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6DF376E">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华泰资产管理有限公司</w:t>
            </w:r>
          </w:p>
        </w:tc>
      </w:tr>
      <w:tr w14:paraId="43F3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AB24009">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华西证券股份有限公司</w:t>
            </w:r>
          </w:p>
        </w:tc>
      </w:tr>
      <w:tr w14:paraId="1220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A38E310">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华夏基金管理有限公司</w:t>
            </w:r>
          </w:p>
        </w:tc>
      </w:tr>
      <w:tr w14:paraId="324B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D26EEC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华夏久盈资产管理有限责任公司</w:t>
            </w:r>
          </w:p>
        </w:tc>
      </w:tr>
      <w:tr w14:paraId="3D7A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E23C501">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汇丰晋信基金管理有限公司</w:t>
            </w:r>
          </w:p>
        </w:tc>
      </w:tr>
      <w:tr w14:paraId="1796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FC437F1">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嘉实基金管理有限公司</w:t>
            </w:r>
          </w:p>
        </w:tc>
      </w:tr>
      <w:tr w14:paraId="4A54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29F2738">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江海证券资产管理</w:t>
            </w:r>
          </w:p>
        </w:tc>
      </w:tr>
      <w:tr w14:paraId="49FC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4613D0A">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江苏瑞华投资控股集团有限公司</w:t>
            </w:r>
          </w:p>
        </w:tc>
      </w:tr>
      <w:tr w14:paraId="0878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29F1B42">
            <w:pPr>
              <w:widowControl/>
              <w:jc w:val="left"/>
              <w:textAlignment w:val="center"/>
              <w:rPr>
                <w:rFonts w:hint="eastAsia" w:ascii="宋体" w:hAnsi="宋体" w:cs="宋体"/>
                <w:color w:val="000000"/>
                <w:sz w:val="22"/>
                <w:szCs w:val="22"/>
                <w14:ligatures w14:val="standardContextual"/>
              </w:rPr>
            </w:pPr>
            <w:r>
              <w:rPr>
                <w:rFonts w:hint="eastAsia" w:ascii="宋体" w:hAnsi="宋体" w:cs="宋体"/>
                <w:color w:val="000000"/>
                <w:kern w:val="0"/>
                <w:sz w:val="22"/>
                <w:szCs w:val="22"/>
                <w:lang w:bidi="ar"/>
                <w14:ligatures w14:val="standardContextual"/>
              </w:rPr>
              <w:t>江西彼得明奇私募基金管理有限公司</w:t>
            </w:r>
          </w:p>
        </w:tc>
      </w:tr>
      <w:tr w14:paraId="0AD7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BC73A8A">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交银施罗德基金管理有限公司</w:t>
            </w:r>
          </w:p>
        </w:tc>
      </w:tr>
      <w:tr w14:paraId="1437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2ED57A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金鹰基金管理有限公司</w:t>
            </w:r>
          </w:p>
        </w:tc>
      </w:tr>
      <w:tr w14:paraId="2ED1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78B08C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景泰利丰资产管理有限公司</w:t>
            </w:r>
          </w:p>
        </w:tc>
      </w:tr>
      <w:tr w14:paraId="6C8E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7E15846">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开源证券股份有限公司</w:t>
            </w:r>
          </w:p>
        </w:tc>
      </w:tr>
      <w:tr w14:paraId="7F3B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56E4B4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凯基证券亚洲有限公司</w:t>
            </w:r>
          </w:p>
        </w:tc>
      </w:tr>
      <w:tr w14:paraId="08C2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1E83EE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立格资本投资有限公司</w:t>
            </w:r>
          </w:p>
        </w:tc>
      </w:tr>
      <w:tr w14:paraId="416C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19BB854">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麦苗资本</w:t>
            </w:r>
          </w:p>
        </w:tc>
      </w:tr>
      <w:tr w14:paraId="429E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A6E65A4">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民生加银基金管理有限公司</w:t>
            </w:r>
          </w:p>
        </w:tc>
      </w:tr>
      <w:tr w14:paraId="797F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79247E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民生证券股份有限公司</w:t>
            </w:r>
          </w:p>
        </w:tc>
      </w:tr>
      <w:tr w14:paraId="4958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E64E48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摩根大通证券(中国)有限公司</w:t>
            </w:r>
          </w:p>
        </w:tc>
      </w:tr>
      <w:tr w14:paraId="2181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2AC2DC6">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摩根士丹利基金管理(中国)有限公司</w:t>
            </w:r>
          </w:p>
        </w:tc>
      </w:tr>
      <w:tr w14:paraId="01BF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91CAA2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摩根士丹利银行亚洲有限公司</w:t>
            </w:r>
          </w:p>
        </w:tc>
      </w:tr>
      <w:tr w14:paraId="53CC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8A0B74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南方基金管理股份有限公司</w:t>
            </w:r>
          </w:p>
        </w:tc>
      </w:tr>
      <w:tr w14:paraId="09DD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A589C20">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青岛城投城金控股集团有限公司</w:t>
            </w:r>
          </w:p>
        </w:tc>
      </w:tr>
      <w:tr w14:paraId="7BAE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830D790">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青岛国信创新股权投资管理有限公司</w:t>
            </w:r>
          </w:p>
        </w:tc>
      </w:tr>
      <w:tr w14:paraId="16B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8FA41A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清池资本(香港)有限公司</w:t>
            </w:r>
          </w:p>
        </w:tc>
      </w:tr>
      <w:tr w14:paraId="56B4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062DEDB">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泉果基金管理有限公司</w:t>
            </w:r>
          </w:p>
        </w:tc>
      </w:tr>
      <w:tr w14:paraId="1D26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F00CE7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群益证券投资信托股份有限公司</w:t>
            </w:r>
          </w:p>
        </w:tc>
      </w:tr>
      <w:tr w14:paraId="002D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71E8E0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融通基金管理有限公司</w:t>
            </w:r>
          </w:p>
        </w:tc>
      </w:tr>
      <w:tr w14:paraId="50F09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F705CB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瑞银证券有限责任公司</w:t>
            </w:r>
          </w:p>
        </w:tc>
      </w:tr>
      <w:tr w14:paraId="4937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82EF1C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瑞银资产管理瑞士股份公司</w:t>
            </w:r>
          </w:p>
        </w:tc>
      </w:tr>
      <w:tr w14:paraId="0278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0B1282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三井住友德思资产管理(香港)有限公司</w:t>
            </w:r>
          </w:p>
        </w:tc>
      </w:tr>
      <w:tr w14:paraId="5BDA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33506D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厦门坤易投资管理有限公司</w:t>
            </w:r>
          </w:p>
        </w:tc>
      </w:tr>
      <w:tr w14:paraId="3FF1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C44BF68">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山东嘉信私募基金管理有限公司</w:t>
            </w:r>
          </w:p>
        </w:tc>
      </w:tr>
      <w:tr w14:paraId="2A65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B9D1D18">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上海保银私募基金管理有限公司</w:t>
            </w:r>
          </w:p>
        </w:tc>
      </w:tr>
      <w:tr w14:paraId="0E1B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F41F0FD">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上海博笃投资管理有限公司</w:t>
            </w:r>
          </w:p>
        </w:tc>
      </w:tr>
      <w:tr w14:paraId="6738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22B70C5">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上海禅龙资产管理有限公司</w:t>
            </w:r>
          </w:p>
        </w:tc>
      </w:tr>
      <w:tr w14:paraId="3529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883405E">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上海东方证券资产管理有限公司</w:t>
            </w:r>
          </w:p>
        </w:tc>
      </w:tr>
      <w:tr w14:paraId="607C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0B1F692">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上海高毅资产管理合伙企业(有限合伙)</w:t>
            </w:r>
          </w:p>
        </w:tc>
      </w:tr>
      <w:tr w14:paraId="0136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957831B">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上海固信投资控股有限公司</w:t>
            </w:r>
          </w:p>
        </w:tc>
      </w:tr>
      <w:tr w14:paraId="2B4FB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764C72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上海瀚伦私募基金管理有限公司</w:t>
            </w:r>
          </w:p>
        </w:tc>
      </w:tr>
      <w:tr w14:paraId="616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0350388">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上海汇正研究所</w:t>
            </w:r>
          </w:p>
        </w:tc>
      </w:tr>
      <w:tr w14:paraId="09D4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A0FA1AA">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上海开思私募基金管理有限公司</w:t>
            </w:r>
          </w:p>
        </w:tc>
      </w:tr>
      <w:tr w14:paraId="4B21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45E7F9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上海名世私募基金管理有限公司</w:t>
            </w:r>
          </w:p>
        </w:tc>
      </w:tr>
      <w:tr w14:paraId="6995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30DDD66">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上海浦东科创集团有限公司</w:t>
            </w:r>
          </w:p>
        </w:tc>
      </w:tr>
      <w:tr w14:paraId="51AC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A37076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上海钦沐资产管理合伙企业(有限合伙)</w:t>
            </w:r>
          </w:p>
        </w:tc>
      </w:tr>
      <w:tr w14:paraId="2D80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C3FD1D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上海秋阳予梁投资管理有限公司</w:t>
            </w:r>
          </w:p>
        </w:tc>
      </w:tr>
      <w:tr w14:paraId="2733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62F5658">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上海尚颀投资管理合伙企业(有限合伙)</w:t>
            </w:r>
          </w:p>
        </w:tc>
      </w:tr>
      <w:tr w14:paraId="54BD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5CAF732">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上海申九资产管理有限公司</w:t>
            </w:r>
          </w:p>
        </w:tc>
      </w:tr>
      <w:tr w14:paraId="4A34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4E7915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上海申银万国证券研究所有限公司</w:t>
            </w:r>
          </w:p>
        </w:tc>
      </w:tr>
      <w:tr w14:paraId="412D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8DA1C5A">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上海禧弘私募基金管理有限公司</w:t>
            </w:r>
          </w:p>
        </w:tc>
      </w:tr>
      <w:tr w14:paraId="6282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E54DD6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上海益昶资产管理有限公司</w:t>
            </w:r>
          </w:p>
        </w:tc>
      </w:tr>
      <w:tr w14:paraId="15A0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6DC9CD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上海证券有限责任公司</w:t>
            </w:r>
          </w:p>
        </w:tc>
      </w:tr>
      <w:tr w14:paraId="41A2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1B3AF1B">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上海中域资产管理中心(有限合伙)</w:t>
            </w:r>
          </w:p>
        </w:tc>
      </w:tr>
      <w:tr w14:paraId="7440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6D51369">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申万菱信基金管理有限公司</w:t>
            </w:r>
          </w:p>
        </w:tc>
      </w:tr>
      <w:tr w14:paraId="5E8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EE34D8E">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深圳丞毅投资有限公司</w:t>
            </w:r>
          </w:p>
        </w:tc>
      </w:tr>
      <w:tr w14:paraId="154B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C96E061">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深圳海盾赢华基金管理有限公司</w:t>
            </w:r>
          </w:p>
        </w:tc>
      </w:tr>
      <w:tr w14:paraId="1AEA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E7EC4B2">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深圳进门财经科技股份有限公司</w:t>
            </w:r>
          </w:p>
        </w:tc>
      </w:tr>
      <w:tr w14:paraId="5E6F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227AD4A">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深圳宽源私募证券基金管理有限公司</w:t>
            </w:r>
          </w:p>
        </w:tc>
      </w:tr>
      <w:tr w14:paraId="5656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4CDBC45">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深圳前海辰星私募证券投资基金管理合伙企业(有限合伙)</w:t>
            </w:r>
          </w:p>
        </w:tc>
      </w:tr>
      <w:tr w14:paraId="07DB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C0BFBE8">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深圳前海华杉投资管理有限公司</w:t>
            </w:r>
          </w:p>
        </w:tc>
      </w:tr>
      <w:tr w14:paraId="33AB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5328CA8">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深圳市恒泽私募证券基金管理有限公司</w:t>
            </w:r>
          </w:p>
        </w:tc>
      </w:tr>
      <w:tr w14:paraId="7F67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E719E82">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深圳市凯玄投资有限公司</w:t>
            </w:r>
          </w:p>
        </w:tc>
      </w:tr>
      <w:tr w14:paraId="6712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44A54C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深圳市尚诚资产管理有限责任公司</w:t>
            </w:r>
          </w:p>
        </w:tc>
      </w:tr>
      <w:tr w14:paraId="138D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57DCEB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深圳市泰聚私募</w:t>
            </w:r>
          </w:p>
        </w:tc>
      </w:tr>
      <w:tr w14:paraId="76C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F80CDAB">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深圳市裕晋投资有限公司</w:t>
            </w:r>
          </w:p>
        </w:tc>
      </w:tr>
      <w:tr w14:paraId="7035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5E121E1">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深圳市远致瑞信股权投资管理有限公司</w:t>
            </w:r>
          </w:p>
        </w:tc>
      </w:tr>
      <w:tr w14:paraId="1793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FD748E1">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深圳中科飞测科技股份有限公司</w:t>
            </w:r>
          </w:p>
        </w:tc>
      </w:tr>
      <w:tr w14:paraId="4FA7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73F7A6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太平养老保险股份有限公司</w:t>
            </w:r>
          </w:p>
        </w:tc>
      </w:tr>
      <w:tr w14:paraId="4789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0C6F53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太平资产管理有限公司</w:t>
            </w:r>
          </w:p>
        </w:tc>
      </w:tr>
      <w:tr w14:paraId="0197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FC4ADC6">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泰康资产管理有限责任公司</w:t>
            </w:r>
          </w:p>
        </w:tc>
      </w:tr>
      <w:tr w14:paraId="711C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1E9577B">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天风证券股份有限公司</w:t>
            </w:r>
          </w:p>
        </w:tc>
      </w:tr>
      <w:tr w14:paraId="5574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AE42759">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天治基金管理有限公司</w:t>
            </w:r>
          </w:p>
        </w:tc>
      </w:tr>
      <w:tr w14:paraId="787B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C293580">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西安江岳私募基金管理有限公司</w:t>
            </w:r>
          </w:p>
        </w:tc>
      </w:tr>
      <w:tr w14:paraId="2761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3A7190B">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西部证券股份有限公司</w:t>
            </w:r>
          </w:p>
        </w:tc>
      </w:tr>
      <w:tr w14:paraId="0412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13189C5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新华资产管理股份有限公司</w:t>
            </w:r>
          </w:p>
        </w:tc>
      </w:tr>
      <w:tr w14:paraId="46EE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DE5B7A0">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信达证券股份有限公司</w:t>
            </w:r>
          </w:p>
        </w:tc>
      </w:tr>
      <w:tr w14:paraId="4638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DB97926">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兴业证券股份有限公司</w:t>
            </w:r>
          </w:p>
        </w:tc>
      </w:tr>
      <w:tr w14:paraId="75D7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74AAA94">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兴证全球基金管理有限公司</w:t>
            </w:r>
          </w:p>
        </w:tc>
      </w:tr>
      <w:tr w14:paraId="5B65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D551511">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玄卜投资(上海)有限公司</w:t>
            </w:r>
          </w:p>
        </w:tc>
      </w:tr>
      <w:tr w14:paraId="20C8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264C09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耀松投资</w:t>
            </w:r>
          </w:p>
        </w:tc>
      </w:tr>
      <w:tr w14:paraId="47D8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D27A93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野村东方国际证券有限公司</w:t>
            </w:r>
          </w:p>
        </w:tc>
      </w:tr>
      <w:tr w14:paraId="13C2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A129F90">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伊诺尔集团有限公司</w:t>
            </w:r>
          </w:p>
        </w:tc>
      </w:tr>
      <w:tr w14:paraId="0D14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25717E6">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易知(北京)投资有限责任公司</w:t>
            </w:r>
          </w:p>
        </w:tc>
      </w:tr>
      <w:tr w14:paraId="732F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ACE4C35">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银华基金管理股份有限公司</w:t>
            </w:r>
          </w:p>
        </w:tc>
      </w:tr>
      <w:tr w14:paraId="4446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870F1E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永赢基金管理有限公司</w:t>
            </w:r>
          </w:p>
        </w:tc>
      </w:tr>
      <w:tr w14:paraId="6201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6D74344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涌德瑞烜(上海)私募基金管理有限公司</w:t>
            </w:r>
          </w:p>
        </w:tc>
      </w:tr>
      <w:tr w14:paraId="72A6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ED89402">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誉辉资本管理(北京)有限责任公司</w:t>
            </w:r>
          </w:p>
        </w:tc>
      </w:tr>
      <w:tr w14:paraId="3CFD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01026A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圆信永丰基金管理有限公司</w:t>
            </w:r>
          </w:p>
        </w:tc>
      </w:tr>
      <w:tr w14:paraId="7CDF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542B46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云南约牛软件科技有限公司</w:t>
            </w:r>
          </w:p>
        </w:tc>
      </w:tr>
      <w:tr w14:paraId="768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DE0E13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长安基金管理有限公司</w:t>
            </w:r>
          </w:p>
        </w:tc>
      </w:tr>
      <w:tr w14:paraId="51AD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2522FE0">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长城财富保险资产管理股份有限公司</w:t>
            </w:r>
          </w:p>
        </w:tc>
      </w:tr>
      <w:tr w14:paraId="6C5B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8D121F4">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长城基金管理有限公司</w:t>
            </w:r>
          </w:p>
        </w:tc>
      </w:tr>
      <w:tr w14:paraId="2D2B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0790CF3">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长江养老保险股份有限公司</w:t>
            </w:r>
          </w:p>
        </w:tc>
      </w:tr>
      <w:tr w14:paraId="7CB9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73180B4">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长盛基金管理有限公司</w:t>
            </w:r>
          </w:p>
        </w:tc>
      </w:tr>
      <w:tr w14:paraId="00B8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4C595F2">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招商证券股份有限公司</w:t>
            </w:r>
          </w:p>
        </w:tc>
      </w:tr>
      <w:tr w14:paraId="56CC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4502CC9">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浙江墨钜资产管理有限公司</w:t>
            </w:r>
          </w:p>
        </w:tc>
      </w:tr>
      <w:tr w14:paraId="0A42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E645C9A">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浙江盈阳资产管理股份有限公司</w:t>
            </w:r>
          </w:p>
        </w:tc>
      </w:tr>
      <w:tr w14:paraId="5048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25BD4BE">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浙江浙商证券资产管理有限公司</w:t>
            </w:r>
          </w:p>
        </w:tc>
      </w:tr>
      <w:tr w14:paraId="6B32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303CE02C">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浙商证券股份有限公司</w:t>
            </w:r>
          </w:p>
        </w:tc>
      </w:tr>
      <w:tr w14:paraId="756E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9B7562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中国国际金融股份有限公司</w:t>
            </w:r>
          </w:p>
        </w:tc>
      </w:tr>
      <w:tr w14:paraId="33A5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F47F5C1">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中国太平保险控股有限公司</w:t>
            </w:r>
          </w:p>
        </w:tc>
      </w:tr>
      <w:tr w14:paraId="1F5A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81FF50E">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中国银河证券股份有限公司</w:t>
            </w:r>
          </w:p>
        </w:tc>
      </w:tr>
      <w:tr w14:paraId="71EE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9C56084">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中国邮政储蓄银行股份有限公司</w:t>
            </w:r>
          </w:p>
        </w:tc>
      </w:tr>
      <w:tr w14:paraId="201E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6A7F9A5">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中略研究</w:t>
            </w:r>
          </w:p>
        </w:tc>
      </w:tr>
      <w:tr w14:paraId="0251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6BDDB69">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中欧瑞博(香港)资产管理有限公司</w:t>
            </w:r>
          </w:p>
        </w:tc>
      </w:tr>
      <w:tr w14:paraId="4040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153D82D">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中泰证券股份有限公司</w:t>
            </w:r>
          </w:p>
        </w:tc>
      </w:tr>
      <w:tr w14:paraId="2AE2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440060AA">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中天国富证券有限公司</w:t>
            </w:r>
          </w:p>
        </w:tc>
      </w:tr>
      <w:tr w14:paraId="3ED4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6087874">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中投国际(香港)有限公司</w:t>
            </w:r>
          </w:p>
        </w:tc>
      </w:tr>
      <w:tr w14:paraId="2F57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73A7A9AD">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中信保诚基金管理有限公司</w:t>
            </w:r>
          </w:p>
        </w:tc>
      </w:tr>
      <w:tr w14:paraId="68EE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06BA598F">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中信期货有限公司</w:t>
            </w:r>
          </w:p>
        </w:tc>
      </w:tr>
      <w:tr w14:paraId="703C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54155A02">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中银基金管理有限公司</w:t>
            </w:r>
          </w:p>
        </w:tc>
      </w:tr>
      <w:tr w14:paraId="735A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center"/>
          </w:tcPr>
          <w:p w14:paraId="2DD17D47">
            <w:pPr>
              <w:widowControl/>
              <w:jc w:val="left"/>
              <w:textAlignment w:val="center"/>
              <w:rPr>
                <w:rFonts w:hint="eastAsia" w:ascii="宋体" w:hAnsi="宋体" w:cs="宋体"/>
                <w:color w:val="000000"/>
                <w:kern w:val="0"/>
                <w:sz w:val="22"/>
                <w:szCs w:val="22"/>
                <w:lang w:bidi="ar"/>
                <w14:ligatures w14:val="standardContextual"/>
              </w:rPr>
            </w:pPr>
            <w:r>
              <w:rPr>
                <w:rFonts w:hint="eastAsia" w:ascii="宋体" w:hAnsi="宋体" w:cs="宋体"/>
                <w:color w:val="000000"/>
                <w:kern w:val="0"/>
                <w:sz w:val="22"/>
                <w:szCs w:val="22"/>
                <w:lang w:bidi="ar"/>
                <w14:ligatures w14:val="standardContextual"/>
              </w:rPr>
              <w:t>中邮证券有限责任公司</w:t>
            </w:r>
          </w:p>
        </w:tc>
      </w:tr>
    </w:tbl>
    <w:p w14:paraId="0CF3B4D9">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1F7E6"/>
    <w:multiLevelType w:val="multilevel"/>
    <w:tmpl w:val="DC51F7E6"/>
    <w:lvl w:ilvl="0" w:tentative="0">
      <w:start w:val="1"/>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730D2BD4"/>
    <w:multiLevelType w:val="multilevel"/>
    <w:tmpl w:val="730D2BD4"/>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733909E1"/>
    <w:multiLevelType w:val="multilevel"/>
    <w:tmpl w:val="733909E1"/>
    <w:lvl w:ilvl="0" w:tentative="0">
      <w:start w:val="1"/>
      <w:numFmt w:val="decimal"/>
      <w:suff w:val="nothing"/>
      <w:lvlText w:val="%1、"/>
      <w:lvlJc w:val="left"/>
      <w:pPr>
        <w:tabs>
          <w:tab w:val="left" w:pos="0"/>
        </w:tabs>
        <w:ind w:left="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yYzIzNDM2ZmQ0NThhMzE2OWRmODYzMWIwNWE2MmMifQ=="/>
  </w:docVars>
  <w:rsids>
    <w:rsidRoot w:val="00172A27"/>
    <w:rsid w:val="0000207D"/>
    <w:rsid w:val="00003F99"/>
    <w:rsid w:val="00005DB8"/>
    <w:rsid w:val="00017E6D"/>
    <w:rsid w:val="00032862"/>
    <w:rsid w:val="00034F4A"/>
    <w:rsid w:val="00043BF3"/>
    <w:rsid w:val="00043CCB"/>
    <w:rsid w:val="00051824"/>
    <w:rsid w:val="00064B25"/>
    <w:rsid w:val="000917BD"/>
    <w:rsid w:val="000A23CD"/>
    <w:rsid w:val="000F54F0"/>
    <w:rsid w:val="000F5B3C"/>
    <w:rsid w:val="00104AB5"/>
    <w:rsid w:val="001417C0"/>
    <w:rsid w:val="00156D14"/>
    <w:rsid w:val="0016571F"/>
    <w:rsid w:val="00172A27"/>
    <w:rsid w:val="00177422"/>
    <w:rsid w:val="001963D2"/>
    <w:rsid w:val="001A2E1E"/>
    <w:rsid w:val="001D3494"/>
    <w:rsid w:val="001F435C"/>
    <w:rsid w:val="002026A5"/>
    <w:rsid w:val="00246E5F"/>
    <w:rsid w:val="00253AA6"/>
    <w:rsid w:val="002577FC"/>
    <w:rsid w:val="00280483"/>
    <w:rsid w:val="00293E36"/>
    <w:rsid w:val="00295CED"/>
    <w:rsid w:val="002A2C74"/>
    <w:rsid w:val="002A6E13"/>
    <w:rsid w:val="002D5760"/>
    <w:rsid w:val="002D7C22"/>
    <w:rsid w:val="002F3005"/>
    <w:rsid w:val="003035EA"/>
    <w:rsid w:val="00313375"/>
    <w:rsid w:val="00352425"/>
    <w:rsid w:val="003609BA"/>
    <w:rsid w:val="0038458E"/>
    <w:rsid w:val="003934CF"/>
    <w:rsid w:val="003D73F2"/>
    <w:rsid w:val="003E70FC"/>
    <w:rsid w:val="004674B3"/>
    <w:rsid w:val="00480035"/>
    <w:rsid w:val="00496083"/>
    <w:rsid w:val="004A4122"/>
    <w:rsid w:val="004D6884"/>
    <w:rsid w:val="004E4354"/>
    <w:rsid w:val="005157BA"/>
    <w:rsid w:val="00543C4B"/>
    <w:rsid w:val="00577E82"/>
    <w:rsid w:val="005D04EB"/>
    <w:rsid w:val="005D73F1"/>
    <w:rsid w:val="0060566A"/>
    <w:rsid w:val="0062274F"/>
    <w:rsid w:val="006238E4"/>
    <w:rsid w:val="00626855"/>
    <w:rsid w:val="00652AE8"/>
    <w:rsid w:val="006903D5"/>
    <w:rsid w:val="006A78DE"/>
    <w:rsid w:val="006B4FCC"/>
    <w:rsid w:val="006B545D"/>
    <w:rsid w:val="006B66ED"/>
    <w:rsid w:val="006D43F0"/>
    <w:rsid w:val="006E257E"/>
    <w:rsid w:val="007261D6"/>
    <w:rsid w:val="00752966"/>
    <w:rsid w:val="007673C0"/>
    <w:rsid w:val="0078006F"/>
    <w:rsid w:val="0078552D"/>
    <w:rsid w:val="007B358A"/>
    <w:rsid w:val="007D3A2C"/>
    <w:rsid w:val="007D3D5E"/>
    <w:rsid w:val="007D6F29"/>
    <w:rsid w:val="0084654C"/>
    <w:rsid w:val="00854EBA"/>
    <w:rsid w:val="00860F71"/>
    <w:rsid w:val="008709A4"/>
    <w:rsid w:val="00872228"/>
    <w:rsid w:val="008A37DE"/>
    <w:rsid w:val="008B0754"/>
    <w:rsid w:val="008C3104"/>
    <w:rsid w:val="008F01C2"/>
    <w:rsid w:val="009029A5"/>
    <w:rsid w:val="00936C70"/>
    <w:rsid w:val="009767AF"/>
    <w:rsid w:val="00982B3C"/>
    <w:rsid w:val="009967E3"/>
    <w:rsid w:val="009A490D"/>
    <w:rsid w:val="009B0B11"/>
    <w:rsid w:val="009B7EE9"/>
    <w:rsid w:val="009E743C"/>
    <w:rsid w:val="009F2462"/>
    <w:rsid w:val="00A02202"/>
    <w:rsid w:val="00A3564B"/>
    <w:rsid w:val="00A41D3E"/>
    <w:rsid w:val="00A51F27"/>
    <w:rsid w:val="00A57435"/>
    <w:rsid w:val="00A636BA"/>
    <w:rsid w:val="00A6539A"/>
    <w:rsid w:val="00A66B32"/>
    <w:rsid w:val="00AB116A"/>
    <w:rsid w:val="00AC10F8"/>
    <w:rsid w:val="00AC7C57"/>
    <w:rsid w:val="00AE4ED3"/>
    <w:rsid w:val="00AF7E5D"/>
    <w:rsid w:val="00B217D8"/>
    <w:rsid w:val="00B26A5B"/>
    <w:rsid w:val="00B27B4D"/>
    <w:rsid w:val="00B57D71"/>
    <w:rsid w:val="00B77E3E"/>
    <w:rsid w:val="00B94D7F"/>
    <w:rsid w:val="00BB20B6"/>
    <w:rsid w:val="00BD00D7"/>
    <w:rsid w:val="00BD4DEB"/>
    <w:rsid w:val="00BE2DF2"/>
    <w:rsid w:val="00BF3668"/>
    <w:rsid w:val="00C06EB5"/>
    <w:rsid w:val="00CA0D83"/>
    <w:rsid w:val="00CA5C82"/>
    <w:rsid w:val="00CC3D8D"/>
    <w:rsid w:val="00CF1F10"/>
    <w:rsid w:val="00D01259"/>
    <w:rsid w:val="00D039FA"/>
    <w:rsid w:val="00D309C4"/>
    <w:rsid w:val="00D33132"/>
    <w:rsid w:val="00D4351F"/>
    <w:rsid w:val="00D50A23"/>
    <w:rsid w:val="00D51132"/>
    <w:rsid w:val="00DA041C"/>
    <w:rsid w:val="00DA3CC2"/>
    <w:rsid w:val="00DA4B90"/>
    <w:rsid w:val="00DA4F8C"/>
    <w:rsid w:val="00DB361F"/>
    <w:rsid w:val="00E179CD"/>
    <w:rsid w:val="00E52443"/>
    <w:rsid w:val="00E94303"/>
    <w:rsid w:val="00EB0D2E"/>
    <w:rsid w:val="00EC60AF"/>
    <w:rsid w:val="00ED20E6"/>
    <w:rsid w:val="00ED2CF5"/>
    <w:rsid w:val="00ED430E"/>
    <w:rsid w:val="00F04C52"/>
    <w:rsid w:val="00F1786D"/>
    <w:rsid w:val="00F305D4"/>
    <w:rsid w:val="00F514E1"/>
    <w:rsid w:val="00F52EBA"/>
    <w:rsid w:val="00F65EC7"/>
    <w:rsid w:val="00FF3305"/>
    <w:rsid w:val="02641C78"/>
    <w:rsid w:val="030148E2"/>
    <w:rsid w:val="04A96068"/>
    <w:rsid w:val="0A1A0405"/>
    <w:rsid w:val="0FE16FFE"/>
    <w:rsid w:val="10D00E71"/>
    <w:rsid w:val="151D2886"/>
    <w:rsid w:val="1A397B11"/>
    <w:rsid w:val="1B845309"/>
    <w:rsid w:val="1EBA2EF4"/>
    <w:rsid w:val="1F8B4890"/>
    <w:rsid w:val="21505D92"/>
    <w:rsid w:val="2471674B"/>
    <w:rsid w:val="253F23A5"/>
    <w:rsid w:val="2724357D"/>
    <w:rsid w:val="29C235A5"/>
    <w:rsid w:val="2F032695"/>
    <w:rsid w:val="2F253272"/>
    <w:rsid w:val="3B4E2EEA"/>
    <w:rsid w:val="3B992858"/>
    <w:rsid w:val="44022AC4"/>
    <w:rsid w:val="48311BC9"/>
    <w:rsid w:val="49441489"/>
    <w:rsid w:val="4C673E0C"/>
    <w:rsid w:val="4D4952BF"/>
    <w:rsid w:val="4FD56329"/>
    <w:rsid w:val="5237602E"/>
    <w:rsid w:val="524424F9"/>
    <w:rsid w:val="53DB4C8D"/>
    <w:rsid w:val="556F5ADF"/>
    <w:rsid w:val="5DCB3E2A"/>
    <w:rsid w:val="5E8256BC"/>
    <w:rsid w:val="5EA67827"/>
    <w:rsid w:val="67B75314"/>
    <w:rsid w:val="6E105C5A"/>
    <w:rsid w:val="727F1B46"/>
    <w:rsid w:val="75AD7071"/>
    <w:rsid w:val="797C0647"/>
    <w:rsid w:val="7A613399"/>
    <w:rsid w:val="7CD5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table" w:styleId="8">
    <w:name w:val="Table Grid"/>
    <w:basedOn w:val="7"/>
    <w:autoRedefine/>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autoRedefine/>
    <w:semiHidden/>
    <w:unhideWhenUsed/>
    <w:qFormat/>
    <w:uiPriority w:val="99"/>
    <w:rPr>
      <w:color w:val="954F72"/>
      <w:u w:val="single"/>
    </w:rPr>
  </w:style>
  <w:style w:type="character" w:styleId="11">
    <w:name w:val="Emphasis"/>
    <w:basedOn w:val="9"/>
    <w:qFormat/>
    <w:uiPriority w:val="20"/>
    <w:rPr>
      <w:i/>
    </w:rPr>
  </w:style>
  <w:style w:type="character" w:styleId="12">
    <w:name w:val="Hyperlink"/>
    <w:basedOn w:val="9"/>
    <w:autoRedefine/>
    <w:semiHidden/>
    <w:unhideWhenUsed/>
    <w:qFormat/>
    <w:uiPriority w:val="99"/>
    <w:rPr>
      <w:color w:val="0563C1"/>
      <w:u w:val="single"/>
    </w:rPr>
  </w:style>
  <w:style w:type="character" w:styleId="13">
    <w:name w:val="annotation reference"/>
    <w:basedOn w:val="9"/>
    <w:autoRedefine/>
    <w:semiHidden/>
    <w:unhideWhenUsed/>
    <w:qFormat/>
    <w:uiPriority w:val="99"/>
    <w:rPr>
      <w:sz w:val="21"/>
      <w:szCs w:val="21"/>
    </w:rPr>
  </w:style>
  <w:style w:type="character" w:customStyle="1" w:styleId="14">
    <w:name w:val="页眉 字符"/>
    <w:basedOn w:val="9"/>
    <w:link w:val="5"/>
    <w:autoRedefine/>
    <w:qFormat/>
    <w:uiPriority w:val="99"/>
    <w:rPr>
      <w:rFonts w:ascii="Times New Roman" w:hAnsi="Times New Roman" w:eastAsia="宋体" w:cs="Times New Roman"/>
      <w:sz w:val="18"/>
      <w:szCs w:val="18"/>
    </w:rPr>
  </w:style>
  <w:style w:type="character" w:customStyle="1" w:styleId="15">
    <w:name w:val="页脚 字符"/>
    <w:basedOn w:val="9"/>
    <w:link w:val="4"/>
    <w:autoRedefine/>
    <w:qFormat/>
    <w:uiPriority w:val="99"/>
    <w:rPr>
      <w:rFonts w:ascii="Times New Roman" w:hAnsi="Times New Roman" w:eastAsia="宋体" w:cs="Times New Roman"/>
      <w:sz w:val="18"/>
      <w:szCs w:val="18"/>
    </w:rPr>
  </w:style>
  <w:style w:type="character" w:customStyle="1" w:styleId="16">
    <w:name w:val="批注文字 字符"/>
    <w:basedOn w:val="9"/>
    <w:link w:val="2"/>
    <w:autoRedefine/>
    <w:qFormat/>
    <w:uiPriority w:val="99"/>
    <w:rPr>
      <w:rFonts w:ascii="Times New Roman" w:hAnsi="Times New Roman" w:eastAsia="宋体" w:cs="Times New Roman"/>
      <w:szCs w:val="24"/>
    </w:rPr>
  </w:style>
  <w:style w:type="character" w:customStyle="1" w:styleId="17">
    <w:name w:val="批注主题 字符"/>
    <w:basedOn w:val="16"/>
    <w:link w:val="6"/>
    <w:autoRedefine/>
    <w:semiHidden/>
    <w:qFormat/>
    <w:uiPriority w:val="99"/>
    <w:rPr>
      <w:rFonts w:ascii="Times New Roman" w:hAnsi="Times New Roman" w:eastAsia="宋体" w:cs="Times New Roman"/>
      <w:b/>
      <w:bCs/>
      <w:szCs w:val="24"/>
    </w:rPr>
  </w:style>
  <w:style w:type="character" w:customStyle="1" w:styleId="18">
    <w:name w:val="批注框文本 字符"/>
    <w:basedOn w:val="9"/>
    <w:link w:val="3"/>
    <w:semiHidden/>
    <w:qFormat/>
    <w:uiPriority w:val="99"/>
    <w:rPr>
      <w:rFonts w:ascii="Times New Roman" w:hAnsi="Times New Roman" w:eastAsia="宋体" w:cs="Times New Roman"/>
      <w:sz w:val="18"/>
      <w:szCs w:val="18"/>
    </w:rPr>
  </w:style>
  <w:style w:type="paragraph" w:customStyle="1" w:styleId="19">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
    <w:name w:val="font5"/>
    <w:basedOn w:val="1"/>
    <w:autoRedefine/>
    <w:qFormat/>
    <w:uiPriority w:val="0"/>
    <w:pPr>
      <w:widowControl/>
      <w:spacing w:before="100" w:beforeAutospacing="1" w:after="100" w:afterAutospacing="1"/>
      <w:jc w:val="left"/>
    </w:pPr>
    <w:rPr>
      <w:rFonts w:ascii="楷体" w:hAnsi="楷体" w:eastAsia="楷体" w:cs="宋体"/>
      <w:kern w:val="0"/>
      <w:sz w:val="18"/>
      <w:szCs w:val="18"/>
    </w:rPr>
  </w:style>
  <w:style w:type="paragraph" w:customStyle="1" w:styleId="22">
    <w:name w:val="font6"/>
    <w:basedOn w:val="1"/>
    <w:autoRedefine/>
    <w:qFormat/>
    <w:uiPriority w:val="0"/>
    <w:pPr>
      <w:widowControl/>
      <w:spacing w:before="100" w:beforeAutospacing="1" w:after="100" w:afterAutospacing="1"/>
      <w:jc w:val="left"/>
    </w:pPr>
    <w:rPr>
      <w:rFonts w:ascii="楷体" w:hAnsi="楷体" w:eastAsia="楷体" w:cs="宋体"/>
      <w:b/>
      <w:bCs/>
      <w:color w:val="000000"/>
      <w:kern w:val="0"/>
      <w:sz w:val="28"/>
      <w:szCs w:val="28"/>
    </w:rPr>
  </w:style>
  <w:style w:type="paragraph" w:customStyle="1" w:styleId="23">
    <w:name w:val="xl63"/>
    <w:basedOn w:val="1"/>
    <w:autoRedefine/>
    <w:qFormat/>
    <w:uiPriority w:val="0"/>
    <w:pPr>
      <w:widowControl/>
      <w:spacing w:before="100" w:beforeAutospacing="1" w:after="100" w:afterAutospacing="1"/>
      <w:jc w:val="center"/>
    </w:pPr>
    <w:rPr>
      <w:kern w:val="0"/>
      <w:sz w:val="24"/>
    </w:rPr>
  </w:style>
  <w:style w:type="paragraph" w:customStyle="1" w:styleId="24">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5">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4"/>
    </w:rPr>
  </w:style>
  <w:style w:type="paragraph" w:customStyle="1" w:styleId="26">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27">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70"/>
    <w:basedOn w:val="1"/>
    <w:autoRedefine/>
    <w:qFormat/>
    <w:uiPriority w:val="0"/>
    <w:pPr>
      <w:widowControl/>
      <w:spacing w:before="100" w:beforeAutospacing="1" w:after="100" w:afterAutospacing="1"/>
      <w:jc w:val="center"/>
    </w:pPr>
    <w:rPr>
      <w:kern w:val="0"/>
      <w:sz w:val="24"/>
    </w:rPr>
  </w:style>
  <w:style w:type="paragraph" w:customStyle="1" w:styleId="31">
    <w:name w:val="xl71"/>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2">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042F5-A57E-49E0-AFCE-2CC95AD6668F}">
  <ds:schemaRefs/>
</ds:datastoreItem>
</file>

<file path=docProps/app.xml><?xml version="1.0" encoding="utf-8"?>
<Properties xmlns="http://schemas.openxmlformats.org/officeDocument/2006/extended-properties" xmlns:vt="http://schemas.openxmlformats.org/officeDocument/2006/docPropsVTypes">
  <Template>Normal</Template>
  <Pages>11</Pages>
  <Words>3743</Words>
  <Characters>3876</Characters>
  <Lines>46</Lines>
  <Paragraphs>13</Paragraphs>
  <TotalTime>26</TotalTime>
  <ScaleCrop>false</ScaleCrop>
  <LinksUpToDate>false</LinksUpToDate>
  <CharactersWithSpaces>4006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2026-04-29T03:05:00Z</dcterms:created>
  <dc:creator>skd004</dc:creator>
  <cp:lastModifiedBy>zhuangsisi</cp:lastModifiedBy>
  <dcterms:modified xsi:type="dcterms:W3CDTF">2026-04-30T06:32:49Z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121D0155DA7F49678F8F6481E09021BC_13</vt:lpwstr>
  </property>
  <property fmtid="{D5CDD505-2E9C-101B-9397-08002B2CF9AE}" pid="4" name="KSOTemplateDocerSaveRecord">
    <vt:lpwstr>eyJoZGlkIjoiOGY3MzgwYThkNzg3ZDA2YWZmNjIxNWU0ODIwMGRjM2YiLCJ1c2VySWQiOiIxNjczNjk1MTI2In0=</vt:lpwstr>
  </property>
</Properties>
</file>