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9729" w14:textId="218A27F4" w:rsidR="004A375F" w:rsidRPr="004112D0" w:rsidRDefault="00EF495B" w:rsidP="006801B7">
      <w:pPr>
        <w:kinsoku/>
        <w:spacing w:before="85" w:line="185" w:lineRule="auto"/>
        <w:jc w:val="both"/>
        <w:rPr>
          <w:rFonts w:ascii="宋体" w:eastAsia="宋体" w:hAnsi="宋体" w:cs="宋体" w:hint="eastAsia"/>
          <w:sz w:val="24"/>
          <w:szCs w:val="24"/>
        </w:rPr>
      </w:pPr>
      <w:r w:rsidRPr="004112D0">
        <w:rPr>
          <w:rFonts w:ascii="宋体" w:eastAsia="宋体" w:hAnsi="宋体" w:cs="宋体"/>
          <w:spacing w:val="-10"/>
          <w:sz w:val="24"/>
          <w:szCs w:val="24"/>
        </w:rPr>
        <w:t>证券代码：</w:t>
      </w:r>
      <w:r w:rsidRPr="004112D0">
        <w:rPr>
          <w:rFonts w:ascii="宋体" w:eastAsia="宋体" w:hAnsi="宋体" w:cs="Times New Roman" w:hint="eastAsia"/>
          <w:spacing w:val="-10"/>
          <w:sz w:val="24"/>
          <w:szCs w:val="24"/>
        </w:rPr>
        <w:t>688553</w:t>
      </w:r>
      <w:r w:rsidRPr="004112D0">
        <w:rPr>
          <w:rFonts w:ascii="宋体" w:eastAsia="宋体" w:hAnsi="宋体" w:cs="Times New Roman"/>
          <w:sz w:val="24"/>
          <w:szCs w:val="24"/>
        </w:rPr>
        <w:t xml:space="preserve">                                          </w:t>
      </w:r>
      <w:r w:rsidRPr="004112D0">
        <w:rPr>
          <w:rFonts w:ascii="宋体" w:eastAsia="宋体" w:hAnsi="宋体" w:cs="宋体"/>
          <w:spacing w:val="-10"/>
          <w:sz w:val="24"/>
          <w:szCs w:val="24"/>
        </w:rPr>
        <w:t>证券简称：</w:t>
      </w:r>
      <w:r w:rsidRPr="004112D0">
        <w:rPr>
          <w:rFonts w:ascii="宋体" w:eastAsia="宋体" w:hAnsi="宋体" w:cs="宋体"/>
          <w:sz w:val="24"/>
          <w:szCs w:val="24"/>
        </w:rPr>
        <w:t>汇宇制药</w:t>
      </w:r>
    </w:p>
    <w:p w14:paraId="4BF6EB44" w14:textId="77777777" w:rsidR="004A375F" w:rsidRPr="004112D0" w:rsidRDefault="004A375F">
      <w:pPr>
        <w:kinsoku/>
        <w:spacing w:before="311" w:line="185" w:lineRule="auto"/>
        <w:jc w:val="center"/>
        <w:rPr>
          <w:rFonts w:ascii="宋体" w:eastAsia="宋体" w:hAnsi="宋体" w:cs="宋体" w:hint="eastAsia"/>
          <w:sz w:val="32"/>
          <w:szCs w:val="32"/>
          <w14:textOutline w14:w="4356" w14:cap="flat" w14:cmpd="sng" w14:algn="ctr">
            <w14:solidFill>
              <w14:srgbClr w14:val="000000"/>
            </w14:solidFill>
            <w14:prstDash w14:val="solid"/>
            <w14:miter w14:lim="0"/>
          </w14:textOutline>
        </w:rPr>
      </w:pPr>
    </w:p>
    <w:p w14:paraId="5AAC74C8" w14:textId="77777777" w:rsidR="004A375F" w:rsidRPr="004112D0" w:rsidRDefault="00EF495B">
      <w:pPr>
        <w:kinsoku/>
        <w:spacing w:before="311" w:line="185" w:lineRule="auto"/>
        <w:jc w:val="center"/>
        <w:rPr>
          <w:rFonts w:ascii="宋体" w:eastAsia="宋体" w:hAnsi="宋体" w:cs="宋体" w:hint="eastAsia"/>
          <w:sz w:val="32"/>
          <w:szCs w:val="32"/>
          <w14:textOutline w14:w="4356" w14:cap="flat" w14:cmpd="sng" w14:algn="ctr">
            <w14:solidFill>
              <w14:srgbClr w14:val="000000"/>
            </w14:solidFill>
            <w14:prstDash w14:val="solid"/>
            <w14:miter w14:lim="0"/>
          </w14:textOutline>
        </w:rPr>
      </w:pPr>
      <w:r w:rsidRPr="004112D0">
        <w:rPr>
          <w:rFonts w:ascii="宋体" w:eastAsia="宋体" w:hAnsi="宋体" w:cs="宋体" w:hint="eastAsia"/>
          <w:sz w:val="32"/>
          <w:szCs w:val="32"/>
          <w14:textOutline w14:w="4356" w14:cap="flat" w14:cmpd="sng" w14:algn="ctr">
            <w14:solidFill>
              <w14:srgbClr w14:val="000000"/>
            </w14:solidFill>
            <w14:prstDash w14:val="solid"/>
            <w14:miter w14:lim="0"/>
          </w14:textOutline>
        </w:rPr>
        <w:t>四川汇宇制药股份有限公司</w:t>
      </w:r>
      <w:r w:rsidRPr="004112D0">
        <w:rPr>
          <w:rFonts w:ascii="宋体" w:eastAsia="宋体" w:hAnsi="宋体" w:cs="宋体"/>
          <w:sz w:val="32"/>
          <w:szCs w:val="32"/>
          <w14:textOutline w14:w="4356" w14:cap="flat" w14:cmpd="sng" w14:algn="ctr">
            <w14:solidFill>
              <w14:srgbClr w14:val="000000"/>
            </w14:solidFill>
            <w14:prstDash w14:val="solid"/>
            <w14:miter w14:lim="0"/>
          </w14:textOutline>
        </w:rPr>
        <w:t>投资者关系活动记录表</w:t>
      </w:r>
    </w:p>
    <w:p w14:paraId="2508F7C5" w14:textId="77777777" w:rsidR="004A375F" w:rsidRPr="004112D0" w:rsidRDefault="004A375F">
      <w:pPr>
        <w:kinsoku/>
        <w:spacing w:before="311" w:line="185" w:lineRule="auto"/>
        <w:jc w:val="center"/>
        <w:rPr>
          <w:rFonts w:ascii="宋体" w:eastAsia="宋体" w:hAnsi="宋体" w:cs="宋体" w:hint="eastAsia"/>
          <w:sz w:val="32"/>
          <w:szCs w:val="32"/>
        </w:rPr>
      </w:pPr>
    </w:p>
    <w:p w14:paraId="6416159C" w14:textId="7D7EA4E8" w:rsidR="004A375F" w:rsidRPr="004112D0" w:rsidRDefault="00EF495B">
      <w:pPr>
        <w:kinsoku/>
        <w:spacing w:before="321" w:line="185" w:lineRule="auto"/>
        <w:ind w:right="224"/>
        <w:jc w:val="right"/>
        <w:rPr>
          <w:rFonts w:ascii="宋体" w:eastAsia="宋体" w:hAnsi="宋体" w:cs="Times New Roman" w:hint="eastAsia"/>
          <w:sz w:val="24"/>
          <w:szCs w:val="24"/>
        </w:rPr>
      </w:pPr>
      <w:r w:rsidRPr="004112D0">
        <w:rPr>
          <w:rFonts w:ascii="宋体" w:eastAsia="宋体" w:hAnsi="宋体" w:cs="宋体"/>
          <w:spacing w:val="-16"/>
          <w:sz w:val="24"/>
          <w:szCs w:val="24"/>
        </w:rPr>
        <w:t>编号：</w:t>
      </w:r>
      <w:r w:rsidRPr="004112D0">
        <w:rPr>
          <w:rFonts w:ascii="宋体" w:eastAsia="宋体" w:hAnsi="宋体" w:cs="Times New Roman"/>
          <w:spacing w:val="-5"/>
          <w:sz w:val="24"/>
          <w:szCs w:val="24"/>
        </w:rPr>
        <w:t>202</w:t>
      </w:r>
      <w:r w:rsidR="00D34D57">
        <w:rPr>
          <w:rFonts w:ascii="宋体" w:eastAsia="宋体" w:hAnsi="宋体" w:cs="Times New Roman" w:hint="eastAsia"/>
          <w:spacing w:val="-5"/>
          <w:sz w:val="24"/>
          <w:szCs w:val="24"/>
        </w:rPr>
        <w:t>6</w:t>
      </w:r>
      <w:r w:rsidRPr="004112D0">
        <w:rPr>
          <w:rFonts w:ascii="宋体" w:eastAsia="宋体" w:hAnsi="宋体" w:cs="Times New Roman"/>
          <w:spacing w:val="-5"/>
          <w:sz w:val="24"/>
          <w:szCs w:val="24"/>
        </w:rPr>
        <w:t>-0</w:t>
      </w:r>
      <w:r w:rsidRPr="004112D0">
        <w:rPr>
          <w:rFonts w:ascii="宋体" w:eastAsia="宋体" w:hAnsi="宋体" w:cs="Times New Roman" w:hint="eastAsia"/>
          <w:spacing w:val="-5"/>
          <w:sz w:val="24"/>
          <w:szCs w:val="24"/>
        </w:rPr>
        <w:t>0</w:t>
      </w:r>
      <w:r w:rsidR="00D34D57">
        <w:rPr>
          <w:rFonts w:ascii="宋体" w:eastAsia="宋体" w:hAnsi="宋体" w:cs="Times New Roman" w:hint="eastAsia"/>
          <w:spacing w:val="-5"/>
          <w:sz w:val="24"/>
          <w:szCs w:val="24"/>
        </w:rPr>
        <w:t>1</w:t>
      </w:r>
    </w:p>
    <w:p w14:paraId="3E47E1BB" w14:textId="77777777" w:rsidR="004A375F" w:rsidRPr="004112D0" w:rsidRDefault="004A375F">
      <w:pPr>
        <w:kinsoku/>
        <w:spacing w:line="42" w:lineRule="exact"/>
        <w:rPr>
          <w:rFonts w:ascii="宋体" w:eastAsia="宋体" w:hAnsi="宋体" w:hint="eastAsia"/>
        </w:rPr>
      </w:pPr>
    </w:p>
    <w:tbl>
      <w:tblPr>
        <w:tblStyle w:val="TableNormal"/>
        <w:tblW w:w="89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113" w:type="dxa"/>
          <w:bottom w:w="113" w:type="dxa"/>
          <w:right w:w="113" w:type="dxa"/>
        </w:tblCellMar>
        <w:tblLook w:val="04A0" w:firstRow="1" w:lastRow="0" w:firstColumn="1" w:lastColumn="0" w:noHBand="0" w:noVBand="1"/>
      </w:tblPr>
      <w:tblGrid>
        <w:gridCol w:w="1361"/>
        <w:gridCol w:w="64"/>
        <w:gridCol w:w="2053"/>
        <w:gridCol w:w="5424"/>
      </w:tblGrid>
      <w:tr w:rsidR="004A375F" w:rsidRPr="004112D0" w14:paraId="1EF88A1C" w14:textId="77777777">
        <w:trPr>
          <w:trHeight w:val="1434"/>
        </w:trPr>
        <w:tc>
          <w:tcPr>
            <w:tcW w:w="1361" w:type="dxa"/>
            <w:vMerge w:val="restart"/>
            <w:tcBorders>
              <w:bottom w:val="nil"/>
            </w:tcBorders>
            <w:vAlign w:val="center"/>
          </w:tcPr>
          <w:p w14:paraId="66AB9787" w14:textId="77777777" w:rsidR="004A375F" w:rsidRPr="004112D0" w:rsidRDefault="00EF495B">
            <w:pPr>
              <w:kinsoku/>
              <w:spacing w:before="78" w:line="185" w:lineRule="auto"/>
              <w:ind w:leftChars="-50" w:left="-105" w:firstLine="165"/>
              <w:rPr>
                <w:rFonts w:ascii="宋体" w:eastAsia="宋体" w:hAnsi="宋体" w:cs="宋体" w:hint="eastAsia"/>
                <w:sz w:val="24"/>
                <w:szCs w:val="24"/>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投资者关</w:t>
            </w:r>
          </w:p>
          <w:p w14:paraId="5FE0F2A7" w14:textId="77777777" w:rsidR="004A375F" w:rsidRPr="004112D0" w:rsidRDefault="00EF495B">
            <w:pPr>
              <w:kinsoku/>
              <w:spacing w:before="225" w:line="185" w:lineRule="auto"/>
              <w:ind w:leftChars="-50" w:left="-105" w:firstLine="167"/>
              <w:rPr>
                <w:rFonts w:ascii="宋体" w:eastAsia="宋体" w:hAnsi="宋体" w:cs="宋体" w:hint="eastAsia"/>
                <w:sz w:val="24"/>
                <w:szCs w:val="24"/>
              </w:rPr>
            </w:pPr>
            <w:r w:rsidRPr="004112D0">
              <w:rPr>
                <w:rFonts w:ascii="宋体" w:eastAsia="宋体" w:hAnsi="宋体" w:cs="宋体"/>
                <w:spacing w:val="-3"/>
                <w:sz w:val="24"/>
                <w:szCs w:val="24"/>
                <w14:textOutline w14:w="4356" w14:cap="flat" w14:cmpd="sng" w14:algn="ctr">
                  <w14:solidFill>
                    <w14:srgbClr w14:val="000000"/>
                  </w14:solidFill>
                  <w14:prstDash w14:val="solid"/>
                  <w14:miter w14:lim="0"/>
                </w14:textOutline>
              </w:rPr>
              <w:t>系活动类</w:t>
            </w:r>
          </w:p>
          <w:p w14:paraId="53C9DDFD" w14:textId="77777777" w:rsidR="004A375F" w:rsidRPr="004112D0" w:rsidRDefault="00EF495B">
            <w:pPr>
              <w:kinsoku/>
              <w:spacing w:before="230" w:line="185" w:lineRule="auto"/>
              <w:ind w:leftChars="-50" w:left="-105" w:firstLine="526"/>
              <w:rPr>
                <w:rFonts w:ascii="宋体" w:eastAsia="宋体" w:hAnsi="宋体" w:cs="宋体" w:hint="eastAsia"/>
                <w:sz w:val="24"/>
                <w:szCs w:val="24"/>
              </w:rPr>
            </w:pPr>
            <w:r w:rsidRPr="004112D0">
              <w:rPr>
                <w:rFonts w:ascii="宋体" w:eastAsia="宋体" w:hAnsi="宋体" w:cs="宋体"/>
                <w:sz w:val="24"/>
                <w:szCs w:val="24"/>
                <w14:textOutline w14:w="4356" w14:cap="flat" w14:cmpd="sng" w14:algn="ctr">
                  <w14:solidFill>
                    <w14:srgbClr w14:val="000000"/>
                  </w14:solidFill>
                  <w14:prstDash w14:val="solid"/>
                  <w14:miter w14:lim="0"/>
                </w14:textOutline>
              </w:rPr>
              <w:t>别</w:t>
            </w:r>
          </w:p>
        </w:tc>
        <w:tc>
          <w:tcPr>
            <w:tcW w:w="2117" w:type="dxa"/>
            <w:gridSpan w:val="2"/>
            <w:tcBorders>
              <w:bottom w:val="nil"/>
              <w:right w:val="nil"/>
            </w:tcBorders>
            <w:vAlign w:val="center"/>
          </w:tcPr>
          <w:p w14:paraId="02560D47" w14:textId="77777777" w:rsidR="004A375F" w:rsidRPr="004112D0" w:rsidRDefault="00EF495B">
            <w:pPr>
              <w:kinsoku/>
              <w:spacing w:before="119" w:line="185" w:lineRule="auto"/>
              <w:ind w:firstLine="121"/>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1"/>
                <w:sz w:val="24"/>
                <w:szCs w:val="24"/>
              </w:rPr>
              <w:t>特定对象调研</w:t>
            </w:r>
          </w:p>
          <w:p w14:paraId="3A481284" w14:textId="77777777" w:rsidR="004A375F" w:rsidRPr="004112D0" w:rsidRDefault="00EF495B">
            <w:pPr>
              <w:kinsoku/>
              <w:spacing w:before="230" w:line="198" w:lineRule="auto"/>
              <w:ind w:firstLine="118"/>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3"/>
                <w:sz w:val="24"/>
                <w:szCs w:val="24"/>
              </w:rPr>
              <w:t>媒体采访</w:t>
            </w:r>
          </w:p>
          <w:p w14:paraId="79FB34DC" w14:textId="77777777" w:rsidR="004A375F" w:rsidRPr="004112D0" w:rsidRDefault="00EF495B">
            <w:pPr>
              <w:kinsoku/>
              <w:spacing w:before="208" w:line="198" w:lineRule="auto"/>
              <w:ind w:firstLine="118"/>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3"/>
                <w:sz w:val="24"/>
                <w:szCs w:val="24"/>
              </w:rPr>
              <w:t>新闻发布会</w:t>
            </w:r>
          </w:p>
        </w:tc>
        <w:tc>
          <w:tcPr>
            <w:tcW w:w="5424" w:type="dxa"/>
            <w:tcBorders>
              <w:left w:val="nil"/>
              <w:bottom w:val="nil"/>
            </w:tcBorders>
            <w:vAlign w:val="center"/>
          </w:tcPr>
          <w:p w14:paraId="3527C3C6" w14:textId="77777777" w:rsidR="004A375F" w:rsidRPr="004112D0" w:rsidRDefault="00EF495B">
            <w:pPr>
              <w:kinsoku/>
              <w:spacing w:before="120" w:line="198" w:lineRule="auto"/>
              <w:ind w:firstLineChars="200" w:firstLine="480"/>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3"/>
                <w:sz w:val="24"/>
                <w:szCs w:val="24"/>
              </w:rPr>
              <w:t>分析师会议</w:t>
            </w:r>
          </w:p>
          <w:p w14:paraId="518E537A" w14:textId="77777777" w:rsidR="004A375F" w:rsidRPr="004112D0" w:rsidRDefault="00EF495B">
            <w:pPr>
              <w:kinsoku/>
              <w:spacing w:before="213" w:line="198" w:lineRule="auto"/>
              <w:ind w:firstLine="469"/>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52"/>
            </w:r>
            <w:r w:rsidRPr="004112D0">
              <w:rPr>
                <w:rFonts w:ascii="宋体" w:eastAsia="宋体" w:hAnsi="宋体" w:cs="宋体"/>
                <w:spacing w:val="-3"/>
                <w:sz w:val="24"/>
                <w:szCs w:val="24"/>
              </w:rPr>
              <w:t>业绩说明会</w:t>
            </w:r>
          </w:p>
          <w:p w14:paraId="5C255346" w14:textId="77777777" w:rsidR="004A375F" w:rsidRPr="004112D0" w:rsidRDefault="00EF495B">
            <w:pPr>
              <w:kinsoku/>
              <w:spacing w:before="208" w:line="198" w:lineRule="auto"/>
              <w:ind w:firstLine="469"/>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3"/>
                <w:sz w:val="24"/>
                <w:szCs w:val="24"/>
              </w:rPr>
              <w:t>路演活动</w:t>
            </w:r>
          </w:p>
        </w:tc>
      </w:tr>
      <w:tr w:rsidR="004A375F" w:rsidRPr="004112D0" w14:paraId="5E661454" w14:textId="77777777">
        <w:trPr>
          <w:trHeight w:val="917"/>
        </w:trPr>
        <w:tc>
          <w:tcPr>
            <w:tcW w:w="1361" w:type="dxa"/>
            <w:vMerge/>
            <w:tcBorders>
              <w:top w:val="nil"/>
            </w:tcBorders>
            <w:vAlign w:val="center"/>
          </w:tcPr>
          <w:p w14:paraId="3FD71A4E" w14:textId="77777777" w:rsidR="004A375F" w:rsidRPr="004112D0" w:rsidRDefault="004A375F">
            <w:pPr>
              <w:kinsoku/>
              <w:rPr>
                <w:rFonts w:ascii="宋体" w:eastAsia="宋体" w:hAnsi="宋体" w:hint="eastAsia"/>
              </w:rPr>
            </w:pPr>
          </w:p>
        </w:tc>
        <w:tc>
          <w:tcPr>
            <w:tcW w:w="7541" w:type="dxa"/>
            <w:gridSpan w:val="3"/>
            <w:tcBorders>
              <w:top w:val="nil"/>
            </w:tcBorders>
            <w:vAlign w:val="center"/>
          </w:tcPr>
          <w:p w14:paraId="3A18FCC6" w14:textId="77777777" w:rsidR="004A375F" w:rsidRPr="004112D0" w:rsidRDefault="00EF495B">
            <w:pPr>
              <w:kinsoku/>
              <w:spacing w:before="93" w:line="198" w:lineRule="auto"/>
              <w:ind w:firstLine="118"/>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3"/>
                <w:sz w:val="24"/>
                <w:szCs w:val="24"/>
              </w:rPr>
              <w:t>现场参观</w:t>
            </w:r>
          </w:p>
          <w:p w14:paraId="6BA61AFC" w14:textId="77777777" w:rsidR="004A375F" w:rsidRPr="004112D0" w:rsidRDefault="00EF495B">
            <w:pPr>
              <w:kinsoku/>
              <w:spacing w:before="208" w:line="198" w:lineRule="auto"/>
              <w:ind w:firstLine="118"/>
              <w:rPr>
                <w:rFonts w:ascii="宋体" w:eastAsia="宋体" w:hAnsi="宋体" w:cs="宋体" w:hint="eastAsia"/>
                <w:sz w:val="24"/>
                <w:szCs w:val="24"/>
              </w:rPr>
            </w:pPr>
            <w:r w:rsidRPr="004112D0">
              <w:rPr>
                <w:rFonts w:ascii="宋体" w:eastAsia="宋体" w:hAnsi="宋体" w:cs="Times New Roman"/>
                <w:spacing w:val="-3"/>
                <w:sz w:val="24"/>
                <w:szCs w:val="24"/>
              </w:rPr>
              <w:sym w:font="Wingdings 2" w:char="00A3"/>
            </w:r>
            <w:r w:rsidRPr="004112D0">
              <w:rPr>
                <w:rFonts w:ascii="宋体" w:eastAsia="宋体" w:hAnsi="宋体" w:cs="宋体"/>
                <w:spacing w:val="-10"/>
                <w:sz w:val="24"/>
                <w:szCs w:val="24"/>
              </w:rPr>
              <w:t>其他</w:t>
            </w:r>
            <w:r w:rsidRPr="004112D0">
              <w:rPr>
                <w:rFonts w:ascii="宋体" w:eastAsia="宋体" w:hAnsi="宋体" w:cs="宋体"/>
                <w:spacing w:val="11"/>
                <w:sz w:val="24"/>
                <w:szCs w:val="24"/>
              </w:rPr>
              <w:t xml:space="preserve"> </w:t>
            </w:r>
            <w:r w:rsidRPr="004112D0">
              <w:rPr>
                <w:rFonts w:ascii="宋体" w:eastAsia="宋体" w:hAnsi="宋体" w:cs="宋体" w:hint="eastAsia"/>
                <w:spacing w:val="11"/>
                <w:sz w:val="24"/>
                <w:szCs w:val="24"/>
                <w:u w:val="single"/>
              </w:rPr>
              <w:t xml:space="preserve"> </w:t>
            </w:r>
            <w:r w:rsidRPr="004112D0">
              <w:rPr>
                <w:rFonts w:ascii="宋体" w:eastAsia="宋体" w:hAnsi="宋体" w:cs="宋体"/>
                <w:sz w:val="24"/>
                <w:szCs w:val="24"/>
                <w:u w:val="single"/>
              </w:rPr>
              <w:t xml:space="preserve">（请文字说明其他活动内容） </w:t>
            </w:r>
            <w:r w:rsidRPr="004112D0">
              <w:rPr>
                <w:rFonts w:ascii="宋体" w:eastAsia="宋体" w:hAnsi="宋体" w:cs="宋体" w:hint="eastAsia"/>
                <w:spacing w:val="11"/>
                <w:sz w:val="24"/>
                <w:szCs w:val="24"/>
                <w:u w:val="single"/>
              </w:rPr>
              <w:t xml:space="preserve"> </w:t>
            </w:r>
          </w:p>
        </w:tc>
      </w:tr>
      <w:tr w:rsidR="004A375F" w:rsidRPr="004112D0" w14:paraId="607B8A14" w14:textId="77777777" w:rsidTr="00BA1147">
        <w:trPr>
          <w:trHeight w:val="1772"/>
        </w:trPr>
        <w:tc>
          <w:tcPr>
            <w:tcW w:w="1361" w:type="dxa"/>
            <w:vAlign w:val="center"/>
          </w:tcPr>
          <w:p w14:paraId="0D26D22E"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参与单位</w:t>
            </w:r>
          </w:p>
          <w:p w14:paraId="2559E543"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名称</w:t>
            </w:r>
          </w:p>
        </w:tc>
        <w:tc>
          <w:tcPr>
            <w:tcW w:w="7541" w:type="dxa"/>
            <w:gridSpan w:val="3"/>
            <w:vAlign w:val="center"/>
          </w:tcPr>
          <w:p w14:paraId="04BCF7D0" w14:textId="2CFED792" w:rsidR="004A375F" w:rsidRPr="004112D0" w:rsidRDefault="00EF495B">
            <w:pPr>
              <w:kinsoku/>
              <w:spacing w:before="119" w:line="360" w:lineRule="auto"/>
              <w:ind w:right="36"/>
              <w:rPr>
                <w:rFonts w:ascii="宋体" w:eastAsia="宋体" w:hAnsi="宋体" w:cs="宋体" w:hint="eastAsia"/>
                <w:sz w:val="24"/>
                <w:szCs w:val="24"/>
              </w:rPr>
            </w:pPr>
            <w:r w:rsidRPr="004112D0">
              <w:rPr>
                <w:rFonts w:ascii="宋体" w:eastAsia="宋体" w:hAnsi="宋体" w:cs="Times New Roman" w:hint="eastAsia"/>
                <w:sz w:val="24"/>
                <w:szCs w:val="24"/>
              </w:rPr>
              <w:t>通过线上方式参与公司</w:t>
            </w:r>
            <w:r w:rsidR="00D34D57" w:rsidRPr="00D34D57">
              <w:rPr>
                <w:rFonts w:ascii="宋体" w:eastAsia="宋体" w:hAnsi="宋体" w:cs="Times New Roman"/>
                <w:sz w:val="24"/>
                <w:szCs w:val="24"/>
              </w:rPr>
              <w:t>2025年年度暨2026年第一季度业绩说明会</w:t>
            </w:r>
            <w:r w:rsidRPr="004112D0">
              <w:rPr>
                <w:rFonts w:ascii="宋体" w:eastAsia="宋体" w:hAnsi="宋体" w:cs="Times New Roman" w:hint="eastAsia"/>
                <w:sz w:val="24"/>
                <w:szCs w:val="24"/>
              </w:rPr>
              <w:t>的投资者</w:t>
            </w:r>
          </w:p>
        </w:tc>
      </w:tr>
      <w:tr w:rsidR="004A375F" w:rsidRPr="004112D0" w14:paraId="78AE529A" w14:textId="77777777" w:rsidTr="00ED0CB8">
        <w:trPr>
          <w:trHeight w:val="1337"/>
        </w:trPr>
        <w:tc>
          <w:tcPr>
            <w:tcW w:w="1361" w:type="dxa"/>
            <w:vAlign w:val="center"/>
          </w:tcPr>
          <w:p w14:paraId="7E6CFED9"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时间</w:t>
            </w:r>
          </w:p>
        </w:tc>
        <w:tc>
          <w:tcPr>
            <w:tcW w:w="7541" w:type="dxa"/>
            <w:gridSpan w:val="3"/>
            <w:vAlign w:val="center"/>
          </w:tcPr>
          <w:p w14:paraId="3679C604" w14:textId="318D4589" w:rsidR="004A375F" w:rsidRPr="004112D0" w:rsidRDefault="00EF495B">
            <w:pPr>
              <w:kinsoku/>
              <w:spacing w:before="117" w:line="185" w:lineRule="auto"/>
              <w:rPr>
                <w:rFonts w:ascii="宋体" w:eastAsia="宋体" w:hAnsi="宋体" w:cs="Times New Roman" w:hint="eastAsia"/>
                <w:sz w:val="24"/>
                <w:szCs w:val="24"/>
              </w:rPr>
            </w:pPr>
            <w:r w:rsidRPr="004112D0">
              <w:rPr>
                <w:rFonts w:ascii="宋体" w:eastAsia="宋体" w:hAnsi="宋体" w:cs="Times New Roman" w:hint="eastAsia"/>
                <w:sz w:val="24"/>
                <w:szCs w:val="24"/>
              </w:rPr>
              <w:t>202</w:t>
            </w:r>
            <w:r w:rsidR="00D34D57">
              <w:rPr>
                <w:rFonts w:ascii="宋体" w:eastAsia="宋体" w:hAnsi="宋体" w:cs="Times New Roman" w:hint="eastAsia"/>
                <w:sz w:val="24"/>
                <w:szCs w:val="24"/>
              </w:rPr>
              <w:t>6</w:t>
            </w:r>
            <w:r w:rsidRPr="004112D0">
              <w:rPr>
                <w:rFonts w:ascii="宋体" w:eastAsia="宋体" w:hAnsi="宋体" w:cs="Times New Roman" w:hint="eastAsia"/>
                <w:sz w:val="24"/>
                <w:szCs w:val="24"/>
              </w:rPr>
              <w:t>年</w:t>
            </w:r>
            <w:r w:rsidR="00D34D57">
              <w:rPr>
                <w:rFonts w:ascii="宋体" w:eastAsia="宋体" w:hAnsi="宋体" w:cs="Times New Roman" w:hint="eastAsia"/>
                <w:sz w:val="24"/>
                <w:szCs w:val="24"/>
              </w:rPr>
              <w:t>5</w:t>
            </w:r>
            <w:r w:rsidRPr="004112D0">
              <w:rPr>
                <w:rFonts w:ascii="宋体" w:eastAsia="宋体" w:hAnsi="宋体" w:cs="Times New Roman" w:hint="eastAsia"/>
                <w:sz w:val="24"/>
                <w:szCs w:val="24"/>
              </w:rPr>
              <w:t>月</w:t>
            </w:r>
            <w:r w:rsidR="00D34D57">
              <w:rPr>
                <w:rFonts w:ascii="宋体" w:eastAsia="宋体" w:hAnsi="宋体" w:cs="Times New Roman" w:hint="eastAsia"/>
                <w:sz w:val="24"/>
                <w:szCs w:val="24"/>
              </w:rPr>
              <w:t>7</w:t>
            </w:r>
            <w:r w:rsidRPr="004112D0">
              <w:rPr>
                <w:rFonts w:ascii="宋体" w:eastAsia="宋体" w:hAnsi="宋体" w:cs="Times New Roman" w:hint="eastAsia"/>
                <w:sz w:val="24"/>
                <w:szCs w:val="24"/>
              </w:rPr>
              <w:t xml:space="preserve">日 </w:t>
            </w:r>
            <w:r w:rsidR="00C61D0E" w:rsidRPr="004112D0">
              <w:rPr>
                <w:rFonts w:ascii="宋体" w:eastAsia="宋体" w:hAnsi="宋体" w:cs="Times New Roman" w:hint="eastAsia"/>
                <w:sz w:val="24"/>
                <w:szCs w:val="24"/>
              </w:rPr>
              <w:t>上</w:t>
            </w:r>
            <w:r w:rsidRPr="004112D0">
              <w:rPr>
                <w:rFonts w:ascii="宋体" w:eastAsia="宋体" w:hAnsi="宋体" w:cs="Times New Roman" w:hint="eastAsia"/>
                <w:sz w:val="24"/>
                <w:szCs w:val="24"/>
              </w:rPr>
              <w:t>午 1</w:t>
            </w:r>
            <w:r w:rsidR="00D34D57">
              <w:rPr>
                <w:rFonts w:ascii="宋体" w:eastAsia="宋体" w:hAnsi="宋体" w:cs="Times New Roman" w:hint="eastAsia"/>
                <w:sz w:val="24"/>
                <w:szCs w:val="24"/>
              </w:rPr>
              <w:t>1</w:t>
            </w:r>
            <w:r w:rsidRPr="004112D0">
              <w:rPr>
                <w:rFonts w:ascii="宋体" w:eastAsia="宋体" w:hAnsi="宋体" w:cs="Times New Roman" w:hint="eastAsia"/>
                <w:sz w:val="24"/>
                <w:szCs w:val="24"/>
              </w:rPr>
              <w:t>:</w:t>
            </w:r>
            <w:r w:rsidR="00855AF4" w:rsidRPr="004112D0">
              <w:rPr>
                <w:rFonts w:ascii="宋体" w:eastAsia="宋体" w:hAnsi="宋体" w:cs="Times New Roman" w:hint="eastAsia"/>
                <w:sz w:val="24"/>
                <w:szCs w:val="24"/>
              </w:rPr>
              <w:t>0</w:t>
            </w:r>
            <w:r w:rsidRPr="004112D0">
              <w:rPr>
                <w:rFonts w:ascii="宋体" w:eastAsia="宋体" w:hAnsi="宋体" w:cs="Times New Roman" w:hint="eastAsia"/>
                <w:sz w:val="24"/>
                <w:szCs w:val="24"/>
              </w:rPr>
              <w:t>0-1</w:t>
            </w:r>
            <w:r w:rsidR="00D34D57">
              <w:rPr>
                <w:rFonts w:ascii="宋体" w:eastAsia="宋体" w:hAnsi="宋体" w:cs="Times New Roman" w:hint="eastAsia"/>
                <w:sz w:val="24"/>
                <w:szCs w:val="24"/>
              </w:rPr>
              <w:t>2</w:t>
            </w:r>
            <w:r w:rsidRPr="004112D0">
              <w:rPr>
                <w:rFonts w:ascii="宋体" w:eastAsia="宋体" w:hAnsi="宋体" w:cs="Times New Roman" w:hint="eastAsia"/>
                <w:sz w:val="24"/>
                <w:szCs w:val="24"/>
              </w:rPr>
              <w:t>:</w:t>
            </w:r>
            <w:r w:rsidR="00855AF4" w:rsidRPr="004112D0">
              <w:rPr>
                <w:rFonts w:ascii="宋体" w:eastAsia="宋体" w:hAnsi="宋体" w:cs="Times New Roman" w:hint="eastAsia"/>
                <w:sz w:val="24"/>
                <w:szCs w:val="24"/>
              </w:rPr>
              <w:t>0</w:t>
            </w:r>
            <w:r w:rsidRPr="004112D0">
              <w:rPr>
                <w:rFonts w:ascii="宋体" w:eastAsia="宋体" w:hAnsi="宋体" w:cs="Times New Roman" w:hint="eastAsia"/>
                <w:sz w:val="24"/>
                <w:szCs w:val="24"/>
              </w:rPr>
              <w:t xml:space="preserve">0 </w:t>
            </w:r>
          </w:p>
        </w:tc>
      </w:tr>
      <w:tr w:rsidR="004A375F" w:rsidRPr="004112D0" w14:paraId="701ED989" w14:textId="77777777" w:rsidTr="00ED0CB8">
        <w:trPr>
          <w:trHeight w:val="1617"/>
        </w:trPr>
        <w:tc>
          <w:tcPr>
            <w:tcW w:w="1361" w:type="dxa"/>
            <w:vAlign w:val="center"/>
          </w:tcPr>
          <w:p w14:paraId="52A3E544"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地点</w:t>
            </w:r>
          </w:p>
        </w:tc>
        <w:tc>
          <w:tcPr>
            <w:tcW w:w="7541" w:type="dxa"/>
            <w:gridSpan w:val="3"/>
            <w:vAlign w:val="center"/>
          </w:tcPr>
          <w:p w14:paraId="1C011211" w14:textId="36B20AE9" w:rsidR="004A375F" w:rsidRPr="004112D0" w:rsidRDefault="00EF495B">
            <w:pPr>
              <w:rPr>
                <w:rFonts w:ascii="宋体" w:eastAsia="宋体" w:hAnsi="宋体" w:cs="Times New Roman" w:hint="eastAsia"/>
                <w:sz w:val="24"/>
                <w:szCs w:val="24"/>
              </w:rPr>
            </w:pPr>
            <w:r w:rsidRPr="004112D0">
              <w:rPr>
                <w:rFonts w:ascii="宋体" w:eastAsia="宋体" w:hAnsi="宋体" w:cs="Times New Roman"/>
                <w:sz w:val="24"/>
                <w:szCs w:val="24"/>
              </w:rPr>
              <w:t>上海证券交易所上证路演中心</w:t>
            </w:r>
            <w:r w:rsidRPr="004112D0">
              <w:rPr>
                <w:rFonts w:ascii="宋体" w:eastAsia="宋体" w:hAnsi="宋体" w:cs="Times New Roman" w:hint="eastAsia"/>
                <w:sz w:val="24"/>
                <w:szCs w:val="24"/>
              </w:rPr>
              <w:t>（</w:t>
            </w:r>
            <w:r w:rsidRPr="004112D0">
              <w:rPr>
                <w:rFonts w:ascii="宋体" w:eastAsia="宋体" w:hAnsi="宋体" w:cs="Times New Roman"/>
                <w:sz w:val="24"/>
                <w:szCs w:val="24"/>
              </w:rPr>
              <w:t>http://roadshow.sseinfo.com/</w:t>
            </w:r>
            <w:r w:rsidRPr="004112D0">
              <w:rPr>
                <w:rFonts w:ascii="宋体" w:eastAsia="宋体" w:hAnsi="宋体" w:cs="Times New Roman" w:hint="eastAsia"/>
                <w:sz w:val="24"/>
                <w:szCs w:val="24"/>
              </w:rPr>
              <w:t>）</w:t>
            </w:r>
          </w:p>
        </w:tc>
      </w:tr>
      <w:tr w:rsidR="004A375F" w:rsidRPr="004112D0" w14:paraId="62B34C0C" w14:textId="77777777" w:rsidTr="00ED0CB8">
        <w:trPr>
          <w:trHeight w:val="4150"/>
        </w:trPr>
        <w:tc>
          <w:tcPr>
            <w:tcW w:w="1361" w:type="dxa"/>
            <w:vAlign w:val="center"/>
          </w:tcPr>
          <w:p w14:paraId="6A8C41EC"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上市公司</w:t>
            </w:r>
          </w:p>
          <w:p w14:paraId="21C9DCF8"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接待人员</w:t>
            </w:r>
          </w:p>
          <w:p w14:paraId="582ECE97"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姓名</w:t>
            </w:r>
          </w:p>
        </w:tc>
        <w:tc>
          <w:tcPr>
            <w:tcW w:w="7541" w:type="dxa"/>
            <w:gridSpan w:val="3"/>
            <w:vAlign w:val="center"/>
          </w:tcPr>
          <w:p w14:paraId="16B84F0D" w14:textId="77777777" w:rsidR="004A375F" w:rsidRPr="004112D0" w:rsidRDefault="00EF495B">
            <w:pPr>
              <w:kinsoku/>
              <w:spacing w:before="119" w:line="360" w:lineRule="auto"/>
              <w:ind w:left="112" w:right="36"/>
              <w:jc w:val="both"/>
              <w:rPr>
                <w:rFonts w:ascii="宋体" w:eastAsia="宋体" w:hAnsi="宋体" w:cs="宋体" w:hint="eastAsia"/>
                <w:spacing w:val="-2"/>
                <w:sz w:val="24"/>
                <w:szCs w:val="24"/>
              </w:rPr>
            </w:pPr>
            <w:r w:rsidRPr="004112D0">
              <w:rPr>
                <w:rFonts w:ascii="宋体" w:eastAsia="宋体" w:hAnsi="宋体" w:cs="宋体"/>
                <w:spacing w:val="-2"/>
                <w:sz w:val="24"/>
                <w:szCs w:val="24"/>
              </w:rPr>
              <w:t>董事</w:t>
            </w:r>
            <w:r w:rsidRPr="004112D0">
              <w:rPr>
                <w:rFonts w:ascii="宋体" w:eastAsia="宋体" w:hAnsi="宋体" w:cs="宋体" w:hint="eastAsia"/>
                <w:spacing w:val="-2"/>
                <w:sz w:val="24"/>
                <w:szCs w:val="24"/>
              </w:rPr>
              <w:t>长、总经理：丁兆</w:t>
            </w:r>
          </w:p>
          <w:p w14:paraId="37BD512F" w14:textId="77777777" w:rsidR="004A375F" w:rsidRPr="004112D0" w:rsidRDefault="00EF495B">
            <w:pPr>
              <w:kinsoku/>
              <w:spacing w:before="119" w:line="360" w:lineRule="auto"/>
              <w:ind w:left="112" w:right="36"/>
              <w:jc w:val="both"/>
              <w:rPr>
                <w:rFonts w:ascii="宋体" w:eastAsia="宋体" w:hAnsi="宋体" w:cs="宋体" w:hint="eastAsia"/>
                <w:spacing w:val="-2"/>
                <w:sz w:val="24"/>
                <w:szCs w:val="24"/>
              </w:rPr>
            </w:pPr>
            <w:r w:rsidRPr="004112D0">
              <w:rPr>
                <w:rFonts w:ascii="宋体" w:eastAsia="宋体" w:hAnsi="宋体" w:cs="宋体" w:hint="eastAsia"/>
                <w:spacing w:val="-2"/>
                <w:sz w:val="24"/>
                <w:szCs w:val="24"/>
              </w:rPr>
              <w:t>董事、财务总监：高岚</w:t>
            </w:r>
          </w:p>
          <w:p w14:paraId="50DE8FBF" w14:textId="77777777" w:rsidR="004A375F" w:rsidRPr="004112D0" w:rsidRDefault="00EF495B">
            <w:pPr>
              <w:kinsoku/>
              <w:spacing w:before="119" w:line="360" w:lineRule="auto"/>
              <w:ind w:left="112" w:right="36"/>
              <w:jc w:val="both"/>
              <w:rPr>
                <w:rFonts w:ascii="宋体" w:eastAsia="宋体" w:hAnsi="宋体" w:cs="宋体" w:hint="eastAsia"/>
                <w:spacing w:val="-2"/>
                <w:sz w:val="24"/>
                <w:szCs w:val="24"/>
              </w:rPr>
            </w:pPr>
            <w:r w:rsidRPr="004112D0">
              <w:rPr>
                <w:rFonts w:ascii="宋体" w:eastAsia="宋体" w:hAnsi="宋体" w:cs="宋体" w:hint="eastAsia"/>
                <w:spacing w:val="-2"/>
                <w:sz w:val="24"/>
                <w:szCs w:val="24"/>
              </w:rPr>
              <w:t>独立董事：龙永强</w:t>
            </w:r>
          </w:p>
          <w:p w14:paraId="58F8FA9D" w14:textId="7CA22A68" w:rsidR="00040518" w:rsidRPr="004112D0" w:rsidRDefault="00C61D0E" w:rsidP="00040518">
            <w:pPr>
              <w:kinsoku/>
              <w:spacing w:before="119" w:line="360" w:lineRule="auto"/>
              <w:ind w:left="112" w:right="36"/>
              <w:jc w:val="both"/>
              <w:rPr>
                <w:rFonts w:ascii="宋体" w:eastAsia="宋体" w:hAnsi="宋体" w:cs="宋体" w:hint="eastAsia"/>
                <w:spacing w:val="-2"/>
                <w:sz w:val="24"/>
                <w:szCs w:val="24"/>
              </w:rPr>
            </w:pPr>
            <w:r w:rsidRPr="004112D0">
              <w:rPr>
                <w:rFonts w:ascii="宋体" w:eastAsia="宋体" w:hAnsi="宋体" w:cs="宋体" w:hint="eastAsia"/>
                <w:spacing w:val="-2"/>
                <w:sz w:val="24"/>
                <w:szCs w:val="24"/>
              </w:rPr>
              <w:t>董事、</w:t>
            </w:r>
            <w:r w:rsidR="00040518" w:rsidRPr="004112D0">
              <w:rPr>
                <w:rFonts w:ascii="宋体" w:eastAsia="宋体" w:hAnsi="宋体" w:cs="宋体" w:hint="eastAsia"/>
                <w:spacing w:val="-2"/>
                <w:sz w:val="24"/>
                <w:szCs w:val="24"/>
              </w:rPr>
              <w:t>副总经理、董事会秘书：张春平</w:t>
            </w:r>
          </w:p>
        </w:tc>
      </w:tr>
      <w:tr w:rsidR="004A375F" w:rsidRPr="004112D0" w14:paraId="1B4DA6BF" w14:textId="77777777">
        <w:trPr>
          <w:trHeight w:val="15642"/>
        </w:trPr>
        <w:tc>
          <w:tcPr>
            <w:tcW w:w="1425" w:type="dxa"/>
            <w:gridSpan w:val="2"/>
            <w:vAlign w:val="center"/>
          </w:tcPr>
          <w:p w14:paraId="32A1DA03" w14:textId="2E1C15B3" w:rsidR="004A375F" w:rsidRPr="004112D0" w:rsidRDefault="00EF495B">
            <w:pPr>
              <w:kinsoku/>
              <w:spacing w:before="78" w:line="359" w:lineRule="auto"/>
              <w:ind w:left="115" w:right="109" w:firstLine="1"/>
              <w:jc w:val="center"/>
              <w:rPr>
                <w:rFonts w:ascii="宋体" w:eastAsia="宋体" w:hAnsi="宋体" w:cs="宋体" w:hint="eastAsia"/>
                <w:sz w:val="24"/>
                <w:szCs w:val="24"/>
              </w:rPr>
            </w:pPr>
            <w:r w:rsidRPr="004112D0">
              <w:rPr>
                <w:rFonts w:ascii="宋体" w:eastAsia="宋体" w:hAnsi="宋体"/>
              </w:rPr>
              <w:lastRenderedPageBreak/>
              <w:br w:type="page"/>
            </w:r>
            <w:r w:rsidRPr="004112D0">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投资者关系活动主要内容介绍</w:t>
            </w:r>
          </w:p>
        </w:tc>
        <w:tc>
          <w:tcPr>
            <w:tcW w:w="7477" w:type="dxa"/>
            <w:gridSpan w:val="2"/>
            <w:vAlign w:val="center"/>
          </w:tcPr>
          <w:p w14:paraId="51165EF1" w14:textId="77777777" w:rsidR="004A375F" w:rsidRPr="004112D0" w:rsidRDefault="00EF495B">
            <w:pPr>
              <w:numPr>
                <w:ilvl w:val="0"/>
                <w:numId w:val="1"/>
              </w:numPr>
              <w:kinsoku/>
              <w:spacing w:before="119" w:line="360" w:lineRule="auto"/>
              <w:ind w:right="36"/>
              <w:jc w:val="both"/>
              <w:rPr>
                <w:rFonts w:ascii="宋体" w:eastAsia="宋体" w:hAnsi="宋体" w:cs="Times New Roman" w:hint="eastAsia"/>
                <w:b/>
                <w:bCs/>
                <w:color w:val="auto"/>
                <w:spacing w:val="-5"/>
                <w:sz w:val="24"/>
                <w:szCs w:val="24"/>
              </w:rPr>
            </w:pPr>
            <w:r w:rsidRPr="004112D0">
              <w:rPr>
                <w:rFonts w:ascii="宋体" w:eastAsia="宋体" w:hAnsi="宋体" w:cs="Times New Roman" w:hint="eastAsia"/>
                <w:b/>
                <w:bCs/>
                <w:color w:val="auto"/>
                <w:spacing w:val="-5"/>
                <w:sz w:val="24"/>
                <w:szCs w:val="24"/>
              </w:rPr>
              <w:t>经营情况</w:t>
            </w:r>
          </w:p>
          <w:p w14:paraId="2A3878C2" w14:textId="77777777" w:rsidR="00D47B0A" w:rsidRPr="004112D0" w:rsidRDefault="00D47B0A" w:rsidP="00D47B0A">
            <w:pPr>
              <w:kinsoku/>
              <w:spacing w:before="119" w:line="360" w:lineRule="auto"/>
              <w:ind w:right="36" w:firstLineChars="200" w:firstLine="476"/>
              <w:jc w:val="both"/>
              <w:rPr>
                <w:rFonts w:ascii="宋体" w:eastAsia="宋体" w:hAnsi="宋体" w:cs="宋体" w:hint="eastAsia"/>
                <w:color w:val="auto"/>
                <w:spacing w:val="-2"/>
                <w:sz w:val="24"/>
                <w:szCs w:val="24"/>
              </w:rPr>
            </w:pPr>
            <w:r w:rsidRPr="004112D0">
              <w:rPr>
                <w:rFonts w:ascii="宋体" w:eastAsia="宋体" w:hAnsi="宋体" w:cs="宋体" w:hint="eastAsia"/>
                <w:color w:val="auto"/>
                <w:spacing w:val="-2"/>
                <w:sz w:val="24"/>
                <w:szCs w:val="24"/>
              </w:rPr>
              <w:t>汇宇制药是一家研发驱动型的综合制药企业，主要从事肿瘤创新药和优质仿制药的研发、生产和国内外销售。为全球患者提供疗效确切、质量精湛、价格合理的药品，让癌症成为一种可以控制的疾病。</w:t>
            </w:r>
          </w:p>
          <w:p w14:paraId="71D742F0" w14:textId="7377F623" w:rsidR="001558CD" w:rsidRPr="004112D0" w:rsidRDefault="009D1623" w:rsidP="001558CD">
            <w:pPr>
              <w:kinsoku/>
              <w:spacing w:before="119" w:line="360" w:lineRule="auto"/>
              <w:ind w:right="36" w:firstLineChars="200" w:firstLine="476"/>
              <w:jc w:val="both"/>
              <w:rPr>
                <w:rFonts w:ascii="宋体" w:eastAsia="宋体" w:hAnsi="宋体" w:cs="宋体" w:hint="eastAsia"/>
                <w:color w:val="auto"/>
                <w:spacing w:val="-2"/>
                <w:sz w:val="24"/>
                <w:szCs w:val="24"/>
              </w:rPr>
            </w:pPr>
            <w:r w:rsidRPr="004112D0">
              <w:rPr>
                <w:rFonts w:ascii="宋体" w:eastAsia="宋体" w:hAnsi="宋体" w:cs="宋体"/>
                <w:color w:val="auto"/>
                <w:spacing w:val="-2"/>
                <w:sz w:val="24"/>
                <w:szCs w:val="24"/>
              </w:rPr>
              <w:t>2025</w:t>
            </w:r>
            <w:r w:rsidRPr="004112D0">
              <w:rPr>
                <w:rFonts w:ascii="宋体" w:eastAsia="宋体" w:hAnsi="宋体" w:cs="宋体" w:hint="eastAsia"/>
                <w:color w:val="auto"/>
                <w:spacing w:val="-2"/>
                <w:sz w:val="24"/>
                <w:szCs w:val="24"/>
              </w:rPr>
              <w:t>年，公司实现营业总收入</w:t>
            </w:r>
            <w:r w:rsidR="00A740CB">
              <w:rPr>
                <w:rFonts w:ascii="宋体" w:eastAsia="宋体" w:hAnsi="宋体" w:cs="宋体" w:hint="eastAsia"/>
                <w:color w:val="auto"/>
                <w:spacing w:val="-2"/>
                <w:sz w:val="24"/>
                <w:szCs w:val="24"/>
              </w:rPr>
              <w:t>99</w:t>
            </w:r>
            <w:r w:rsidRPr="004112D0">
              <w:rPr>
                <w:rFonts w:ascii="宋体" w:eastAsia="宋体" w:hAnsi="宋体" w:cs="宋体"/>
                <w:color w:val="auto"/>
                <w:spacing w:val="-2"/>
                <w:sz w:val="24"/>
                <w:szCs w:val="24"/>
              </w:rPr>
              <w:t>,</w:t>
            </w:r>
            <w:r w:rsidR="00A740CB">
              <w:rPr>
                <w:rFonts w:ascii="宋体" w:eastAsia="宋体" w:hAnsi="宋体" w:cs="宋体" w:hint="eastAsia"/>
                <w:color w:val="auto"/>
                <w:spacing w:val="-2"/>
                <w:sz w:val="24"/>
                <w:szCs w:val="24"/>
              </w:rPr>
              <w:t>814</w:t>
            </w:r>
            <w:r w:rsidRPr="004112D0">
              <w:rPr>
                <w:rFonts w:ascii="宋体" w:eastAsia="宋体" w:hAnsi="宋体" w:cs="宋体" w:hint="eastAsia"/>
                <w:color w:val="auto"/>
                <w:spacing w:val="-2"/>
                <w:sz w:val="24"/>
                <w:szCs w:val="24"/>
              </w:rPr>
              <w:t>万元，扣除非经营损益归属上市公司股东的净利润</w:t>
            </w:r>
            <w:r w:rsidR="00C34995">
              <w:rPr>
                <w:rFonts w:ascii="宋体" w:eastAsia="宋体" w:hAnsi="宋体" w:cs="宋体" w:hint="eastAsia"/>
                <w:color w:val="auto"/>
                <w:spacing w:val="-2"/>
                <w:sz w:val="24"/>
                <w:szCs w:val="24"/>
              </w:rPr>
              <w:t>为</w:t>
            </w:r>
            <w:r w:rsidR="00A740CB">
              <w:rPr>
                <w:rFonts w:ascii="宋体" w:eastAsia="宋体" w:hAnsi="宋体" w:cs="宋体" w:hint="eastAsia"/>
                <w:color w:val="auto"/>
                <w:spacing w:val="-2"/>
                <w:sz w:val="24"/>
                <w:szCs w:val="24"/>
              </w:rPr>
              <w:t>8</w:t>
            </w:r>
            <w:r w:rsidRPr="004112D0">
              <w:rPr>
                <w:rFonts w:ascii="宋体" w:eastAsia="宋体" w:hAnsi="宋体" w:cs="宋体"/>
                <w:color w:val="auto"/>
                <w:spacing w:val="-2"/>
                <w:sz w:val="24"/>
                <w:szCs w:val="24"/>
              </w:rPr>
              <w:t>,</w:t>
            </w:r>
            <w:r w:rsidR="00A740CB">
              <w:rPr>
                <w:rFonts w:ascii="宋体" w:eastAsia="宋体" w:hAnsi="宋体" w:cs="宋体" w:hint="eastAsia"/>
                <w:color w:val="auto"/>
                <w:spacing w:val="-2"/>
                <w:sz w:val="24"/>
                <w:szCs w:val="24"/>
              </w:rPr>
              <w:t>509</w:t>
            </w:r>
            <w:r w:rsidRPr="004112D0">
              <w:rPr>
                <w:rFonts w:ascii="宋体" w:eastAsia="宋体" w:hAnsi="宋体" w:cs="宋体" w:hint="eastAsia"/>
                <w:color w:val="auto"/>
                <w:spacing w:val="-2"/>
                <w:sz w:val="24"/>
                <w:szCs w:val="24"/>
              </w:rPr>
              <w:t>万元。</w:t>
            </w:r>
            <w:r w:rsidRPr="004112D0">
              <w:rPr>
                <w:rFonts w:ascii="宋体" w:eastAsia="宋体" w:hAnsi="宋体" w:cs="宋体"/>
                <w:color w:val="auto"/>
                <w:spacing w:val="-2"/>
                <w:sz w:val="24"/>
                <w:szCs w:val="24"/>
              </w:rPr>
              <w:t>202</w:t>
            </w:r>
            <w:r w:rsidR="00E0158B">
              <w:rPr>
                <w:rFonts w:ascii="宋体" w:eastAsia="宋体" w:hAnsi="宋体" w:cs="宋体" w:hint="eastAsia"/>
                <w:color w:val="auto"/>
                <w:spacing w:val="-2"/>
                <w:sz w:val="24"/>
                <w:szCs w:val="24"/>
              </w:rPr>
              <w:t>6</w:t>
            </w:r>
            <w:r w:rsidRPr="004112D0">
              <w:rPr>
                <w:rFonts w:ascii="宋体" w:eastAsia="宋体" w:hAnsi="宋体" w:cs="宋体" w:hint="eastAsia"/>
                <w:color w:val="auto"/>
                <w:spacing w:val="-2"/>
                <w:sz w:val="24"/>
                <w:szCs w:val="24"/>
              </w:rPr>
              <w:t>年第</w:t>
            </w:r>
            <w:r w:rsidR="00E0158B">
              <w:rPr>
                <w:rFonts w:ascii="宋体" w:eastAsia="宋体" w:hAnsi="宋体" w:cs="宋体" w:hint="eastAsia"/>
                <w:color w:val="auto"/>
                <w:spacing w:val="-2"/>
                <w:sz w:val="24"/>
                <w:szCs w:val="24"/>
              </w:rPr>
              <w:t>一</w:t>
            </w:r>
            <w:r w:rsidRPr="004112D0">
              <w:rPr>
                <w:rFonts w:ascii="宋体" w:eastAsia="宋体" w:hAnsi="宋体" w:cs="宋体" w:hint="eastAsia"/>
                <w:color w:val="auto"/>
                <w:spacing w:val="-2"/>
                <w:sz w:val="24"/>
                <w:szCs w:val="24"/>
              </w:rPr>
              <w:t>季度，公司实现营业收入</w:t>
            </w:r>
            <w:r w:rsidRPr="004112D0">
              <w:rPr>
                <w:rFonts w:ascii="宋体" w:eastAsia="宋体" w:hAnsi="宋体" w:cs="宋体"/>
                <w:color w:val="auto"/>
                <w:spacing w:val="-2"/>
                <w:sz w:val="24"/>
                <w:szCs w:val="24"/>
              </w:rPr>
              <w:t>2</w:t>
            </w:r>
            <w:r w:rsidR="00E0158B">
              <w:rPr>
                <w:rFonts w:ascii="宋体" w:eastAsia="宋体" w:hAnsi="宋体" w:cs="宋体" w:hint="eastAsia"/>
                <w:color w:val="auto"/>
                <w:spacing w:val="-2"/>
                <w:sz w:val="24"/>
                <w:szCs w:val="24"/>
              </w:rPr>
              <w:t>6</w:t>
            </w:r>
            <w:r w:rsidRPr="004112D0">
              <w:rPr>
                <w:rFonts w:ascii="宋体" w:eastAsia="宋体" w:hAnsi="宋体" w:cs="宋体"/>
                <w:color w:val="auto"/>
                <w:spacing w:val="-2"/>
                <w:sz w:val="24"/>
                <w:szCs w:val="24"/>
              </w:rPr>
              <w:t>,</w:t>
            </w:r>
            <w:r w:rsidR="00E0158B">
              <w:rPr>
                <w:rFonts w:ascii="宋体" w:eastAsia="宋体" w:hAnsi="宋体" w:cs="宋体" w:hint="eastAsia"/>
                <w:color w:val="auto"/>
                <w:spacing w:val="-2"/>
                <w:sz w:val="24"/>
                <w:szCs w:val="24"/>
              </w:rPr>
              <w:t>921</w:t>
            </w:r>
            <w:r w:rsidRPr="004112D0">
              <w:rPr>
                <w:rFonts w:ascii="宋体" w:eastAsia="宋体" w:hAnsi="宋体" w:cs="宋体" w:hint="eastAsia"/>
                <w:color w:val="auto"/>
                <w:spacing w:val="-2"/>
                <w:sz w:val="24"/>
                <w:szCs w:val="24"/>
              </w:rPr>
              <w:t>万元，扣除非经营损益归属上市公司股东的净利润</w:t>
            </w:r>
            <w:r w:rsidR="00864D92">
              <w:rPr>
                <w:rFonts w:ascii="宋体" w:eastAsia="宋体" w:hAnsi="宋体" w:cs="宋体" w:hint="eastAsia"/>
                <w:color w:val="auto"/>
                <w:spacing w:val="-2"/>
                <w:sz w:val="24"/>
                <w:szCs w:val="24"/>
              </w:rPr>
              <w:t>为</w:t>
            </w:r>
            <w:r w:rsidRPr="004112D0">
              <w:rPr>
                <w:rFonts w:ascii="宋体" w:eastAsia="宋体" w:hAnsi="宋体" w:cs="宋体"/>
                <w:color w:val="auto"/>
                <w:spacing w:val="-2"/>
                <w:sz w:val="24"/>
                <w:szCs w:val="24"/>
              </w:rPr>
              <w:t>3,</w:t>
            </w:r>
            <w:r w:rsidR="00E0158B">
              <w:rPr>
                <w:rFonts w:ascii="宋体" w:eastAsia="宋体" w:hAnsi="宋体" w:cs="宋体" w:hint="eastAsia"/>
                <w:color w:val="auto"/>
                <w:spacing w:val="-2"/>
                <w:sz w:val="24"/>
                <w:szCs w:val="24"/>
              </w:rPr>
              <w:t>087</w:t>
            </w:r>
            <w:r w:rsidRPr="004112D0">
              <w:rPr>
                <w:rFonts w:ascii="宋体" w:eastAsia="宋体" w:hAnsi="宋体" w:cs="宋体" w:hint="eastAsia"/>
                <w:color w:val="auto"/>
                <w:spacing w:val="-2"/>
                <w:sz w:val="24"/>
                <w:szCs w:val="24"/>
              </w:rPr>
              <w:t>万元。</w:t>
            </w:r>
            <w:r w:rsidRPr="004112D0">
              <w:rPr>
                <w:rFonts w:ascii="宋体" w:eastAsia="宋体" w:hAnsi="宋体" w:cs="宋体"/>
                <w:color w:val="auto"/>
                <w:spacing w:val="-2"/>
                <w:sz w:val="24"/>
                <w:szCs w:val="24"/>
              </w:rPr>
              <w:t>2025</w:t>
            </w:r>
            <w:r w:rsidRPr="004112D0">
              <w:rPr>
                <w:rFonts w:ascii="宋体" w:eastAsia="宋体" w:hAnsi="宋体" w:cs="宋体" w:hint="eastAsia"/>
                <w:color w:val="auto"/>
                <w:spacing w:val="-2"/>
                <w:sz w:val="24"/>
                <w:szCs w:val="24"/>
              </w:rPr>
              <w:t>年，公司研发投入为</w:t>
            </w:r>
            <w:r w:rsidR="00E0158B">
              <w:rPr>
                <w:rFonts w:ascii="宋体" w:eastAsia="宋体" w:hAnsi="宋体" w:cs="宋体" w:hint="eastAsia"/>
                <w:color w:val="auto"/>
                <w:spacing w:val="-2"/>
                <w:sz w:val="24"/>
                <w:szCs w:val="24"/>
              </w:rPr>
              <w:t>34</w:t>
            </w:r>
            <w:r w:rsidRPr="004112D0">
              <w:rPr>
                <w:rFonts w:ascii="宋体" w:eastAsia="宋体" w:hAnsi="宋体" w:cs="宋体"/>
                <w:color w:val="auto"/>
                <w:spacing w:val="-2"/>
                <w:sz w:val="24"/>
                <w:szCs w:val="24"/>
              </w:rPr>
              <w:t>,</w:t>
            </w:r>
            <w:r w:rsidR="00E0158B">
              <w:rPr>
                <w:rFonts w:ascii="宋体" w:eastAsia="宋体" w:hAnsi="宋体" w:cs="宋体" w:hint="eastAsia"/>
                <w:color w:val="auto"/>
                <w:spacing w:val="-2"/>
                <w:sz w:val="24"/>
                <w:szCs w:val="24"/>
              </w:rPr>
              <w:t>444</w:t>
            </w:r>
            <w:r w:rsidRPr="004112D0">
              <w:rPr>
                <w:rFonts w:ascii="宋体" w:eastAsia="宋体" w:hAnsi="宋体" w:cs="宋体" w:hint="eastAsia"/>
                <w:color w:val="auto"/>
                <w:spacing w:val="-2"/>
                <w:sz w:val="24"/>
                <w:szCs w:val="24"/>
              </w:rPr>
              <w:t>万元，占营业收入比重为</w:t>
            </w:r>
            <w:r w:rsidRPr="004112D0">
              <w:rPr>
                <w:rFonts w:ascii="宋体" w:eastAsia="宋体" w:hAnsi="宋体" w:cs="宋体"/>
                <w:color w:val="auto"/>
                <w:spacing w:val="-2"/>
                <w:sz w:val="24"/>
                <w:szCs w:val="24"/>
              </w:rPr>
              <w:t>34.</w:t>
            </w:r>
            <w:r w:rsidR="00E0158B">
              <w:rPr>
                <w:rFonts w:ascii="宋体" w:eastAsia="宋体" w:hAnsi="宋体" w:cs="宋体" w:hint="eastAsia"/>
                <w:color w:val="auto"/>
                <w:spacing w:val="-2"/>
                <w:sz w:val="24"/>
                <w:szCs w:val="24"/>
              </w:rPr>
              <w:t>51</w:t>
            </w:r>
            <w:r w:rsidRPr="004112D0">
              <w:rPr>
                <w:rFonts w:ascii="宋体" w:eastAsia="宋体" w:hAnsi="宋体" w:cs="宋体"/>
                <w:color w:val="auto"/>
                <w:spacing w:val="-2"/>
                <w:sz w:val="24"/>
                <w:szCs w:val="24"/>
              </w:rPr>
              <w:t>%</w:t>
            </w:r>
            <w:r w:rsidRPr="004112D0">
              <w:rPr>
                <w:rFonts w:ascii="宋体" w:eastAsia="宋体" w:hAnsi="宋体" w:cs="宋体" w:hint="eastAsia"/>
                <w:color w:val="auto"/>
                <w:spacing w:val="-2"/>
                <w:sz w:val="24"/>
                <w:szCs w:val="24"/>
              </w:rPr>
              <w:t>。</w:t>
            </w:r>
            <w:r w:rsidRPr="004112D0">
              <w:rPr>
                <w:rFonts w:ascii="宋体" w:eastAsia="宋体" w:hAnsi="宋体" w:cs="宋体"/>
                <w:color w:val="auto"/>
                <w:spacing w:val="-2"/>
                <w:sz w:val="24"/>
                <w:szCs w:val="24"/>
              </w:rPr>
              <w:t>2025</w:t>
            </w:r>
            <w:r w:rsidRPr="004112D0">
              <w:rPr>
                <w:rFonts w:ascii="宋体" w:eastAsia="宋体" w:hAnsi="宋体" w:cs="宋体" w:hint="eastAsia"/>
                <w:color w:val="auto"/>
                <w:spacing w:val="-2"/>
                <w:sz w:val="24"/>
                <w:szCs w:val="24"/>
              </w:rPr>
              <w:t>年研发投入占营业收入比重较上年同期增加</w:t>
            </w:r>
            <w:r w:rsidR="00E0158B">
              <w:rPr>
                <w:rFonts w:ascii="宋体" w:eastAsia="宋体" w:hAnsi="宋体" w:cs="宋体" w:hint="eastAsia"/>
                <w:color w:val="auto"/>
                <w:spacing w:val="-2"/>
                <w:sz w:val="24"/>
                <w:szCs w:val="24"/>
              </w:rPr>
              <w:t>2</w:t>
            </w:r>
            <w:r w:rsidR="008428F3" w:rsidRPr="004112D0">
              <w:rPr>
                <w:rFonts w:ascii="宋体" w:eastAsia="宋体" w:hAnsi="宋体" w:cs="宋体" w:hint="eastAsia"/>
                <w:color w:val="auto"/>
                <w:spacing w:val="-2"/>
                <w:sz w:val="24"/>
                <w:szCs w:val="24"/>
              </w:rPr>
              <w:t>.</w:t>
            </w:r>
            <w:r w:rsidR="00E0158B">
              <w:rPr>
                <w:rFonts w:ascii="宋体" w:eastAsia="宋体" w:hAnsi="宋体" w:cs="宋体" w:hint="eastAsia"/>
                <w:color w:val="auto"/>
                <w:spacing w:val="-2"/>
                <w:sz w:val="24"/>
                <w:szCs w:val="24"/>
              </w:rPr>
              <w:t>87</w:t>
            </w:r>
            <w:r w:rsidRPr="004112D0">
              <w:rPr>
                <w:rFonts w:ascii="宋体" w:eastAsia="宋体" w:hAnsi="宋体" w:cs="宋体"/>
                <w:color w:val="auto"/>
                <w:spacing w:val="-2"/>
                <w:sz w:val="24"/>
                <w:szCs w:val="24"/>
              </w:rPr>
              <w:t>%</w:t>
            </w:r>
            <w:r w:rsidR="008428F3" w:rsidRPr="004112D0">
              <w:rPr>
                <w:rFonts w:ascii="宋体" w:eastAsia="宋体" w:hAnsi="宋体" w:cs="宋体" w:hint="eastAsia"/>
                <w:color w:val="auto"/>
                <w:spacing w:val="-2"/>
                <w:sz w:val="24"/>
                <w:szCs w:val="24"/>
              </w:rPr>
              <w:t>。</w:t>
            </w:r>
            <w:r w:rsidR="008428F3" w:rsidRPr="004112D0">
              <w:rPr>
                <w:rFonts w:ascii="宋体" w:eastAsia="宋体" w:hAnsi="宋体" w:cs="宋体"/>
                <w:color w:val="auto"/>
                <w:spacing w:val="-2"/>
                <w:sz w:val="24"/>
                <w:szCs w:val="24"/>
              </w:rPr>
              <w:t>202</w:t>
            </w:r>
            <w:r w:rsidR="00E0158B">
              <w:rPr>
                <w:rFonts w:ascii="宋体" w:eastAsia="宋体" w:hAnsi="宋体" w:cs="宋体" w:hint="eastAsia"/>
                <w:color w:val="auto"/>
                <w:spacing w:val="-2"/>
                <w:sz w:val="24"/>
                <w:szCs w:val="24"/>
              </w:rPr>
              <w:t>6</w:t>
            </w:r>
            <w:r w:rsidR="008428F3" w:rsidRPr="004112D0">
              <w:rPr>
                <w:rFonts w:ascii="宋体" w:eastAsia="宋体" w:hAnsi="宋体" w:cs="宋体" w:hint="eastAsia"/>
                <w:color w:val="auto"/>
                <w:spacing w:val="-2"/>
                <w:sz w:val="24"/>
                <w:szCs w:val="24"/>
              </w:rPr>
              <w:t>年第</w:t>
            </w:r>
            <w:r w:rsidR="00E0158B">
              <w:rPr>
                <w:rFonts w:ascii="宋体" w:eastAsia="宋体" w:hAnsi="宋体" w:cs="宋体" w:hint="eastAsia"/>
                <w:color w:val="auto"/>
                <w:spacing w:val="-2"/>
                <w:sz w:val="24"/>
                <w:szCs w:val="24"/>
              </w:rPr>
              <w:t>一</w:t>
            </w:r>
            <w:r w:rsidR="008428F3" w:rsidRPr="004112D0">
              <w:rPr>
                <w:rFonts w:ascii="宋体" w:eastAsia="宋体" w:hAnsi="宋体" w:cs="宋体" w:hint="eastAsia"/>
                <w:color w:val="auto"/>
                <w:spacing w:val="-2"/>
                <w:sz w:val="24"/>
                <w:szCs w:val="24"/>
              </w:rPr>
              <w:t>季度研发投入为</w:t>
            </w:r>
            <w:r w:rsidR="007A0392">
              <w:rPr>
                <w:rFonts w:ascii="宋体" w:eastAsia="宋体" w:hAnsi="宋体" w:cs="宋体" w:hint="eastAsia"/>
                <w:color w:val="auto"/>
                <w:spacing w:val="-2"/>
                <w:sz w:val="24"/>
                <w:szCs w:val="24"/>
              </w:rPr>
              <w:t>7</w:t>
            </w:r>
            <w:r w:rsidR="008428F3" w:rsidRPr="004112D0">
              <w:rPr>
                <w:rFonts w:ascii="宋体" w:eastAsia="宋体" w:hAnsi="宋体" w:cs="宋体" w:hint="eastAsia"/>
                <w:color w:val="auto"/>
                <w:spacing w:val="-2"/>
                <w:sz w:val="24"/>
                <w:szCs w:val="24"/>
              </w:rPr>
              <w:t>,</w:t>
            </w:r>
            <w:r w:rsidR="007A0392">
              <w:rPr>
                <w:rFonts w:ascii="宋体" w:eastAsia="宋体" w:hAnsi="宋体" w:cs="宋体" w:hint="eastAsia"/>
                <w:color w:val="auto"/>
                <w:spacing w:val="-2"/>
                <w:sz w:val="24"/>
                <w:szCs w:val="24"/>
              </w:rPr>
              <w:t>187</w:t>
            </w:r>
            <w:r w:rsidR="008428F3" w:rsidRPr="004112D0">
              <w:rPr>
                <w:rFonts w:ascii="宋体" w:eastAsia="宋体" w:hAnsi="宋体" w:cs="宋体" w:hint="eastAsia"/>
                <w:color w:val="auto"/>
                <w:spacing w:val="-2"/>
                <w:sz w:val="24"/>
                <w:szCs w:val="24"/>
              </w:rPr>
              <w:t>万元，占营业收入比重为</w:t>
            </w:r>
            <w:r w:rsidR="007A0392">
              <w:rPr>
                <w:rFonts w:ascii="宋体" w:eastAsia="宋体" w:hAnsi="宋体" w:cs="宋体" w:hint="eastAsia"/>
                <w:color w:val="auto"/>
                <w:spacing w:val="-2"/>
                <w:sz w:val="24"/>
                <w:szCs w:val="24"/>
              </w:rPr>
              <w:t>26</w:t>
            </w:r>
            <w:r w:rsidR="008428F3" w:rsidRPr="004112D0">
              <w:rPr>
                <w:rFonts w:ascii="宋体" w:eastAsia="宋体" w:hAnsi="宋体" w:cs="宋体" w:hint="eastAsia"/>
                <w:color w:val="auto"/>
                <w:spacing w:val="-2"/>
                <w:sz w:val="24"/>
                <w:szCs w:val="24"/>
              </w:rPr>
              <w:t>.</w:t>
            </w:r>
            <w:r w:rsidR="007A0392">
              <w:rPr>
                <w:rFonts w:ascii="宋体" w:eastAsia="宋体" w:hAnsi="宋体" w:cs="宋体" w:hint="eastAsia"/>
                <w:color w:val="auto"/>
                <w:spacing w:val="-2"/>
                <w:sz w:val="24"/>
                <w:szCs w:val="24"/>
              </w:rPr>
              <w:t>7</w:t>
            </w:r>
            <w:r w:rsidR="008428F3" w:rsidRPr="004112D0">
              <w:rPr>
                <w:rFonts w:ascii="宋体" w:eastAsia="宋体" w:hAnsi="宋体" w:cs="宋体" w:hint="eastAsia"/>
                <w:color w:val="auto"/>
                <w:spacing w:val="-2"/>
                <w:sz w:val="24"/>
                <w:szCs w:val="24"/>
              </w:rPr>
              <w:t>%。</w:t>
            </w:r>
            <w:r w:rsidR="001558CD" w:rsidRPr="004112D0">
              <w:rPr>
                <w:rFonts w:ascii="宋体" w:eastAsia="宋体" w:hAnsi="宋体" w:cs="宋体"/>
                <w:color w:val="auto"/>
                <w:spacing w:val="-2"/>
                <w:sz w:val="24"/>
                <w:szCs w:val="24"/>
              </w:rPr>
              <w:t>研发投入给公司技术创新能力和新产品开发能力所带来的提升效应将会在未来较长的时间内逐步显现。</w:t>
            </w:r>
          </w:p>
          <w:p w14:paraId="7864475D"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公司成立以来，研发驱动是公司坚定不移的发展战略，在当前的行业发展态势下，全面拥抱创新显得更为迫切和重要。公司一方面加快</w:t>
            </w:r>
            <w:r w:rsidRPr="00937494">
              <w:rPr>
                <w:rFonts w:ascii="宋体" w:eastAsia="宋体" w:hAnsi="宋体"/>
                <w:sz w:val="24"/>
                <w:szCs w:val="24"/>
              </w:rPr>
              <w:t>I类创新药和改良新药的研发速度，另一方面在仿制药上则重点推进高壁垒仿制药的研发进度。通过不断的创新，确保公司未来拥有源源不断的更具竞争力的产品管线。</w:t>
            </w:r>
          </w:p>
          <w:p w14:paraId="3A12AF00"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在</w:t>
            </w:r>
            <w:r w:rsidRPr="00937494">
              <w:rPr>
                <w:rFonts w:ascii="宋体" w:eastAsia="宋体" w:hAnsi="宋体"/>
                <w:sz w:val="24"/>
                <w:szCs w:val="24"/>
              </w:rPr>
              <w:t>I类创新药和改良新药上，公司坚持“Convert Cancer to Manageable Chronic Disease”的创新药发展战略，</w:t>
            </w:r>
            <w:r w:rsidRPr="00937494">
              <w:rPr>
                <w:rFonts w:ascii="宋体" w:eastAsia="宋体" w:hAnsi="宋体" w:hint="eastAsia"/>
                <w:sz w:val="24"/>
                <w:szCs w:val="24"/>
              </w:rPr>
              <w:t>以肿瘤领域Best in indication为主，在非癌领域me better做少量拓展，整体以解决临床空缺为目的，推动更多项目进入临床研究阶段。</w:t>
            </w:r>
            <w:r w:rsidRPr="00937494">
              <w:rPr>
                <w:rFonts w:ascii="宋体" w:eastAsia="宋体" w:hAnsi="宋体"/>
                <w:sz w:val="24"/>
                <w:szCs w:val="24"/>
              </w:rPr>
              <w:t>截至</w:t>
            </w:r>
            <w:r w:rsidRPr="00937494">
              <w:rPr>
                <w:rFonts w:ascii="宋体" w:eastAsia="宋体" w:hAnsi="宋体" w:hint="eastAsia"/>
                <w:sz w:val="24"/>
                <w:szCs w:val="24"/>
              </w:rPr>
              <w:t>报告期末</w:t>
            </w:r>
            <w:r w:rsidRPr="00937494">
              <w:rPr>
                <w:rFonts w:ascii="宋体" w:eastAsia="宋体" w:hAnsi="宋体"/>
                <w:sz w:val="24"/>
                <w:szCs w:val="24"/>
              </w:rPr>
              <w:t>，公司在研I类创新药项目</w:t>
            </w:r>
            <w:r w:rsidRPr="00937494">
              <w:rPr>
                <w:rFonts w:ascii="宋体" w:eastAsia="宋体" w:hAnsi="宋体" w:hint="eastAsia"/>
                <w:sz w:val="24"/>
                <w:szCs w:val="24"/>
              </w:rPr>
              <w:t>有</w:t>
            </w:r>
            <w:r w:rsidRPr="00937494">
              <w:rPr>
                <w:rFonts w:ascii="宋体" w:eastAsia="宋体" w:hAnsi="宋体"/>
                <w:sz w:val="24"/>
                <w:szCs w:val="24"/>
              </w:rPr>
              <w:t>13个</w:t>
            </w:r>
            <w:r w:rsidRPr="00937494">
              <w:rPr>
                <w:rFonts w:ascii="宋体" w:eastAsia="宋体" w:hAnsi="宋体" w:hint="eastAsia"/>
                <w:sz w:val="24"/>
                <w:szCs w:val="24"/>
              </w:rPr>
              <w:t>，</w:t>
            </w:r>
            <w:r w:rsidRPr="00937494">
              <w:rPr>
                <w:rFonts w:ascii="宋体" w:eastAsia="宋体" w:hAnsi="宋体"/>
                <w:sz w:val="24"/>
                <w:szCs w:val="24"/>
              </w:rPr>
              <w:t>包括小分子项目、三抗/ADC生物药项目</w:t>
            </w:r>
            <w:r w:rsidRPr="00937494">
              <w:rPr>
                <w:rFonts w:ascii="宋体" w:eastAsia="宋体" w:hAnsi="宋体" w:hint="eastAsia"/>
                <w:sz w:val="24"/>
                <w:szCs w:val="24"/>
              </w:rPr>
              <w:t>，并有</w:t>
            </w:r>
            <w:r w:rsidRPr="00937494">
              <w:rPr>
                <w:rFonts w:ascii="宋体" w:eastAsia="宋体" w:hAnsi="宋体"/>
                <w:sz w:val="24"/>
                <w:szCs w:val="24"/>
              </w:rPr>
              <w:t>5个改良型新药</w:t>
            </w:r>
            <w:r w:rsidRPr="00937494">
              <w:rPr>
                <w:rFonts w:ascii="宋体" w:eastAsia="宋体" w:hAnsi="宋体" w:hint="eastAsia"/>
                <w:sz w:val="24"/>
                <w:szCs w:val="24"/>
              </w:rPr>
              <w:t>项目</w:t>
            </w:r>
            <w:r w:rsidRPr="00937494">
              <w:rPr>
                <w:rFonts w:ascii="宋体" w:eastAsia="宋体" w:hAnsi="宋体"/>
                <w:sz w:val="24"/>
                <w:szCs w:val="24"/>
              </w:rPr>
              <w:t>。</w:t>
            </w:r>
            <w:r w:rsidRPr="00937494">
              <w:rPr>
                <w:rFonts w:ascii="宋体" w:eastAsia="宋体" w:hAnsi="宋体" w:hint="eastAsia"/>
                <w:sz w:val="24"/>
                <w:szCs w:val="24"/>
              </w:rPr>
              <w:t>在研项目推进的同时，公司也在不断夯实小分子药物技术平台、免疫靶向技术平台和抗体偶联药物（</w:t>
            </w:r>
            <w:r w:rsidRPr="00937494">
              <w:rPr>
                <w:rFonts w:ascii="宋体" w:eastAsia="宋体" w:hAnsi="宋体"/>
                <w:sz w:val="24"/>
                <w:szCs w:val="24"/>
              </w:rPr>
              <w:t>ADC）等技术平台的建设与优化。</w:t>
            </w:r>
          </w:p>
          <w:p w14:paraId="79D06259"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截至报告期末，公司处于临床阶段的</w:t>
            </w:r>
            <w:r w:rsidRPr="00937494">
              <w:rPr>
                <w:rFonts w:ascii="宋体" w:eastAsia="宋体" w:hAnsi="宋体"/>
                <w:sz w:val="24"/>
                <w:szCs w:val="24"/>
              </w:rPr>
              <w:t>I类创新药和改良新药包括：</w:t>
            </w:r>
          </w:p>
          <w:p w14:paraId="4A59D7E2"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生物创新药：公司首个I类生物创新药HY-0007项目临床I期试验正在推进中，该项目为公司抗PD-1、抗 TIGIT、IL-15/IL-15Rα双抗融合蛋白，因其优秀的协同潜力、增强肿瘤免疫治疗疗效及克服免疫耐药的特色，预期将为晚期肿瘤患者提供新的治疗选择；公司第二个</w:t>
            </w:r>
            <w:r w:rsidRPr="00937494">
              <w:rPr>
                <w:rFonts w:ascii="宋体" w:eastAsia="宋体" w:hAnsi="宋体" w:hint="eastAsia"/>
                <w:sz w:val="24"/>
                <w:szCs w:val="24"/>
              </w:rPr>
              <w:lastRenderedPageBreak/>
              <w:t>I类生物创新药HY-0001项目临床I期试验正在推进中，该项目为公司自主研发的一种抗体偶联药物，本品为全球首个披露针对CDCP1靶点推向临床的药物；公司第三个I类生物创新药HY-0005项目临床I期试验正在推进中，该项目为公司自主研发的一种三特异抗体TCE（T cell engager）产品，具有良好的抗肿瘤效果及安全性；</w:t>
            </w:r>
          </w:p>
          <w:p w14:paraId="73BBD423"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化学创新药：公司首个I类化学创新药HY-0002a项目用于治疗KRASG12C突变的晚期实体瘤的I/II期临床试验正在有序持续推进中，目前已在全国6家临床研究机构开展HY-0002a在 KRAS突变的晚期实体瘤患者中的安全性、耐受性、药代动力学和有效性的开放性、多中心、多队列的 I/II 期研究；公司第二个I类化学创新药HY-0006项目单药用于治疗晚期实体瘤的临床实验I期已完成；与奥希替尼联合治疗靶点驱动基因阳性的晚期NSCLC患者的临床试验于2026年1月获得NMPA批准。该项目为高选择性SOS1小分子抑制剂，预期与EGFR抑制剂、KRAS抑制剂联用能发挥协同增效、克服耐药的作用。</w:t>
            </w:r>
          </w:p>
          <w:p w14:paraId="07C63728"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改良新药：公司首个改良型新药HY-2003项目于2024年12月完成I期临床试验首例受试者给药，目前临床I期实验有序推进中。该项目为含有去氧胆酸的新剂型，以期降低注射部位不良反应、缩短用药间隔、加快起效时间、减少给药周期。</w:t>
            </w:r>
          </w:p>
          <w:p w14:paraId="5A3EB77F" w14:textId="77777777" w:rsidR="00937494" w:rsidRPr="00937494" w:rsidRDefault="00937494" w:rsidP="00937494">
            <w:pPr>
              <w:spacing w:beforeLines="50" w:before="120" w:afterLines="50" w:after="120" w:line="360" w:lineRule="auto"/>
              <w:ind w:firstLineChars="200" w:firstLine="480"/>
              <w:rPr>
                <w:rFonts w:ascii="宋体" w:eastAsia="宋体" w:hAnsi="宋体" w:hint="eastAsia"/>
                <w:sz w:val="24"/>
                <w:szCs w:val="24"/>
              </w:rPr>
            </w:pPr>
            <w:r w:rsidRPr="00937494">
              <w:rPr>
                <w:rFonts w:ascii="宋体" w:eastAsia="宋体" w:hAnsi="宋体" w:hint="eastAsia"/>
                <w:sz w:val="24"/>
                <w:szCs w:val="24"/>
              </w:rPr>
              <w:t>在仿制药上，公司严格把握立项标准，实施“高壁垒</w:t>
            </w:r>
            <w:r w:rsidRPr="00937494">
              <w:rPr>
                <w:rFonts w:ascii="宋体" w:eastAsia="宋体" w:hAnsi="宋体"/>
                <w:sz w:val="24"/>
                <w:szCs w:val="24"/>
              </w:rPr>
              <w:t>+高投入产出比+首仿”的立项策略。报告期内，国内新增药品上市8个，累计上市</w:t>
            </w:r>
            <w:r w:rsidRPr="00937494">
              <w:rPr>
                <w:rFonts w:ascii="宋体" w:eastAsia="宋体" w:hAnsi="宋体" w:hint="eastAsia"/>
                <w:sz w:val="24"/>
                <w:szCs w:val="24"/>
              </w:rPr>
              <w:t>药品</w:t>
            </w:r>
            <w:r w:rsidRPr="00937494">
              <w:rPr>
                <w:rFonts w:ascii="宋体" w:eastAsia="宋体" w:hAnsi="宋体"/>
                <w:sz w:val="24"/>
                <w:szCs w:val="24"/>
              </w:rPr>
              <w:t>达到47个；新增递交上市注册申请</w:t>
            </w:r>
            <w:r w:rsidRPr="00937494">
              <w:rPr>
                <w:rFonts w:ascii="宋体" w:eastAsia="宋体" w:hAnsi="宋体" w:hint="eastAsia"/>
                <w:sz w:val="24"/>
                <w:szCs w:val="24"/>
              </w:rPr>
              <w:t>为</w:t>
            </w:r>
            <w:r w:rsidRPr="00937494">
              <w:rPr>
                <w:rFonts w:ascii="宋体" w:eastAsia="宋体" w:hAnsi="宋体"/>
                <w:sz w:val="24"/>
                <w:szCs w:val="24"/>
              </w:rPr>
              <w:t>2个</w:t>
            </w:r>
            <w:r w:rsidRPr="00937494">
              <w:rPr>
                <w:rFonts w:ascii="宋体" w:eastAsia="宋体" w:hAnsi="宋体" w:hint="eastAsia"/>
                <w:sz w:val="24"/>
                <w:szCs w:val="24"/>
              </w:rPr>
              <w:t>药品</w:t>
            </w:r>
            <w:r w:rsidRPr="00937494">
              <w:rPr>
                <w:rFonts w:ascii="宋体" w:eastAsia="宋体" w:hAnsi="宋体"/>
                <w:sz w:val="24"/>
                <w:szCs w:val="24"/>
              </w:rPr>
              <w:t>，累计待批上市注册为4个</w:t>
            </w:r>
            <w:r w:rsidRPr="00937494">
              <w:rPr>
                <w:rFonts w:ascii="宋体" w:eastAsia="宋体" w:hAnsi="宋体" w:hint="eastAsia"/>
                <w:sz w:val="24"/>
                <w:szCs w:val="24"/>
              </w:rPr>
              <w:t>药品</w:t>
            </w:r>
            <w:r w:rsidRPr="00937494">
              <w:rPr>
                <w:rFonts w:ascii="宋体" w:eastAsia="宋体" w:hAnsi="宋体"/>
                <w:sz w:val="24"/>
                <w:szCs w:val="24"/>
              </w:rPr>
              <w:t>；国外新增药品上市批件112个，累计自主持有、授权合作方持有药品批件超过500个，累计待批上市注册批件超过280个。</w:t>
            </w:r>
          </w:p>
          <w:p w14:paraId="706FA970" w14:textId="4ACF8680" w:rsidR="004A375F" w:rsidRDefault="00937494" w:rsidP="00937494">
            <w:pPr>
              <w:spacing w:beforeLines="50" w:before="120" w:afterLines="50" w:after="120" w:line="360" w:lineRule="auto"/>
              <w:ind w:firstLineChars="200" w:firstLine="480"/>
              <w:rPr>
                <w:rFonts w:ascii="宋体" w:eastAsia="宋体" w:hAnsi="宋体" w:cs="宋体"/>
                <w:color w:val="auto"/>
                <w:spacing w:val="-2"/>
                <w:sz w:val="24"/>
                <w:szCs w:val="24"/>
              </w:rPr>
            </w:pPr>
            <w:r w:rsidRPr="00937494">
              <w:rPr>
                <w:rFonts w:ascii="宋体" w:eastAsia="宋体" w:hAnsi="宋体" w:hint="eastAsia"/>
                <w:sz w:val="24"/>
                <w:szCs w:val="24"/>
              </w:rPr>
              <w:t>其中复杂注射剂的研发进入收获期，兰瑞肽、蔗糖铁等产品已进入国内药品监督管理审评环节，戈舍瑞林、两性霉素脂质体等多个复杂注射剂产品正有序研发中。公司复杂注射剂产品注射用紫杉醇（白蛋白结合型）已在9个欧洲国家获得注册批件；蔗糖铁注射液已经在德国、意大利等欧洲国家和美国正式递交药监局注册申请和正式受理；醋酸兰瑞肽缓释注射液已在丹麦、德国等欧洲国家正式递交药监局注册申请和正式受理</w:t>
            </w:r>
            <w:r w:rsidR="00A8091C" w:rsidRPr="00937494">
              <w:rPr>
                <w:rFonts w:ascii="宋体" w:eastAsia="宋体" w:hAnsi="宋体" w:cs="宋体" w:hint="eastAsia"/>
                <w:color w:val="auto"/>
                <w:spacing w:val="-2"/>
                <w:sz w:val="24"/>
                <w:szCs w:val="24"/>
              </w:rPr>
              <w:t>。</w:t>
            </w:r>
          </w:p>
          <w:p w14:paraId="4ED375F2" w14:textId="77777777" w:rsidR="00071057" w:rsidRPr="00937494" w:rsidRDefault="00071057" w:rsidP="00937494">
            <w:pPr>
              <w:spacing w:beforeLines="50" w:before="120" w:afterLines="50" w:after="120" w:line="360" w:lineRule="auto"/>
              <w:ind w:firstLineChars="200" w:firstLine="480"/>
              <w:rPr>
                <w:rFonts w:ascii="宋体" w:eastAsia="宋体" w:hAnsi="宋体" w:hint="eastAsia"/>
                <w:sz w:val="24"/>
                <w:szCs w:val="24"/>
              </w:rPr>
            </w:pPr>
          </w:p>
          <w:p w14:paraId="45E36B55" w14:textId="1E085F4F" w:rsidR="001C1CBB" w:rsidRPr="004112D0" w:rsidRDefault="00350D41" w:rsidP="001C1CBB">
            <w:pPr>
              <w:numPr>
                <w:ilvl w:val="0"/>
                <w:numId w:val="1"/>
              </w:numPr>
              <w:kinsoku/>
              <w:spacing w:before="119" w:line="360" w:lineRule="auto"/>
              <w:ind w:right="36"/>
              <w:jc w:val="both"/>
              <w:rPr>
                <w:rFonts w:ascii="宋体" w:eastAsia="宋体" w:hAnsi="宋体" w:cs="Times New Roman" w:hint="eastAsia"/>
                <w:b/>
                <w:bCs/>
                <w:color w:val="auto"/>
                <w:spacing w:val="-5"/>
                <w:sz w:val="24"/>
                <w:szCs w:val="24"/>
              </w:rPr>
            </w:pPr>
            <w:r w:rsidRPr="004112D0">
              <w:rPr>
                <w:rFonts w:ascii="宋体" w:eastAsia="宋体" w:hAnsi="宋体" w:cs="Times New Roman" w:hint="eastAsia"/>
                <w:b/>
                <w:bCs/>
                <w:color w:val="auto"/>
                <w:spacing w:val="-5"/>
                <w:sz w:val="24"/>
                <w:szCs w:val="24"/>
              </w:rPr>
              <w:lastRenderedPageBreak/>
              <w:t>问答互动</w:t>
            </w:r>
          </w:p>
          <w:p w14:paraId="38C27B61" w14:textId="6D74C586" w:rsidR="00350D41" w:rsidRPr="004112D0" w:rsidRDefault="00EF495B">
            <w:pPr>
              <w:pStyle w:val="3"/>
              <w:spacing w:before="360" w:beforeAutospacing="0" w:after="240" w:afterAutospacing="0" w:line="360" w:lineRule="atLeast"/>
              <w:jc w:val="both"/>
              <w:rPr>
                <w:rFonts w:cs="宋体"/>
                <w:color w:val="auto"/>
                <w:spacing w:val="-2"/>
                <w:sz w:val="24"/>
                <w:szCs w:val="24"/>
              </w:rPr>
            </w:pPr>
            <w:r w:rsidRPr="004112D0">
              <w:rPr>
                <w:rFonts w:cs="宋体"/>
                <w:color w:val="auto"/>
                <w:spacing w:val="-2"/>
                <w:sz w:val="24"/>
                <w:szCs w:val="24"/>
              </w:rPr>
              <w:t>1、</w:t>
            </w:r>
            <w:r w:rsidR="00937494" w:rsidRPr="00937494">
              <w:rPr>
                <w:rFonts w:cs="宋体"/>
                <w:color w:val="auto"/>
                <w:spacing w:val="-2"/>
                <w:sz w:val="24"/>
                <w:szCs w:val="24"/>
              </w:rPr>
              <w:t>报告期内驱动业绩增长的核心产品是什么？未来1-3年，新的增长引擎或战略重心在哪里</w:t>
            </w:r>
            <w:r w:rsidR="001C1CBB" w:rsidRPr="004112D0">
              <w:rPr>
                <w:rFonts w:cs="宋体"/>
                <w:color w:val="auto"/>
                <w:spacing w:val="-2"/>
                <w:sz w:val="24"/>
                <w:szCs w:val="24"/>
              </w:rPr>
              <w:t>？</w:t>
            </w:r>
          </w:p>
          <w:p w14:paraId="45BD9860" w14:textId="77777777" w:rsidR="00937494" w:rsidRPr="00937494" w:rsidRDefault="00937494" w:rsidP="00937494">
            <w:pPr>
              <w:pStyle w:val="3"/>
              <w:spacing w:before="360" w:after="240" w:line="360" w:lineRule="auto"/>
              <w:ind w:firstLineChars="200" w:firstLine="476"/>
              <w:jc w:val="both"/>
              <w:rPr>
                <w:rFonts w:cs="宋体"/>
                <w:b w:val="0"/>
                <w:bCs w:val="0"/>
                <w:color w:val="auto"/>
                <w:spacing w:val="-2"/>
                <w:sz w:val="24"/>
                <w:szCs w:val="24"/>
              </w:rPr>
            </w:pPr>
            <w:r w:rsidRPr="00937494">
              <w:rPr>
                <w:rFonts w:cs="宋体"/>
                <w:b w:val="0"/>
                <w:bCs w:val="0"/>
                <w:color w:val="auto"/>
                <w:spacing w:val="-2"/>
                <w:sz w:val="24"/>
                <w:szCs w:val="24"/>
              </w:rPr>
              <w:t>尊敬的投资者，您好！公司在研优质仿制药项目的重心稳步向更具技术难度、更有市场空间和竞争格局相对温和的项目进行倾斜。其中，在复杂注射剂研发方面，羧基麦芽糖铁、兰瑞肽、蔗糖铁已进入药品监督管理审评环节，戈舍瑞林、两性霉素脂质体等多个复杂注射剂产品正有序研发中。注射用紫杉醇（白蛋白结合型）已在9个欧洲国家获得注册批件；蔗糖铁注射液已经在德国、意大利等欧洲国家和美国正式递交药监局注册申请和正式受理；醋酸兰瑞肽缓释注射液已在丹麦、德国等欧洲国家正式递交药监局注册申请和正式受理。公司布局的复杂注射剂产品陆续获批后将为公司带来业务增量。</w:t>
            </w:r>
          </w:p>
          <w:p w14:paraId="59AEE954" w14:textId="263A30A1" w:rsidR="00937494" w:rsidRDefault="00937494" w:rsidP="00937494">
            <w:pPr>
              <w:pStyle w:val="3"/>
              <w:spacing w:before="360" w:after="240" w:line="360" w:lineRule="auto"/>
              <w:ind w:firstLineChars="200" w:firstLine="476"/>
              <w:jc w:val="both"/>
              <w:rPr>
                <w:rFonts w:cs="宋体" w:hint="default"/>
                <w:b w:val="0"/>
                <w:bCs w:val="0"/>
                <w:color w:val="auto"/>
                <w:spacing w:val="-2"/>
                <w:sz w:val="24"/>
                <w:szCs w:val="24"/>
              </w:rPr>
            </w:pPr>
            <w:r w:rsidRPr="00937494">
              <w:rPr>
                <w:rFonts w:cs="宋体"/>
                <w:b w:val="0"/>
                <w:bCs w:val="0"/>
                <w:color w:val="auto"/>
                <w:spacing w:val="-2"/>
                <w:sz w:val="24"/>
                <w:szCs w:val="24"/>
              </w:rPr>
              <w:t>公司正处于“以仿养创、仿创并重”的发展阶段，未来公司将在创新药、高壁垒仿制药、改良新药等领域进行持续产出。在创新药上，公司将创新药研发与商业化作为长期发展战略，重点布局肿瘤治疗领域全球范围内同类产品尚未进入临床研究阶段的品种。公司目前在研项目合计13个。其中HY-0007、HY-0001、HY-0005等多个品种具备成为first-in-class药物的潜力。感谢您的关注，谢谢！</w:t>
            </w:r>
          </w:p>
          <w:p w14:paraId="42FFDCF6" w14:textId="642DBFF4" w:rsidR="00350D41" w:rsidRPr="004112D0" w:rsidRDefault="00CB429B" w:rsidP="00937494">
            <w:pPr>
              <w:pStyle w:val="3"/>
              <w:spacing w:before="360" w:beforeAutospacing="0" w:after="240" w:afterAutospacing="0" w:line="360" w:lineRule="atLeast"/>
              <w:jc w:val="both"/>
              <w:rPr>
                <w:rFonts w:cs="宋体"/>
                <w:color w:val="auto"/>
                <w:spacing w:val="-2"/>
                <w:sz w:val="24"/>
                <w:szCs w:val="24"/>
              </w:rPr>
            </w:pPr>
            <w:r w:rsidRPr="004112D0">
              <w:rPr>
                <w:rFonts w:cs="宋体"/>
                <w:color w:val="auto"/>
                <w:spacing w:val="-2"/>
                <w:sz w:val="24"/>
                <w:szCs w:val="24"/>
              </w:rPr>
              <w:t>2、</w:t>
            </w:r>
            <w:r w:rsidR="00937494" w:rsidRPr="00937494">
              <w:rPr>
                <w:rFonts w:cs="宋体"/>
                <w:color w:val="auto"/>
                <w:spacing w:val="-2"/>
                <w:sz w:val="24"/>
                <w:szCs w:val="24"/>
              </w:rPr>
              <w:t>来的分红政策与股本扩张计划是怎样的？在提升股东回报方面（如分红、回购），有何具体考虑</w:t>
            </w:r>
            <w:r w:rsidR="001C1CBB" w:rsidRPr="004112D0">
              <w:rPr>
                <w:rFonts w:cs="宋体"/>
                <w:color w:val="auto"/>
                <w:spacing w:val="-2"/>
                <w:sz w:val="24"/>
                <w:szCs w:val="24"/>
              </w:rPr>
              <w:t>？</w:t>
            </w:r>
          </w:p>
          <w:p w14:paraId="4FA52DBD" w14:textId="56C1D54B" w:rsidR="001C1CBB" w:rsidRPr="004112D0" w:rsidRDefault="00937494" w:rsidP="00356017">
            <w:pPr>
              <w:kinsoku/>
              <w:spacing w:before="119" w:line="360" w:lineRule="auto"/>
              <w:ind w:right="36" w:firstLineChars="200" w:firstLine="476"/>
              <w:jc w:val="both"/>
              <w:rPr>
                <w:rFonts w:ascii="宋体" w:eastAsia="宋体" w:hAnsi="宋体" w:cs="宋体" w:hint="eastAsia"/>
                <w:color w:val="auto"/>
                <w:spacing w:val="-2"/>
                <w:sz w:val="24"/>
                <w:szCs w:val="24"/>
              </w:rPr>
            </w:pPr>
            <w:r w:rsidRPr="00937494">
              <w:rPr>
                <w:rFonts w:ascii="宋体" w:eastAsia="宋体" w:hAnsi="宋体" w:cs="宋体"/>
                <w:color w:val="auto"/>
                <w:spacing w:val="-2"/>
                <w:sz w:val="24"/>
                <w:szCs w:val="24"/>
              </w:rPr>
              <w:t>尊敬的投资者，您好！公司十分重视对投资者的合理投资回报。公司2025年度拟以实施权益分派股权登记日登记的总股本扣除公司回购专用证券账户中的股份为基数分配利润及转增股本，每股分配比例和转增比例：A股每10股派发现金红利2.000元（含税），以股票溢价发行收入形成的资本公积向全体股东每10股转增4.8股，不送红股（请参考公司于2026年4月25日在上海证券交易所发布的《2025 年度利润分配及资本公积转增股本方案公告》）。该方案旨在切实回报全体投资者，该方案尚需提交公司股东会审议通过后方可实施，请以最终权益分派实施公告为准。公司暂时没有资本支出的计划，账上现金流充足，未来将持续分红。感谢您的关注，谢谢</w:t>
            </w:r>
            <w:r w:rsidR="001C1CBB" w:rsidRPr="004112D0">
              <w:rPr>
                <w:rFonts w:ascii="宋体" w:eastAsia="宋体" w:hAnsi="宋体" w:cs="宋体" w:hint="eastAsia"/>
                <w:color w:val="auto"/>
                <w:spacing w:val="-2"/>
                <w:sz w:val="24"/>
                <w:szCs w:val="24"/>
              </w:rPr>
              <w:t>！</w:t>
            </w:r>
          </w:p>
          <w:p w14:paraId="04EF8C2A" w14:textId="3640C706" w:rsidR="00CB429B" w:rsidRPr="004112D0" w:rsidRDefault="003440A5" w:rsidP="00CB429B">
            <w:pPr>
              <w:kinsoku/>
              <w:spacing w:before="119" w:line="360" w:lineRule="auto"/>
              <w:ind w:right="36"/>
              <w:jc w:val="both"/>
              <w:rPr>
                <w:rFonts w:ascii="宋体" w:eastAsia="宋体" w:hAnsi="宋体" w:cs="宋体" w:hint="eastAsia"/>
                <w:b/>
                <w:bCs/>
                <w:color w:val="auto"/>
                <w:spacing w:val="-2"/>
                <w:sz w:val="24"/>
                <w:szCs w:val="24"/>
              </w:rPr>
            </w:pPr>
            <w:r w:rsidRPr="004112D0">
              <w:rPr>
                <w:rFonts w:ascii="宋体" w:eastAsia="宋体" w:hAnsi="宋体" w:cs="宋体" w:hint="eastAsia"/>
                <w:b/>
                <w:bCs/>
                <w:color w:val="auto"/>
                <w:spacing w:val="-2"/>
                <w:sz w:val="24"/>
                <w:szCs w:val="24"/>
              </w:rPr>
              <w:lastRenderedPageBreak/>
              <w:t>3</w:t>
            </w:r>
            <w:r w:rsidR="00CB429B" w:rsidRPr="004112D0">
              <w:rPr>
                <w:rFonts w:ascii="宋体" w:eastAsia="宋体" w:hAnsi="宋体" w:cs="宋体" w:hint="eastAsia"/>
                <w:b/>
                <w:bCs/>
                <w:color w:val="auto"/>
                <w:spacing w:val="-2"/>
                <w:sz w:val="24"/>
                <w:szCs w:val="24"/>
              </w:rPr>
              <w:t>、</w:t>
            </w:r>
            <w:r w:rsidR="00937494" w:rsidRPr="00937494">
              <w:rPr>
                <w:rFonts w:ascii="宋体" w:eastAsia="宋体" w:hAnsi="宋体" w:cs="宋体"/>
                <w:b/>
                <w:bCs/>
                <w:color w:val="auto"/>
                <w:spacing w:val="-2"/>
                <w:sz w:val="24"/>
                <w:szCs w:val="24"/>
              </w:rPr>
              <w:t>如何看待当前的毛利率与净利率水平？未来在降本增效、优化成本结构方面有何具体规划</w:t>
            </w:r>
            <w:r w:rsidR="001C1CBB" w:rsidRPr="004112D0">
              <w:rPr>
                <w:rFonts w:ascii="宋体" w:eastAsia="宋体" w:hAnsi="宋体" w:cs="宋体" w:hint="eastAsia"/>
                <w:b/>
                <w:bCs/>
                <w:color w:val="auto"/>
                <w:spacing w:val="-2"/>
                <w:sz w:val="24"/>
                <w:szCs w:val="24"/>
              </w:rPr>
              <w:t>？</w:t>
            </w:r>
          </w:p>
          <w:p w14:paraId="0499CCAC" w14:textId="5F07C419" w:rsidR="00C151B6" w:rsidRPr="004112D0" w:rsidRDefault="00937494" w:rsidP="001C1CBB">
            <w:pPr>
              <w:kinsoku/>
              <w:spacing w:before="119" w:line="360" w:lineRule="auto"/>
              <w:ind w:right="36" w:firstLineChars="200" w:firstLine="476"/>
              <w:jc w:val="both"/>
              <w:rPr>
                <w:rFonts w:ascii="宋体" w:eastAsia="宋体" w:hAnsi="宋体" w:cs="宋体" w:hint="eastAsia"/>
                <w:color w:val="auto"/>
                <w:spacing w:val="-2"/>
                <w:sz w:val="24"/>
                <w:szCs w:val="24"/>
              </w:rPr>
            </w:pPr>
            <w:r w:rsidRPr="00937494">
              <w:rPr>
                <w:rFonts w:ascii="宋体" w:eastAsia="宋体" w:hAnsi="宋体" w:cs="宋体"/>
                <w:color w:val="auto"/>
                <w:spacing w:val="-2"/>
                <w:sz w:val="24"/>
                <w:szCs w:val="24"/>
              </w:rPr>
              <w:t>尊敬的投资者，您好！2025 年公司主营业务毛利率79.71%，同比下降3.65个百分点。国家集采降价导致公司毛利率和净利率在近年来呈现逐年下滑的趋势，但随着海外业务的增长、以及集采业务占比的逐年降低，未来毛利率和净利率将有所提升。公司将长期在成本管控方面进行优化，使公司的成本在同行业上市公司保持中游水平，进而提升公司产品的竞争力。感谢您的关注，谢谢！</w:t>
            </w:r>
          </w:p>
        </w:tc>
      </w:tr>
      <w:tr w:rsidR="004A375F" w:rsidRPr="004112D0" w14:paraId="006186D4" w14:textId="77777777" w:rsidTr="005C54A3">
        <w:trPr>
          <w:trHeight w:val="729"/>
        </w:trPr>
        <w:tc>
          <w:tcPr>
            <w:tcW w:w="1425" w:type="dxa"/>
            <w:gridSpan w:val="2"/>
            <w:vAlign w:val="center"/>
          </w:tcPr>
          <w:p w14:paraId="0D02B313" w14:textId="77777777" w:rsidR="004A375F" w:rsidRPr="004112D0" w:rsidRDefault="00EF495B">
            <w:pPr>
              <w:kinsoku/>
              <w:spacing w:before="78" w:line="185" w:lineRule="auto"/>
              <w:jc w:val="both"/>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lastRenderedPageBreak/>
              <w:t>关于本次活动是</w:t>
            </w: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否涉及应披露重大信息的说明</w:t>
            </w:r>
          </w:p>
        </w:tc>
        <w:tc>
          <w:tcPr>
            <w:tcW w:w="7477" w:type="dxa"/>
            <w:gridSpan w:val="2"/>
            <w:vAlign w:val="center"/>
          </w:tcPr>
          <w:p w14:paraId="3B9C9088" w14:textId="77777777" w:rsidR="004A375F" w:rsidRPr="004112D0" w:rsidRDefault="00EF495B">
            <w:pPr>
              <w:kinsoku/>
              <w:spacing w:before="117" w:line="185" w:lineRule="auto"/>
              <w:ind w:firstLine="164"/>
              <w:rPr>
                <w:rFonts w:ascii="宋体" w:eastAsia="宋体" w:hAnsi="宋体" w:cs="宋体" w:hint="eastAsia"/>
                <w:spacing w:val="-2"/>
                <w:sz w:val="24"/>
                <w:szCs w:val="24"/>
              </w:rPr>
            </w:pPr>
            <w:r w:rsidRPr="004112D0">
              <w:rPr>
                <w:rFonts w:ascii="宋体" w:eastAsia="宋体" w:hAnsi="宋体" w:cs="宋体" w:hint="eastAsia"/>
                <w:spacing w:val="-2"/>
                <w:sz w:val="24"/>
                <w:szCs w:val="24"/>
              </w:rPr>
              <w:t>否。</w:t>
            </w:r>
          </w:p>
        </w:tc>
      </w:tr>
      <w:tr w:rsidR="004A375F" w:rsidRPr="004112D0" w14:paraId="0334BE42" w14:textId="77777777">
        <w:trPr>
          <w:trHeight w:val="383"/>
        </w:trPr>
        <w:tc>
          <w:tcPr>
            <w:tcW w:w="1425" w:type="dxa"/>
            <w:gridSpan w:val="2"/>
            <w:vAlign w:val="center"/>
          </w:tcPr>
          <w:p w14:paraId="387E2931"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附件清</w:t>
            </w:r>
            <w:r w:rsidRPr="004112D0">
              <w:rPr>
                <w:rFonts w:ascii="宋体" w:eastAsia="宋体" w:hAnsi="宋体" w:cs="宋体"/>
                <w:spacing w:val="-2"/>
                <w:sz w:val="24"/>
                <w:szCs w:val="24"/>
                <w14:textOutline w14:w="4356" w14:cap="flat" w14:cmpd="sng" w14:algn="ctr">
                  <w14:solidFill>
                    <w14:srgbClr w14:val="000000"/>
                  </w14:solidFill>
                  <w14:prstDash w14:val="solid"/>
                  <w14:miter w14:lim="0"/>
                </w14:textOutline>
              </w:rPr>
              <w:t>单</w:t>
            </w:r>
          </w:p>
        </w:tc>
        <w:tc>
          <w:tcPr>
            <w:tcW w:w="7477" w:type="dxa"/>
            <w:gridSpan w:val="2"/>
            <w:vAlign w:val="center"/>
          </w:tcPr>
          <w:p w14:paraId="5AFEFCCA" w14:textId="77777777" w:rsidR="004A375F" w:rsidRPr="004112D0" w:rsidRDefault="00EF495B">
            <w:pPr>
              <w:kinsoku/>
              <w:spacing w:before="117" w:line="185" w:lineRule="auto"/>
              <w:ind w:firstLine="164"/>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hint="eastAsia"/>
                <w:spacing w:val="-2"/>
                <w:sz w:val="24"/>
                <w:szCs w:val="24"/>
              </w:rPr>
              <w:t>否。</w:t>
            </w:r>
          </w:p>
        </w:tc>
      </w:tr>
      <w:tr w:rsidR="004A375F" w:rsidRPr="004112D0" w14:paraId="1DABC639" w14:textId="77777777">
        <w:trPr>
          <w:trHeight w:val="52"/>
        </w:trPr>
        <w:tc>
          <w:tcPr>
            <w:tcW w:w="1425" w:type="dxa"/>
            <w:gridSpan w:val="2"/>
            <w:vAlign w:val="center"/>
          </w:tcPr>
          <w:p w14:paraId="19739A88" w14:textId="77777777" w:rsidR="004A375F" w:rsidRPr="004112D0"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日期</w:t>
            </w:r>
          </w:p>
        </w:tc>
        <w:tc>
          <w:tcPr>
            <w:tcW w:w="7477" w:type="dxa"/>
            <w:gridSpan w:val="2"/>
            <w:vAlign w:val="center"/>
          </w:tcPr>
          <w:p w14:paraId="02FC21DD" w14:textId="3DA73ECA" w:rsidR="004A375F" w:rsidRPr="004112D0" w:rsidRDefault="00EF495B">
            <w:pPr>
              <w:kinsoku/>
              <w:spacing w:before="117" w:line="185" w:lineRule="auto"/>
              <w:ind w:firstLine="164"/>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4112D0">
              <w:rPr>
                <w:rFonts w:ascii="宋体" w:eastAsia="宋体" w:hAnsi="宋体" w:cs="宋体" w:hint="eastAsia"/>
                <w:spacing w:val="-2"/>
                <w:sz w:val="24"/>
                <w:szCs w:val="24"/>
              </w:rPr>
              <w:t>202</w:t>
            </w:r>
            <w:r w:rsidR="00071057">
              <w:rPr>
                <w:rFonts w:ascii="宋体" w:eastAsia="宋体" w:hAnsi="宋体" w:cs="宋体" w:hint="eastAsia"/>
                <w:spacing w:val="-2"/>
                <w:sz w:val="24"/>
                <w:szCs w:val="24"/>
              </w:rPr>
              <w:t>6</w:t>
            </w:r>
            <w:r w:rsidRPr="004112D0">
              <w:rPr>
                <w:rFonts w:ascii="宋体" w:eastAsia="宋体" w:hAnsi="宋体" w:cs="宋体" w:hint="eastAsia"/>
                <w:spacing w:val="-2"/>
                <w:sz w:val="24"/>
                <w:szCs w:val="24"/>
              </w:rPr>
              <w:t>年</w:t>
            </w:r>
            <w:r w:rsidR="00071057">
              <w:rPr>
                <w:rFonts w:ascii="宋体" w:eastAsia="宋体" w:hAnsi="宋体" w:cs="宋体" w:hint="eastAsia"/>
                <w:spacing w:val="-2"/>
                <w:sz w:val="24"/>
                <w:szCs w:val="24"/>
              </w:rPr>
              <w:t>5</w:t>
            </w:r>
            <w:r w:rsidRPr="004112D0">
              <w:rPr>
                <w:rFonts w:ascii="宋体" w:eastAsia="宋体" w:hAnsi="宋体" w:cs="宋体" w:hint="eastAsia"/>
                <w:spacing w:val="-2"/>
                <w:sz w:val="24"/>
                <w:szCs w:val="24"/>
              </w:rPr>
              <w:t>月</w:t>
            </w:r>
            <w:r w:rsidR="00071057">
              <w:rPr>
                <w:rFonts w:ascii="宋体" w:eastAsia="宋体" w:hAnsi="宋体" w:cs="宋体" w:hint="eastAsia"/>
                <w:spacing w:val="-2"/>
                <w:sz w:val="24"/>
                <w:szCs w:val="24"/>
              </w:rPr>
              <w:t>7</w:t>
            </w:r>
            <w:r w:rsidRPr="004112D0">
              <w:rPr>
                <w:rFonts w:ascii="宋体" w:eastAsia="宋体" w:hAnsi="宋体" w:cs="宋体" w:hint="eastAsia"/>
                <w:spacing w:val="-2"/>
                <w:sz w:val="24"/>
                <w:szCs w:val="24"/>
              </w:rPr>
              <w:t>日</w:t>
            </w:r>
          </w:p>
        </w:tc>
      </w:tr>
    </w:tbl>
    <w:p w14:paraId="61E02F41" w14:textId="77777777" w:rsidR="004A375F" w:rsidRPr="004112D0" w:rsidRDefault="004A375F">
      <w:pPr>
        <w:kinsoku/>
        <w:rPr>
          <w:rFonts w:ascii="宋体" w:eastAsia="宋体" w:hAnsi="宋体" w:hint="eastAsia"/>
        </w:rPr>
      </w:pPr>
    </w:p>
    <w:sectPr w:rsidR="004A375F" w:rsidRPr="004112D0">
      <w:pgSz w:w="11905" w:h="16839"/>
      <w:pgMar w:top="1248" w:right="1584" w:bottom="0" w:left="141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61F2" w14:textId="77777777" w:rsidR="00D669C3" w:rsidRDefault="00D669C3" w:rsidP="00AD0853">
      <w:r>
        <w:separator/>
      </w:r>
    </w:p>
  </w:endnote>
  <w:endnote w:type="continuationSeparator" w:id="0">
    <w:p w14:paraId="0922106F" w14:textId="77777777" w:rsidR="00D669C3" w:rsidRDefault="00D669C3" w:rsidP="00AD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C89B" w14:textId="77777777" w:rsidR="00D669C3" w:rsidRDefault="00D669C3" w:rsidP="00AD0853">
      <w:r>
        <w:separator/>
      </w:r>
    </w:p>
  </w:footnote>
  <w:footnote w:type="continuationSeparator" w:id="0">
    <w:p w14:paraId="15C530CA" w14:textId="77777777" w:rsidR="00D669C3" w:rsidRDefault="00D669C3" w:rsidP="00AD0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0590A"/>
    <w:multiLevelType w:val="singleLevel"/>
    <w:tmpl w:val="51B0590A"/>
    <w:lvl w:ilvl="0">
      <w:start w:val="1"/>
      <w:numFmt w:val="chineseCounting"/>
      <w:suff w:val="nothing"/>
      <w:lvlText w:val="%1、"/>
      <w:lvlJc w:val="left"/>
      <w:rPr>
        <w:rFonts w:hint="eastAsia"/>
      </w:rPr>
    </w:lvl>
  </w:abstractNum>
  <w:num w:numId="1" w16cid:durableId="172722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0YWM2ODg4MWFkZTg3NzFmODJiYjI5ZTFhM2MxNDQifQ=="/>
  </w:docVars>
  <w:rsids>
    <w:rsidRoot w:val="00A82403"/>
    <w:rsid w:val="00010E5F"/>
    <w:rsid w:val="00013320"/>
    <w:rsid w:val="000160E1"/>
    <w:rsid w:val="00040518"/>
    <w:rsid w:val="0004184A"/>
    <w:rsid w:val="000442D6"/>
    <w:rsid w:val="00064301"/>
    <w:rsid w:val="000657B4"/>
    <w:rsid w:val="00071057"/>
    <w:rsid w:val="000725DB"/>
    <w:rsid w:val="0007395A"/>
    <w:rsid w:val="00087747"/>
    <w:rsid w:val="000B1DAF"/>
    <w:rsid w:val="000B383F"/>
    <w:rsid w:val="000B4616"/>
    <w:rsid w:val="000C27C4"/>
    <w:rsid w:val="000C51DC"/>
    <w:rsid w:val="000D6EDF"/>
    <w:rsid w:val="001070B3"/>
    <w:rsid w:val="0011162B"/>
    <w:rsid w:val="001141E7"/>
    <w:rsid w:val="001160A5"/>
    <w:rsid w:val="00121E26"/>
    <w:rsid w:val="00122114"/>
    <w:rsid w:val="0012579C"/>
    <w:rsid w:val="00131590"/>
    <w:rsid w:val="00134425"/>
    <w:rsid w:val="001349D4"/>
    <w:rsid w:val="001429D0"/>
    <w:rsid w:val="001447C5"/>
    <w:rsid w:val="00151778"/>
    <w:rsid w:val="00155616"/>
    <w:rsid w:val="001558CD"/>
    <w:rsid w:val="001721C8"/>
    <w:rsid w:val="00176AB7"/>
    <w:rsid w:val="0017756B"/>
    <w:rsid w:val="00186BB8"/>
    <w:rsid w:val="001C1CBB"/>
    <w:rsid w:val="001D28AC"/>
    <w:rsid w:val="001E22CC"/>
    <w:rsid w:val="001F20DA"/>
    <w:rsid w:val="001F424D"/>
    <w:rsid w:val="00202342"/>
    <w:rsid w:val="00204A36"/>
    <w:rsid w:val="00207DAF"/>
    <w:rsid w:val="00212B6E"/>
    <w:rsid w:val="002245E7"/>
    <w:rsid w:val="00254322"/>
    <w:rsid w:val="0027222C"/>
    <w:rsid w:val="002732AD"/>
    <w:rsid w:val="00282A83"/>
    <w:rsid w:val="00285228"/>
    <w:rsid w:val="002A7294"/>
    <w:rsid w:val="002A73B2"/>
    <w:rsid w:val="002B1870"/>
    <w:rsid w:val="002C2351"/>
    <w:rsid w:val="002C2863"/>
    <w:rsid w:val="002C3ED3"/>
    <w:rsid w:val="002C5F87"/>
    <w:rsid w:val="002D721B"/>
    <w:rsid w:val="002E3CC3"/>
    <w:rsid w:val="002E58DC"/>
    <w:rsid w:val="00310DAC"/>
    <w:rsid w:val="0033331C"/>
    <w:rsid w:val="00340116"/>
    <w:rsid w:val="00342173"/>
    <w:rsid w:val="003440A5"/>
    <w:rsid w:val="00350D41"/>
    <w:rsid w:val="00356017"/>
    <w:rsid w:val="0035746D"/>
    <w:rsid w:val="00357EED"/>
    <w:rsid w:val="003625D1"/>
    <w:rsid w:val="00365CE3"/>
    <w:rsid w:val="00371330"/>
    <w:rsid w:val="00380C64"/>
    <w:rsid w:val="003841E4"/>
    <w:rsid w:val="003A2C6B"/>
    <w:rsid w:val="003A45C4"/>
    <w:rsid w:val="003B1941"/>
    <w:rsid w:val="003B5325"/>
    <w:rsid w:val="003B5556"/>
    <w:rsid w:val="003B5B71"/>
    <w:rsid w:val="003C0076"/>
    <w:rsid w:val="003D6CC5"/>
    <w:rsid w:val="003E6BCC"/>
    <w:rsid w:val="003F6A9C"/>
    <w:rsid w:val="003F750B"/>
    <w:rsid w:val="004111D5"/>
    <w:rsid w:val="004112D0"/>
    <w:rsid w:val="0043584F"/>
    <w:rsid w:val="00454B61"/>
    <w:rsid w:val="00454E5F"/>
    <w:rsid w:val="00460B9B"/>
    <w:rsid w:val="004A1871"/>
    <w:rsid w:val="004A375F"/>
    <w:rsid w:val="004C2254"/>
    <w:rsid w:val="004D6EF2"/>
    <w:rsid w:val="004E100F"/>
    <w:rsid w:val="004E2DE2"/>
    <w:rsid w:val="004E2FA7"/>
    <w:rsid w:val="004E50D4"/>
    <w:rsid w:val="004E5651"/>
    <w:rsid w:val="004F74C2"/>
    <w:rsid w:val="00512D96"/>
    <w:rsid w:val="00524AAA"/>
    <w:rsid w:val="00527CD8"/>
    <w:rsid w:val="00533406"/>
    <w:rsid w:val="00535A02"/>
    <w:rsid w:val="00535AFC"/>
    <w:rsid w:val="005445A8"/>
    <w:rsid w:val="00554659"/>
    <w:rsid w:val="0056673A"/>
    <w:rsid w:val="005726CD"/>
    <w:rsid w:val="005C0BEB"/>
    <w:rsid w:val="005C13DC"/>
    <w:rsid w:val="005C54A3"/>
    <w:rsid w:val="005D67C9"/>
    <w:rsid w:val="005E645A"/>
    <w:rsid w:val="00604C91"/>
    <w:rsid w:val="00606391"/>
    <w:rsid w:val="00634391"/>
    <w:rsid w:val="00636BAE"/>
    <w:rsid w:val="00641B80"/>
    <w:rsid w:val="00644B20"/>
    <w:rsid w:val="006458E3"/>
    <w:rsid w:val="00646207"/>
    <w:rsid w:val="0065124E"/>
    <w:rsid w:val="00663B88"/>
    <w:rsid w:val="00667E75"/>
    <w:rsid w:val="00675C35"/>
    <w:rsid w:val="006801B7"/>
    <w:rsid w:val="006A325F"/>
    <w:rsid w:val="006C3EC7"/>
    <w:rsid w:val="006C6029"/>
    <w:rsid w:val="006C6D6C"/>
    <w:rsid w:val="006C6F5A"/>
    <w:rsid w:val="006F1A5C"/>
    <w:rsid w:val="006F473A"/>
    <w:rsid w:val="006F4C4E"/>
    <w:rsid w:val="006F4F21"/>
    <w:rsid w:val="007300D2"/>
    <w:rsid w:val="00736341"/>
    <w:rsid w:val="00747897"/>
    <w:rsid w:val="00752B6F"/>
    <w:rsid w:val="00753A6F"/>
    <w:rsid w:val="00763ADF"/>
    <w:rsid w:val="007648A5"/>
    <w:rsid w:val="00767A79"/>
    <w:rsid w:val="0077409E"/>
    <w:rsid w:val="0078058A"/>
    <w:rsid w:val="007868E8"/>
    <w:rsid w:val="00797552"/>
    <w:rsid w:val="007A0392"/>
    <w:rsid w:val="007A5F05"/>
    <w:rsid w:val="007C4032"/>
    <w:rsid w:val="007C6DEA"/>
    <w:rsid w:val="007D0C8E"/>
    <w:rsid w:val="007E2222"/>
    <w:rsid w:val="007E4C5F"/>
    <w:rsid w:val="007F2122"/>
    <w:rsid w:val="008265E0"/>
    <w:rsid w:val="0083293B"/>
    <w:rsid w:val="00835D4E"/>
    <w:rsid w:val="008428F3"/>
    <w:rsid w:val="00852F76"/>
    <w:rsid w:val="0085545A"/>
    <w:rsid w:val="008555FD"/>
    <w:rsid w:val="00855AF4"/>
    <w:rsid w:val="008600C5"/>
    <w:rsid w:val="00860EEE"/>
    <w:rsid w:val="00863F27"/>
    <w:rsid w:val="00864D92"/>
    <w:rsid w:val="00870091"/>
    <w:rsid w:val="00885B84"/>
    <w:rsid w:val="00890D15"/>
    <w:rsid w:val="008B0CFC"/>
    <w:rsid w:val="008B45A1"/>
    <w:rsid w:val="008C6DED"/>
    <w:rsid w:val="008D3192"/>
    <w:rsid w:val="008D701B"/>
    <w:rsid w:val="008F704F"/>
    <w:rsid w:val="008F7B7F"/>
    <w:rsid w:val="009000D1"/>
    <w:rsid w:val="009007FE"/>
    <w:rsid w:val="009014B3"/>
    <w:rsid w:val="009147ED"/>
    <w:rsid w:val="00931095"/>
    <w:rsid w:val="0093706F"/>
    <w:rsid w:val="00937494"/>
    <w:rsid w:val="009445E0"/>
    <w:rsid w:val="009606DB"/>
    <w:rsid w:val="00962475"/>
    <w:rsid w:val="00966166"/>
    <w:rsid w:val="00966E2B"/>
    <w:rsid w:val="009763E7"/>
    <w:rsid w:val="00983676"/>
    <w:rsid w:val="009836D0"/>
    <w:rsid w:val="009A7A86"/>
    <w:rsid w:val="009D062D"/>
    <w:rsid w:val="009D1623"/>
    <w:rsid w:val="009D56E4"/>
    <w:rsid w:val="009E1754"/>
    <w:rsid w:val="009E7D9E"/>
    <w:rsid w:val="009F74E8"/>
    <w:rsid w:val="00A03360"/>
    <w:rsid w:val="00A063D3"/>
    <w:rsid w:val="00A06ABB"/>
    <w:rsid w:val="00A1674E"/>
    <w:rsid w:val="00A25B2D"/>
    <w:rsid w:val="00A32D35"/>
    <w:rsid w:val="00A4640B"/>
    <w:rsid w:val="00A47ECF"/>
    <w:rsid w:val="00A63D08"/>
    <w:rsid w:val="00A740CB"/>
    <w:rsid w:val="00A75D92"/>
    <w:rsid w:val="00A8091C"/>
    <w:rsid w:val="00A82403"/>
    <w:rsid w:val="00A826F9"/>
    <w:rsid w:val="00A90F96"/>
    <w:rsid w:val="00AB0573"/>
    <w:rsid w:val="00AB13DA"/>
    <w:rsid w:val="00AC5546"/>
    <w:rsid w:val="00AD0853"/>
    <w:rsid w:val="00AD68E1"/>
    <w:rsid w:val="00AD7F50"/>
    <w:rsid w:val="00AE43A7"/>
    <w:rsid w:val="00AF2E78"/>
    <w:rsid w:val="00AF676C"/>
    <w:rsid w:val="00B00238"/>
    <w:rsid w:val="00B07084"/>
    <w:rsid w:val="00B10276"/>
    <w:rsid w:val="00B11D09"/>
    <w:rsid w:val="00B25DE7"/>
    <w:rsid w:val="00B368F2"/>
    <w:rsid w:val="00B53B4F"/>
    <w:rsid w:val="00B542DA"/>
    <w:rsid w:val="00B56C2F"/>
    <w:rsid w:val="00B61270"/>
    <w:rsid w:val="00B65857"/>
    <w:rsid w:val="00B66F43"/>
    <w:rsid w:val="00B7734D"/>
    <w:rsid w:val="00B82424"/>
    <w:rsid w:val="00B91331"/>
    <w:rsid w:val="00B9230C"/>
    <w:rsid w:val="00BA1147"/>
    <w:rsid w:val="00BA14AA"/>
    <w:rsid w:val="00BB2D55"/>
    <w:rsid w:val="00BB5428"/>
    <w:rsid w:val="00BB71F7"/>
    <w:rsid w:val="00BC0565"/>
    <w:rsid w:val="00BC12AE"/>
    <w:rsid w:val="00BD1BA6"/>
    <w:rsid w:val="00BD29C9"/>
    <w:rsid w:val="00BE7CD9"/>
    <w:rsid w:val="00C0022E"/>
    <w:rsid w:val="00C02378"/>
    <w:rsid w:val="00C03BDD"/>
    <w:rsid w:val="00C05C07"/>
    <w:rsid w:val="00C151B6"/>
    <w:rsid w:val="00C25AE6"/>
    <w:rsid w:val="00C3197B"/>
    <w:rsid w:val="00C33CF7"/>
    <w:rsid w:val="00C34995"/>
    <w:rsid w:val="00C51B7F"/>
    <w:rsid w:val="00C6196E"/>
    <w:rsid w:val="00C61D0E"/>
    <w:rsid w:val="00C82C29"/>
    <w:rsid w:val="00C870E4"/>
    <w:rsid w:val="00CB429B"/>
    <w:rsid w:val="00CD2689"/>
    <w:rsid w:val="00CD4DA3"/>
    <w:rsid w:val="00D0142C"/>
    <w:rsid w:val="00D07BDA"/>
    <w:rsid w:val="00D14BDA"/>
    <w:rsid w:val="00D34D57"/>
    <w:rsid w:val="00D37E7C"/>
    <w:rsid w:val="00D4229D"/>
    <w:rsid w:val="00D47B0A"/>
    <w:rsid w:val="00D64568"/>
    <w:rsid w:val="00D669C3"/>
    <w:rsid w:val="00D71169"/>
    <w:rsid w:val="00D93994"/>
    <w:rsid w:val="00DB086D"/>
    <w:rsid w:val="00DD0095"/>
    <w:rsid w:val="00DD1B6B"/>
    <w:rsid w:val="00DD3EF4"/>
    <w:rsid w:val="00DE5CB8"/>
    <w:rsid w:val="00DF0888"/>
    <w:rsid w:val="00E0158B"/>
    <w:rsid w:val="00E106AF"/>
    <w:rsid w:val="00E10B5B"/>
    <w:rsid w:val="00E17ADC"/>
    <w:rsid w:val="00E321BF"/>
    <w:rsid w:val="00E33B34"/>
    <w:rsid w:val="00E40F5A"/>
    <w:rsid w:val="00E44087"/>
    <w:rsid w:val="00E44C9F"/>
    <w:rsid w:val="00E55D67"/>
    <w:rsid w:val="00E64623"/>
    <w:rsid w:val="00E8421F"/>
    <w:rsid w:val="00E90DA8"/>
    <w:rsid w:val="00E93965"/>
    <w:rsid w:val="00E965C9"/>
    <w:rsid w:val="00EA3EBD"/>
    <w:rsid w:val="00EB2E24"/>
    <w:rsid w:val="00EC3521"/>
    <w:rsid w:val="00ED0CB8"/>
    <w:rsid w:val="00EE04D9"/>
    <w:rsid w:val="00EE088A"/>
    <w:rsid w:val="00EE208A"/>
    <w:rsid w:val="00EF495B"/>
    <w:rsid w:val="00F0661A"/>
    <w:rsid w:val="00F25641"/>
    <w:rsid w:val="00F2730D"/>
    <w:rsid w:val="00F33062"/>
    <w:rsid w:val="00F4615E"/>
    <w:rsid w:val="00F76A2C"/>
    <w:rsid w:val="00F8725C"/>
    <w:rsid w:val="00F92BD6"/>
    <w:rsid w:val="00F969B7"/>
    <w:rsid w:val="00FA25C5"/>
    <w:rsid w:val="00FA25E9"/>
    <w:rsid w:val="00FA26F7"/>
    <w:rsid w:val="00FB0487"/>
    <w:rsid w:val="00FB7AF0"/>
    <w:rsid w:val="00FC076D"/>
    <w:rsid w:val="00FC6A11"/>
    <w:rsid w:val="00FD3485"/>
    <w:rsid w:val="00FE0929"/>
    <w:rsid w:val="00FE1AD8"/>
    <w:rsid w:val="00FE363C"/>
    <w:rsid w:val="00FF1480"/>
    <w:rsid w:val="016A6281"/>
    <w:rsid w:val="02AC38A5"/>
    <w:rsid w:val="04BB007D"/>
    <w:rsid w:val="05250B93"/>
    <w:rsid w:val="06D22031"/>
    <w:rsid w:val="06F55595"/>
    <w:rsid w:val="071D689A"/>
    <w:rsid w:val="07CF6FE0"/>
    <w:rsid w:val="07D2567A"/>
    <w:rsid w:val="093D31BF"/>
    <w:rsid w:val="098827B8"/>
    <w:rsid w:val="0A0C21A4"/>
    <w:rsid w:val="0A36472B"/>
    <w:rsid w:val="0B2E0A4D"/>
    <w:rsid w:val="0CBB210D"/>
    <w:rsid w:val="0D292884"/>
    <w:rsid w:val="0D8D66AA"/>
    <w:rsid w:val="0DB37F58"/>
    <w:rsid w:val="0DD51C7C"/>
    <w:rsid w:val="0F1467D4"/>
    <w:rsid w:val="0F550FE0"/>
    <w:rsid w:val="107A1149"/>
    <w:rsid w:val="10F7475B"/>
    <w:rsid w:val="12F80267"/>
    <w:rsid w:val="13173947"/>
    <w:rsid w:val="13227691"/>
    <w:rsid w:val="13E76BAD"/>
    <w:rsid w:val="13E829C1"/>
    <w:rsid w:val="14B4206E"/>
    <w:rsid w:val="14D44714"/>
    <w:rsid w:val="1503519F"/>
    <w:rsid w:val="156F6E5A"/>
    <w:rsid w:val="1586199A"/>
    <w:rsid w:val="16985C80"/>
    <w:rsid w:val="180E47E3"/>
    <w:rsid w:val="18736C61"/>
    <w:rsid w:val="1A33760F"/>
    <w:rsid w:val="1AC8120F"/>
    <w:rsid w:val="1B5E6CE5"/>
    <w:rsid w:val="1D952BCB"/>
    <w:rsid w:val="1D966831"/>
    <w:rsid w:val="1DD26DCC"/>
    <w:rsid w:val="1F1F71FB"/>
    <w:rsid w:val="1FF16DE9"/>
    <w:rsid w:val="20582A63"/>
    <w:rsid w:val="208A4B48"/>
    <w:rsid w:val="213D0FD6"/>
    <w:rsid w:val="24107A5A"/>
    <w:rsid w:val="244A1032"/>
    <w:rsid w:val="248734EA"/>
    <w:rsid w:val="25F72C80"/>
    <w:rsid w:val="27196C26"/>
    <w:rsid w:val="27F356C9"/>
    <w:rsid w:val="280E7ABB"/>
    <w:rsid w:val="2C6170A5"/>
    <w:rsid w:val="32A36377"/>
    <w:rsid w:val="34665EFD"/>
    <w:rsid w:val="35021552"/>
    <w:rsid w:val="361F7F47"/>
    <w:rsid w:val="36206572"/>
    <w:rsid w:val="36677BCA"/>
    <w:rsid w:val="366C6D72"/>
    <w:rsid w:val="37CA69BC"/>
    <w:rsid w:val="386A108F"/>
    <w:rsid w:val="39E13DBD"/>
    <w:rsid w:val="39E75962"/>
    <w:rsid w:val="3B1E6C7B"/>
    <w:rsid w:val="3B702E61"/>
    <w:rsid w:val="3DCD2EF4"/>
    <w:rsid w:val="3EA551D7"/>
    <w:rsid w:val="3FDA2F9E"/>
    <w:rsid w:val="4036521E"/>
    <w:rsid w:val="40556A92"/>
    <w:rsid w:val="40CA6468"/>
    <w:rsid w:val="43283616"/>
    <w:rsid w:val="453B09A0"/>
    <w:rsid w:val="46F80C5B"/>
    <w:rsid w:val="48734414"/>
    <w:rsid w:val="4CAE23B0"/>
    <w:rsid w:val="4D0000A2"/>
    <w:rsid w:val="4D8E53C8"/>
    <w:rsid w:val="4FA92E02"/>
    <w:rsid w:val="50A75C4F"/>
    <w:rsid w:val="51E93115"/>
    <w:rsid w:val="5281374D"/>
    <w:rsid w:val="53F57ADE"/>
    <w:rsid w:val="54C9521B"/>
    <w:rsid w:val="54DA326F"/>
    <w:rsid w:val="55B81DF7"/>
    <w:rsid w:val="56220DA3"/>
    <w:rsid w:val="57066B19"/>
    <w:rsid w:val="581D0FF3"/>
    <w:rsid w:val="592355CE"/>
    <w:rsid w:val="5C0A7F51"/>
    <w:rsid w:val="5CD8609B"/>
    <w:rsid w:val="5E015742"/>
    <w:rsid w:val="5F683CCB"/>
    <w:rsid w:val="5FBB029F"/>
    <w:rsid w:val="60775C1E"/>
    <w:rsid w:val="61BA4EB8"/>
    <w:rsid w:val="61C15914"/>
    <w:rsid w:val="6372363C"/>
    <w:rsid w:val="63F06720"/>
    <w:rsid w:val="6416272A"/>
    <w:rsid w:val="656C01D4"/>
    <w:rsid w:val="65915880"/>
    <w:rsid w:val="66A973CB"/>
    <w:rsid w:val="68D06A0D"/>
    <w:rsid w:val="69465932"/>
    <w:rsid w:val="69E12C0F"/>
    <w:rsid w:val="6A1762EA"/>
    <w:rsid w:val="6A6C6E15"/>
    <w:rsid w:val="6AB272B2"/>
    <w:rsid w:val="6B2347E2"/>
    <w:rsid w:val="6D8617C0"/>
    <w:rsid w:val="6F4605A5"/>
    <w:rsid w:val="6F6F7D2B"/>
    <w:rsid w:val="70231548"/>
    <w:rsid w:val="70546656"/>
    <w:rsid w:val="70805BFB"/>
    <w:rsid w:val="71F53DEB"/>
    <w:rsid w:val="72F44417"/>
    <w:rsid w:val="73C51565"/>
    <w:rsid w:val="7423781D"/>
    <w:rsid w:val="77400C32"/>
    <w:rsid w:val="785830AA"/>
    <w:rsid w:val="7AEC6717"/>
    <w:rsid w:val="7B477CF9"/>
    <w:rsid w:val="7BF70459"/>
    <w:rsid w:val="7C4B225A"/>
    <w:rsid w:val="7CAC0E59"/>
    <w:rsid w:val="7DC221CB"/>
    <w:rsid w:val="7E410F5F"/>
    <w:rsid w:val="7E4902CC"/>
    <w:rsid w:val="7F8E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A557"/>
  <w15:docId w15:val="{B0474CBB-FCBA-463E-962C-9EB3892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rPr>
  </w:style>
  <w:style w:type="paragraph" w:styleId="4">
    <w:name w:val="heading 4"/>
    <w:basedOn w:val="a"/>
    <w:next w:val="a"/>
    <w:autoRedefine/>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autoRedefine/>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9">
    <w:name w:val="Normal (Web)"/>
    <w:basedOn w:val="a"/>
    <w:autoRedefine/>
    <w:semiHidden/>
    <w:unhideWhenUsed/>
    <w:qFormat/>
    <w:pPr>
      <w:spacing w:beforeAutospacing="1" w:afterAutospacing="1"/>
    </w:pPr>
    <w:rPr>
      <w:rFonts w:cs="Times New Roman"/>
      <w:sz w:val="24"/>
    </w:rPr>
  </w:style>
  <w:style w:type="paragraph" w:styleId="aa">
    <w:name w:val="annotation subject"/>
    <w:basedOn w:val="a3"/>
    <w:next w:val="a3"/>
    <w:link w:val="ab"/>
    <w:autoRedefine/>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e">
    <w:name w:val="List Paragraph"/>
    <w:basedOn w:val="a"/>
    <w:autoRedefine/>
    <w:uiPriority w:val="34"/>
    <w:qFormat/>
    <w:pPr>
      <w:ind w:firstLineChars="200" w:firstLine="420"/>
    </w:pPr>
  </w:style>
  <w:style w:type="character" w:customStyle="1" w:styleId="a4">
    <w:name w:val="批注文字 字符"/>
    <w:basedOn w:val="a0"/>
    <w:link w:val="a3"/>
    <w:autoRedefine/>
    <w:qFormat/>
    <w:rPr>
      <w:rFonts w:ascii="Arial" w:eastAsia="Arial" w:hAnsi="Arial" w:cs="Arial"/>
      <w:snapToGrid w:val="0"/>
      <w:color w:val="000000"/>
      <w:sz w:val="21"/>
      <w:szCs w:val="21"/>
    </w:rPr>
  </w:style>
  <w:style w:type="character" w:customStyle="1" w:styleId="ab">
    <w:name w:val="批注主题 字符"/>
    <w:basedOn w:val="a4"/>
    <w:link w:val="aa"/>
    <w:autoRedefine/>
    <w:qFormat/>
    <w:rPr>
      <w:rFonts w:ascii="Arial" w:eastAsia="Arial" w:hAnsi="Arial" w:cs="Arial"/>
      <w:b/>
      <w:bCs/>
      <w:snapToGrid w:val="0"/>
      <w:color w:val="000000"/>
      <w:sz w:val="21"/>
      <w:szCs w:val="21"/>
    </w:rPr>
  </w:style>
  <w:style w:type="character" w:customStyle="1" w:styleId="a6">
    <w:name w:val="批注框文本 字符"/>
    <w:basedOn w:val="a0"/>
    <w:link w:val="a5"/>
    <w:autoRedefine/>
    <w:qFormat/>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13158">
      <w:bodyDiv w:val="1"/>
      <w:marLeft w:val="0"/>
      <w:marRight w:val="0"/>
      <w:marTop w:val="0"/>
      <w:marBottom w:val="0"/>
      <w:divBdr>
        <w:top w:val="none" w:sz="0" w:space="0" w:color="auto"/>
        <w:left w:val="none" w:sz="0" w:space="0" w:color="auto"/>
        <w:bottom w:val="none" w:sz="0" w:space="0" w:color="auto"/>
        <w:right w:val="none" w:sz="0" w:space="0" w:color="auto"/>
      </w:divBdr>
    </w:div>
    <w:div w:id="166311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91357</dc:creator>
  <cp:lastModifiedBy>刘琳</cp:lastModifiedBy>
  <cp:revision>45</cp:revision>
  <dcterms:created xsi:type="dcterms:W3CDTF">2023-11-07T05:48:00Z</dcterms:created>
  <dcterms:modified xsi:type="dcterms:W3CDTF">2026-05-07T06:21:00Z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2022-01-18T10:27:02Z</vt:filetime>
  </property>
  <property fmtid="{D5CDD505-2E9C-101B-9397-08002B2CF9AE}" pid="4" name="KSOProductBuildVer">
    <vt:lpwstr>2052-12.1.0.16729</vt:lpwstr>
  </property>
  <property fmtid="{D5CDD505-2E9C-101B-9397-08002B2CF9AE}" pid="5" name="ICV">
    <vt:lpwstr>BC861D94807042C78B45C5D82F45FF7D</vt:lpwstr>
  </property>
</Properties>
</file>