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56EA6">
      <w:pPr>
        <w:pStyle w:val="20"/>
        <w:jc w:val="center"/>
        <w:rPr>
          <w:rFonts w:ascii="宋体" w:hAnsi="宋体" w:eastAsia="宋体" w:cs="宋体"/>
          <w:b/>
          <w:bCs/>
          <w:color w:val="auto"/>
          <w:szCs w:val="28"/>
        </w:rPr>
      </w:pPr>
      <w:r>
        <w:rPr>
          <w:rFonts w:hint="eastAsia" w:ascii="宋体" w:hAnsi="宋体" w:eastAsia="宋体" w:cs="宋体"/>
          <w:b/>
          <w:bCs/>
          <w:color w:val="auto"/>
          <w:szCs w:val="28"/>
          <w:lang w:eastAsia="zh-Hans"/>
        </w:rPr>
        <w:t>金科环境</w:t>
      </w:r>
      <w:r>
        <w:rPr>
          <w:rFonts w:hint="eastAsia" w:ascii="宋体" w:hAnsi="宋体" w:eastAsia="宋体" w:cs="宋体"/>
          <w:b/>
          <w:bCs/>
          <w:color w:val="auto"/>
          <w:szCs w:val="28"/>
        </w:rPr>
        <w:t>股份有限公司</w:t>
      </w:r>
    </w:p>
    <w:p w14:paraId="29E2CA38">
      <w:pPr>
        <w:pStyle w:val="20"/>
        <w:jc w:val="center"/>
        <w:rPr>
          <w:rFonts w:ascii="宋体" w:hAnsi="宋体" w:eastAsia="宋体" w:cs="宋体"/>
          <w:b/>
          <w:bCs/>
          <w:color w:val="auto"/>
          <w:szCs w:val="28"/>
        </w:rPr>
      </w:pPr>
      <w:r>
        <w:rPr>
          <w:rFonts w:hint="eastAsia" w:ascii="宋体" w:hAnsi="宋体" w:eastAsia="宋体" w:cs="宋体"/>
          <w:b/>
          <w:bCs/>
          <w:color w:val="auto"/>
          <w:szCs w:val="28"/>
        </w:rPr>
        <w:t>投资者关系活动记录表</w:t>
      </w:r>
    </w:p>
    <w:p w14:paraId="7C74A02E">
      <w:pPr>
        <w:wordWrap w:val="0"/>
        <w:jc w:val="right"/>
        <w:rPr>
          <w:rFonts w:hint="default" w:ascii="宋体" w:hAnsi="宋体" w:eastAsia="宋体" w:cs="Times New Roman"/>
          <w:sz w:val="24"/>
          <w:lang w:val="en-US" w:eastAsia="zh-CN"/>
        </w:rPr>
      </w:pPr>
      <w:r>
        <w:rPr>
          <w:rFonts w:hint="eastAsia" w:ascii="宋体" w:hAnsi="宋体" w:eastAsia="宋体" w:cs="Times New Roman"/>
        </w:rPr>
        <w:t>编号</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02</w:t>
      </w:r>
      <w:r>
        <w:rPr>
          <w:rFonts w:hint="eastAsia" w:ascii="宋体" w:hAnsi="宋体" w:eastAsia="宋体" w:cs="Times New Roman"/>
          <w:lang w:val="en-US" w:eastAsia="zh-CN"/>
        </w:rPr>
        <w:t>6</w:t>
      </w:r>
      <w:r>
        <w:rPr>
          <w:rFonts w:hint="eastAsia" w:ascii="宋体" w:hAnsi="宋体" w:eastAsia="宋体" w:cs="Times New Roman"/>
        </w:rPr>
        <w:t>-0</w:t>
      </w:r>
      <w:r>
        <w:rPr>
          <w:rFonts w:hint="eastAsia" w:ascii="宋体" w:hAnsi="宋体" w:eastAsia="宋体" w:cs="Times New Roman"/>
          <w:lang w:val="en-US" w:eastAsia="zh-CN"/>
        </w:rPr>
        <w:t>2</w:t>
      </w:r>
    </w:p>
    <w:tbl>
      <w:tblPr>
        <w:tblStyle w:val="21"/>
        <w:tblW w:w="907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7229"/>
      </w:tblGrid>
      <w:tr w14:paraId="3C3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844" w:type="dxa"/>
            <w:vAlign w:val="center"/>
          </w:tcPr>
          <w:p w14:paraId="2131FCC0">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投资者关系活动类别</w:t>
            </w:r>
          </w:p>
        </w:tc>
        <w:tc>
          <w:tcPr>
            <w:tcW w:w="7229" w:type="dxa"/>
            <w:vAlign w:val="center"/>
          </w:tcPr>
          <w:p w14:paraId="15BA04EE">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特定对象调研</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分析师会议</w:t>
            </w:r>
          </w:p>
          <w:p w14:paraId="1C5BD443">
            <w:pPr>
              <w:autoSpaceDE w:val="0"/>
              <w:autoSpaceDN w:val="0"/>
              <w:spacing w:line="240" w:lineRule="auto"/>
              <w:rPr>
                <w:rFonts w:hint="eastAsia" w:ascii="宋体" w:hAnsi="宋体" w:eastAsia="宋体" w:cs="宋体"/>
                <w:color w:val="auto"/>
                <w:kern w:val="0"/>
                <w:szCs w:val="21"/>
                <w:u w:val="none"/>
              </w:rPr>
            </w:pPr>
            <w:r>
              <w:rPr>
                <w:rFonts w:hint="eastAsia" w:ascii="宋体" w:hAnsi="宋体" w:eastAsia="宋体" w:cs="宋体"/>
                <w:color w:val="auto"/>
                <w:szCs w:val="21"/>
                <w:u w:val="none"/>
              </w:rPr>
              <w:t>□</w:t>
            </w:r>
            <w:r>
              <w:rPr>
                <w:rFonts w:hint="eastAsia" w:ascii="宋体" w:hAnsi="宋体" w:eastAsia="宋体" w:cs="宋体"/>
                <w:color w:val="auto"/>
                <w:kern w:val="0"/>
                <w:szCs w:val="21"/>
                <w:u w:val="none"/>
              </w:rPr>
              <w:t>媒体采访</w:t>
            </w:r>
            <w:r>
              <w:rPr>
                <w:rFonts w:hint="eastAsia" w:ascii="宋体" w:hAnsi="宋体" w:eastAsia="宋体" w:cs="宋体"/>
                <w:color w:val="auto"/>
                <w:kern w:val="0"/>
                <w:szCs w:val="21"/>
                <w:u w:val="none"/>
                <w:lang w:val="en-US" w:eastAsia="zh-CN"/>
              </w:rPr>
              <w:t xml:space="preserve">          </w:t>
            </w:r>
            <w:r>
              <w:rPr>
                <w:rFonts w:hint="eastAsia" w:ascii="宋体" w:hAnsi="宋体" w:eastAsia="宋体" w:cs="宋体"/>
                <w:color w:val="auto"/>
                <w:szCs w:val="21"/>
                <w:u w:val="none"/>
                <w:lang w:eastAsia="zh-CN"/>
              </w:rPr>
              <w:t>□</w:t>
            </w:r>
            <w:r>
              <w:rPr>
                <w:rFonts w:hint="eastAsia" w:ascii="宋体" w:hAnsi="宋体" w:eastAsia="宋体" w:cs="宋体"/>
                <w:color w:val="auto"/>
                <w:kern w:val="0"/>
                <w:szCs w:val="21"/>
                <w:u w:val="none"/>
              </w:rPr>
              <w:t>业绩说明会</w:t>
            </w:r>
          </w:p>
          <w:p w14:paraId="09EAD1DB">
            <w:pPr>
              <w:autoSpaceDE w:val="0"/>
              <w:autoSpaceDN w:val="0"/>
              <w:spacing w:line="240" w:lineRule="auto"/>
              <w:rPr>
                <w:rFonts w:hint="eastAsia" w:ascii="宋体" w:hAnsi="宋体" w:eastAsia="宋体" w:cs="宋体"/>
                <w:color w:val="auto"/>
                <w:kern w:val="0"/>
                <w:szCs w:val="21"/>
                <w:u w:val="none"/>
              </w:rPr>
            </w:pPr>
            <w:r>
              <w:rPr>
                <w:rFonts w:hint="eastAsia" w:ascii="宋体" w:hAnsi="宋体" w:eastAsia="宋体" w:cs="宋体"/>
                <w:color w:val="auto"/>
                <w:kern w:val="0"/>
                <w:szCs w:val="21"/>
                <w:u w:val="none"/>
              </w:rPr>
              <w:t>□新闻发布会</w:t>
            </w:r>
            <w:r>
              <w:rPr>
                <w:rFonts w:hint="eastAsia" w:ascii="宋体" w:hAnsi="宋体" w:eastAsia="宋体" w:cs="宋体"/>
                <w:color w:val="auto"/>
                <w:kern w:val="0"/>
                <w:szCs w:val="21"/>
                <w:u w:val="none"/>
                <w:lang w:val="en-US" w:eastAsia="zh-CN"/>
              </w:rPr>
              <w:t xml:space="preserve">        </w:t>
            </w:r>
            <w:r>
              <w:rPr>
                <w:rFonts w:hint="eastAsia" w:ascii="宋体" w:hAnsi="宋体" w:eastAsia="宋体" w:cs="宋体"/>
                <w:color w:val="auto"/>
                <w:szCs w:val="21"/>
                <w:u w:val="none"/>
                <w:lang w:eastAsia="zh-CN"/>
              </w:rPr>
              <w:t>□</w:t>
            </w:r>
            <w:r>
              <w:rPr>
                <w:rFonts w:hint="eastAsia" w:ascii="宋体" w:hAnsi="宋体" w:eastAsia="宋体" w:cs="宋体"/>
                <w:color w:val="auto"/>
                <w:kern w:val="0"/>
                <w:szCs w:val="21"/>
                <w:u w:val="none"/>
              </w:rPr>
              <w:t>路演活动</w:t>
            </w:r>
          </w:p>
          <w:p w14:paraId="108164ED">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现场参观</w:t>
            </w:r>
          </w:p>
          <w:p w14:paraId="5905D1FC">
            <w:pPr>
              <w:spacing w:line="240" w:lineRule="auto"/>
              <w:rPr>
                <w:rFonts w:hint="default"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rPr>
              <w:t>其他</w:t>
            </w:r>
            <w:r>
              <w:rPr>
                <w:rFonts w:hint="eastAsia" w:ascii="宋体" w:hAnsi="宋体" w:eastAsia="宋体" w:cs="宋体"/>
                <w:color w:val="auto"/>
                <w:szCs w:val="21"/>
                <w:u w:val="none"/>
                <w:lang w:val="en-US" w:eastAsia="zh-CN"/>
              </w:rPr>
              <w:t xml:space="preserve"> 进门财经线上会议：2025年年报投资者交流会</w:t>
            </w:r>
          </w:p>
        </w:tc>
      </w:tr>
      <w:tr w14:paraId="0227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trPr>
        <w:tc>
          <w:tcPr>
            <w:tcW w:w="1844" w:type="dxa"/>
            <w:vAlign w:val="center"/>
          </w:tcPr>
          <w:p w14:paraId="720BAA4A">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参与单位</w:t>
            </w:r>
          </w:p>
        </w:tc>
        <w:tc>
          <w:tcPr>
            <w:tcW w:w="7229" w:type="dxa"/>
            <w:vAlign w:val="center"/>
          </w:tcPr>
          <w:p w14:paraId="20BC8BE8">
            <w:pPr>
              <w:rPr>
                <w:rFonts w:hint="eastAsia" w:ascii="宋体" w:hAnsi="宋体" w:eastAsia="宋体" w:cs="宋体"/>
                <w:color w:val="auto"/>
                <w:szCs w:val="21"/>
                <w:u w:val="none"/>
                <w:lang w:eastAsia="zh-CN"/>
              </w:rPr>
            </w:pPr>
            <w:r>
              <w:rPr>
                <w:rFonts w:hint="eastAsia" w:ascii="宋体" w:hAnsi="宋体" w:eastAsia="宋体"/>
                <w:sz w:val="20"/>
              </w:rPr>
              <w:t>东吴证券股份有限公司</w:t>
            </w:r>
            <w:r>
              <w:rPr>
                <w:rFonts w:hint="eastAsia" w:ascii="宋体" w:hAnsi="宋体" w:eastAsia="宋体"/>
                <w:sz w:val="20"/>
                <w:lang w:eastAsia="zh-CN"/>
              </w:rPr>
              <w:t>、</w:t>
            </w:r>
            <w:r>
              <w:rPr>
                <w:rFonts w:hint="eastAsia" w:ascii="宋体" w:hAnsi="宋体" w:eastAsia="宋体"/>
                <w:sz w:val="20"/>
              </w:rPr>
              <w:t>广发证券股份有限公司</w:t>
            </w:r>
            <w:r>
              <w:rPr>
                <w:rFonts w:hint="eastAsia" w:ascii="宋体" w:hAnsi="宋体" w:eastAsia="宋体"/>
                <w:sz w:val="20"/>
                <w:lang w:eastAsia="zh-CN"/>
              </w:rPr>
              <w:t>、</w:t>
            </w:r>
            <w:r>
              <w:rPr>
                <w:rFonts w:hint="eastAsia" w:ascii="宋体" w:hAnsi="宋体" w:eastAsia="宋体"/>
                <w:sz w:val="20"/>
              </w:rPr>
              <w:t>华泰证券股份有限公司</w:t>
            </w:r>
            <w:r>
              <w:rPr>
                <w:rFonts w:hint="eastAsia" w:ascii="宋体" w:hAnsi="宋体" w:eastAsia="宋体"/>
                <w:sz w:val="20"/>
                <w:lang w:eastAsia="zh-CN"/>
              </w:rPr>
              <w:t>、</w:t>
            </w:r>
            <w:r>
              <w:rPr>
                <w:rFonts w:hint="eastAsia" w:ascii="宋体" w:hAnsi="宋体" w:eastAsia="宋体"/>
                <w:sz w:val="20"/>
              </w:rPr>
              <w:t>招商基金管理有限公司</w:t>
            </w:r>
            <w:r>
              <w:rPr>
                <w:rFonts w:hint="eastAsia" w:ascii="宋体" w:hAnsi="宋体" w:eastAsia="宋体"/>
                <w:sz w:val="20"/>
                <w:lang w:eastAsia="zh-CN"/>
              </w:rPr>
              <w:t>、摩根基金管理(中国)有限公司、</w:t>
            </w:r>
            <w:r>
              <w:rPr>
                <w:rFonts w:hint="eastAsia" w:ascii="宋体" w:hAnsi="宋体" w:eastAsia="宋体"/>
                <w:sz w:val="20"/>
              </w:rPr>
              <w:t>中国人寿资产管理有限公司</w:t>
            </w:r>
            <w:r>
              <w:rPr>
                <w:rFonts w:hint="eastAsia" w:ascii="宋体" w:hAnsi="宋体" w:eastAsia="宋体"/>
                <w:sz w:val="20"/>
                <w:lang w:eastAsia="zh-CN"/>
              </w:rPr>
              <w:t>、</w:t>
            </w:r>
            <w:r>
              <w:rPr>
                <w:rFonts w:hint="eastAsia" w:ascii="宋体" w:hAnsi="宋体" w:eastAsia="宋体"/>
                <w:sz w:val="20"/>
              </w:rPr>
              <w:t>招商证券股份有限公司</w:t>
            </w:r>
            <w:r>
              <w:rPr>
                <w:rFonts w:hint="eastAsia" w:ascii="宋体" w:hAnsi="宋体" w:eastAsia="宋体"/>
                <w:sz w:val="20"/>
                <w:lang w:eastAsia="zh-CN"/>
              </w:rPr>
              <w:t>、</w:t>
            </w:r>
            <w:r>
              <w:rPr>
                <w:rFonts w:hint="eastAsia" w:ascii="宋体" w:hAnsi="宋体" w:eastAsia="宋体"/>
                <w:sz w:val="20"/>
              </w:rPr>
              <w:t>国泰海通证券股份有限公司</w:t>
            </w:r>
            <w:r>
              <w:rPr>
                <w:rFonts w:hint="eastAsia" w:ascii="宋体" w:hAnsi="宋体" w:eastAsia="宋体"/>
                <w:sz w:val="20"/>
                <w:lang w:eastAsia="zh-CN"/>
              </w:rPr>
              <w:t>、山西证券股份有限公司、</w:t>
            </w:r>
            <w:r>
              <w:rPr>
                <w:rFonts w:hint="eastAsia" w:ascii="宋体" w:hAnsi="宋体" w:eastAsia="宋体"/>
                <w:sz w:val="20"/>
              </w:rPr>
              <w:t>安大略省教师退休金计划(亚洲)有限公司</w:t>
            </w:r>
            <w:r>
              <w:rPr>
                <w:rFonts w:hint="eastAsia" w:ascii="宋体" w:hAnsi="宋体" w:eastAsia="宋体"/>
                <w:sz w:val="20"/>
                <w:lang w:eastAsia="zh-CN"/>
              </w:rPr>
              <w:t>、</w:t>
            </w:r>
            <w:r>
              <w:rPr>
                <w:rFonts w:hint="eastAsia" w:ascii="宋体" w:hAnsi="宋体" w:eastAsia="宋体"/>
                <w:sz w:val="20"/>
              </w:rPr>
              <w:t>上海厚坡私募基金管理有限公司</w:t>
            </w:r>
            <w:r>
              <w:rPr>
                <w:rFonts w:hint="eastAsia" w:ascii="宋体" w:hAnsi="宋体" w:eastAsia="宋体"/>
                <w:sz w:val="20"/>
                <w:lang w:eastAsia="zh-CN"/>
              </w:rPr>
              <w:t>、</w:t>
            </w:r>
            <w:r>
              <w:rPr>
                <w:rFonts w:hint="eastAsia" w:ascii="宋体" w:hAnsi="宋体" w:eastAsia="宋体"/>
                <w:sz w:val="20"/>
              </w:rPr>
              <w:t>鸿运私募基金管理(海南)有限公司</w:t>
            </w:r>
            <w:r>
              <w:rPr>
                <w:rFonts w:hint="eastAsia" w:ascii="宋体" w:hAnsi="宋体" w:eastAsia="宋体"/>
                <w:sz w:val="20"/>
                <w:lang w:eastAsia="zh-CN"/>
              </w:rPr>
              <w:t>、</w:t>
            </w:r>
            <w:r>
              <w:rPr>
                <w:rFonts w:hint="eastAsia" w:ascii="宋体" w:hAnsi="宋体" w:eastAsia="宋体"/>
                <w:sz w:val="20"/>
              </w:rPr>
              <w:t>上海益理资产管理有限公司</w:t>
            </w:r>
            <w:r>
              <w:rPr>
                <w:rFonts w:hint="eastAsia" w:ascii="宋体" w:hAnsi="宋体" w:eastAsia="宋体"/>
                <w:sz w:val="20"/>
                <w:lang w:eastAsia="zh-CN"/>
              </w:rPr>
              <w:t>、</w:t>
            </w:r>
            <w:r>
              <w:rPr>
                <w:rFonts w:hint="eastAsia" w:ascii="宋体" w:hAnsi="宋体" w:eastAsia="宋体"/>
                <w:sz w:val="20"/>
              </w:rPr>
              <w:t>上海混沌投资(集团)有限公司</w:t>
            </w:r>
            <w:r>
              <w:rPr>
                <w:rFonts w:hint="eastAsia" w:ascii="宋体" w:hAnsi="宋体" w:eastAsia="宋体"/>
                <w:sz w:val="20"/>
                <w:lang w:eastAsia="zh-CN"/>
              </w:rPr>
              <w:t>、</w:t>
            </w:r>
            <w:r>
              <w:rPr>
                <w:rFonts w:hint="eastAsia" w:ascii="宋体" w:hAnsi="宋体" w:eastAsia="宋体"/>
                <w:sz w:val="20"/>
              </w:rPr>
              <w:t>青骊投资管理(上海)有限公司</w:t>
            </w:r>
            <w:r>
              <w:rPr>
                <w:rFonts w:hint="eastAsia" w:ascii="宋体" w:hAnsi="宋体" w:eastAsia="宋体"/>
                <w:sz w:val="20"/>
                <w:lang w:eastAsia="zh-CN"/>
              </w:rPr>
              <w:t>、</w:t>
            </w:r>
            <w:r>
              <w:rPr>
                <w:rFonts w:hint="eastAsia" w:ascii="宋体" w:hAnsi="宋体" w:eastAsia="宋体"/>
                <w:sz w:val="20"/>
              </w:rPr>
              <w:t>中国证券报有限责任公司</w:t>
            </w:r>
            <w:r>
              <w:rPr>
                <w:rFonts w:hint="eastAsia" w:ascii="宋体" w:hAnsi="宋体" w:eastAsia="宋体"/>
                <w:sz w:val="20"/>
                <w:lang w:eastAsia="zh-CN"/>
              </w:rPr>
              <w:t>、</w:t>
            </w:r>
            <w:r>
              <w:rPr>
                <w:rFonts w:hint="eastAsia" w:ascii="宋体" w:hAnsi="宋体" w:eastAsia="宋体"/>
                <w:sz w:val="20"/>
              </w:rPr>
              <w:t>上海匀升投资管理有限公司</w:t>
            </w:r>
            <w:r>
              <w:rPr>
                <w:rFonts w:hint="eastAsia" w:ascii="宋体" w:hAnsi="宋体" w:eastAsia="宋体"/>
                <w:sz w:val="20"/>
                <w:lang w:eastAsia="zh-CN"/>
              </w:rPr>
              <w:t>、</w:t>
            </w:r>
            <w:r>
              <w:rPr>
                <w:rFonts w:hint="eastAsia" w:ascii="宋体" w:hAnsi="宋体" w:eastAsia="宋体"/>
                <w:sz w:val="20"/>
              </w:rPr>
              <w:t>北京交大思诺科技股份有限公司</w:t>
            </w:r>
            <w:r>
              <w:rPr>
                <w:rFonts w:hint="eastAsia" w:ascii="宋体" w:hAnsi="宋体" w:eastAsia="宋体"/>
                <w:sz w:val="20"/>
                <w:lang w:eastAsia="zh-CN"/>
              </w:rPr>
              <w:t>、</w:t>
            </w:r>
            <w:r>
              <w:rPr>
                <w:rFonts w:hint="eastAsia" w:ascii="宋体" w:hAnsi="宋体" w:eastAsia="宋体"/>
                <w:sz w:val="20"/>
              </w:rPr>
              <w:t>上海益昶资产管理有限公司</w:t>
            </w:r>
            <w:r>
              <w:rPr>
                <w:rFonts w:hint="eastAsia" w:ascii="宋体" w:hAnsi="宋体" w:eastAsia="宋体"/>
                <w:sz w:val="20"/>
                <w:lang w:eastAsia="zh-CN"/>
              </w:rPr>
              <w:t>、</w:t>
            </w:r>
            <w:r>
              <w:rPr>
                <w:rFonts w:hint="eastAsia" w:ascii="宋体" w:hAnsi="宋体" w:eastAsia="宋体"/>
                <w:sz w:val="20"/>
              </w:rPr>
              <w:t>磐厚动量(上海)资本管理有限公司</w:t>
            </w:r>
            <w:r>
              <w:rPr>
                <w:rFonts w:hint="eastAsia" w:ascii="宋体" w:hAnsi="宋体" w:eastAsia="宋体"/>
                <w:sz w:val="20"/>
                <w:lang w:eastAsia="zh-CN"/>
              </w:rPr>
              <w:t>、</w:t>
            </w:r>
            <w:r>
              <w:rPr>
                <w:rFonts w:hint="eastAsia" w:ascii="宋体" w:hAnsi="宋体" w:eastAsia="宋体"/>
                <w:sz w:val="20"/>
              </w:rPr>
              <w:t>深圳市中泓汇富资产管理有限公司</w:t>
            </w:r>
            <w:r>
              <w:rPr>
                <w:rFonts w:hint="eastAsia" w:ascii="宋体" w:hAnsi="宋体" w:eastAsia="宋体" w:cs="宋体"/>
                <w:color w:val="auto"/>
                <w:szCs w:val="21"/>
                <w:highlight w:val="none"/>
                <w:u w:val="none"/>
              </w:rPr>
              <w:t>（以上机构排名不分先后）</w:t>
            </w:r>
          </w:p>
        </w:tc>
      </w:tr>
      <w:tr w14:paraId="075D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844" w:type="dxa"/>
            <w:vAlign w:val="center"/>
          </w:tcPr>
          <w:p w14:paraId="3C9C2018">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公司接待人员姓名及职务</w:t>
            </w:r>
          </w:p>
        </w:tc>
        <w:tc>
          <w:tcPr>
            <w:tcW w:w="7229" w:type="dxa"/>
            <w:vAlign w:val="center"/>
          </w:tcPr>
          <w:p w14:paraId="47D31941">
            <w:pPr>
              <w:spacing w:line="240" w:lineRule="auto"/>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公司董事长、总经理张慧春先生</w:t>
            </w:r>
          </w:p>
          <w:p w14:paraId="1C4B1478">
            <w:pPr>
              <w:spacing w:line="240" w:lineRule="auto"/>
              <w:rPr>
                <w:rFonts w:hint="eastAsia" w:ascii="宋体" w:hAnsi="宋体" w:eastAsia="宋体" w:cs="宋体"/>
                <w:color w:val="auto"/>
                <w:szCs w:val="21"/>
                <w:u w:val="none"/>
                <w:lang w:eastAsia="zh-Hans"/>
              </w:rPr>
            </w:pPr>
            <w:r>
              <w:rPr>
                <w:rFonts w:hint="eastAsia" w:ascii="宋体" w:hAnsi="宋体" w:eastAsia="宋体" w:cs="宋体"/>
                <w:color w:val="auto"/>
                <w:szCs w:val="21"/>
                <w:u w:val="none"/>
              </w:rPr>
              <w:t>公司副总经理、董事会秘书</w:t>
            </w:r>
            <w:r>
              <w:rPr>
                <w:rFonts w:hint="eastAsia" w:ascii="宋体" w:hAnsi="宋体" w:eastAsia="宋体" w:cs="宋体"/>
                <w:color w:val="auto"/>
                <w:szCs w:val="21"/>
                <w:u w:val="none"/>
                <w:lang w:eastAsia="zh-Hans"/>
              </w:rPr>
              <w:t>陈安娜</w:t>
            </w:r>
            <w:r>
              <w:rPr>
                <w:rFonts w:hint="eastAsia" w:ascii="宋体" w:hAnsi="宋体" w:eastAsia="宋体" w:cs="宋体"/>
                <w:color w:val="auto"/>
                <w:szCs w:val="21"/>
                <w:u w:val="none"/>
              </w:rPr>
              <w:t>女士</w:t>
            </w:r>
          </w:p>
        </w:tc>
      </w:tr>
      <w:tr w14:paraId="1996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844" w:type="dxa"/>
            <w:vAlign w:val="center"/>
          </w:tcPr>
          <w:p w14:paraId="17A8BFE4">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时间</w:t>
            </w:r>
          </w:p>
        </w:tc>
        <w:tc>
          <w:tcPr>
            <w:tcW w:w="7229" w:type="dxa"/>
            <w:vAlign w:val="center"/>
          </w:tcPr>
          <w:p w14:paraId="3FD64161">
            <w:pPr>
              <w:spacing w:line="240" w:lineRule="auto"/>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202</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4</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28日-2026年5月8日</w:t>
            </w:r>
          </w:p>
        </w:tc>
      </w:tr>
      <w:tr w14:paraId="19E6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44" w:type="dxa"/>
            <w:vAlign w:val="center"/>
          </w:tcPr>
          <w:p w14:paraId="50BCD302">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地点</w:t>
            </w:r>
          </w:p>
        </w:tc>
        <w:tc>
          <w:tcPr>
            <w:tcW w:w="7229" w:type="dxa"/>
            <w:vAlign w:val="center"/>
          </w:tcPr>
          <w:p w14:paraId="76F7C253">
            <w:pPr>
              <w:spacing w:line="240" w:lineRule="auto"/>
              <w:rPr>
                <w:rFonts w:hint="default"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进门财经线上会议、公司</w:t>
            </w:r>
          </w:p>
        </w:tc>
      </w:tr>
      <w:tr w14:paraId="3A0A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44" w:type="dxa"/>
            <w:vAlign w:val="center"/>
          </w:tcPr>
          <w:p w14:paraId="4815F51F">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投资者关系活动主要内容介绍</w:t>
            </w:r>
          </w:p>
        </w:tc>
        <w:tc>
          <w:tcPr>
            <w:tcW w:w="7229" w:type="dxa"/>
          </w:tcPr>
          <w:p w14:paraId="4386D81F">
            <w:pPr>
              <w:pStyle w:val="11"/>
              <w:numPr>
                <w:ilvl w:val="0"/>
                <w:numId w:val="0"/>
              </w:numPr>
              <w:spacing w:line="240" w:lineRule="auto"/>
              <w:ind w:left="0" w:leftChars="0" w:firstLine="0" w:firstLineChars="0"/>
              <w:rPr>
                <w:rFonts w:hint="default" w:ascii="宋体" w:hAnsi="宋体" w:eastAsia="宋体" w:cs="宋体"/>
                <w:b/>
                <w:bCs w:val="0"/>
                <w:color w:val="auto"/>
                <w:szCs w:val="21"/>
                <w:u w:val="none"/>
                <w:lang w:val="en-US" w:eastAsia="zh-CN"/>
              </w:rPr>
            </w:pPr>
            <w:r>
              <w:rPr>
                <w:rFonts w:hint="eastAsia" w:ascii="宋体" w:hAnsi="宋体" w:eastAsia="宋体" w:cs="宋体"/>
                <w:b/>
                <w:bCs w:val="0"/>
                <w:color w:val="auto"/>
                <w:kern w:val="2"/>
                <w:sz w:val="21"/>
                <w:szCs w:val="21"/>
                <w:lang w:val="en-US" w:eastAsia="zh-CN" w:bidi="ar-SA"/>
              </w:rPr>
              <w:t>一、</w:t>
            </w:r>
            <w:r>
              <w:rPr>
                <w:rFonts w:hint="eastAsia" w:ascii="宋体" w:hAnsi="宋体" w:eastAsia="宋体" w:cs="宋体"/>
                <w:b/>
                <w:bCs w:val="0"/>
                <w:color w:val="auto"/>
                <w:szCs w:val="21"/>
                <w:u w:val="none"/>
                <w:lang w:val="en-US" w:eastAsia="zh-CN"/>
              </w:rPr>
              <w:t>公司战略及2025年经营情况介绍</w:t>
            </w:r>
          </w:p>
          <w:p w14:paraId="1CF9A417">
            <w:pPr>
              <w:widowControl w:val="0"/>
              <w:jc w:val="both"/>
              <w:rPr>
                <w:rFonts w:hint="eastAsia" w:ascii="宋体" w:hAnsi="宋体" w:eastAsia="宋体" w:cs="宋体"/>
                <w:lang w:val="en-US" w:eastAsia="zh-CN"/>
              </w:rPr>
            </w:pPr>
            <w:r>
              <w:rPr>
                <w:rFonts w:hint="eastAsia" w:ascii="宋体" w:hAnsi="宋体" w:eastAsia="宋体" w:cs="宋体"/>
                <w:lang w:val="en-US" w:eastAsia="zh-CN"/>
              </w:rPr>
              <w:t xml:space="preserve">    </w:t>
            </w:r>
          </w:p>
          <w:p w14:paraId="077DFE1F">
            <w:pPr>
              <w:widowControl w:val="0"/>
              <w:ind w:firstLine="422" w:firstLineChars="200"/>
              <w:jc w:val="both"/>
              <w:rPr>
                <w:rFonts w:hint="eastAsia" w:ascii="宋体" w:hAnsi="宋体" w:eastAsia="宋体" w:cs="宋体"/>
                <w:b/>
                <w:bCs/>
              </w:rPr>
            </w:pPr>
            <w:r>
              <w:rPr>
                <w:rFonts w:hint="eastAsia" w:ascii="宋体" w:hAnsi="宋体" w:eastAsia="宋体" w:cs="宋体"/>
                <w:b/>
                <w:bCs/>
              </w:rPr>
              <w:t>（</w:t>
            </w:r>
            <w:r>
              <w:rPr>
                <w:rFonts w:hint="eastAsia" w:ascii="宋体" w:hAnsi="宋体" w:eastAsia="宋体" w:cs="宋体"/>
                <w:b/>
                <w:bCs/>
                <w:lang w:val="en-US" w:eastAsia="zh-CN"/>
              </w:rPr>
              <w:t>一</w:t>
            </w:r>
            <w:r>
              <w:rPr>
                <w:rFonts w:hint="eastAsia" w:ascii="宋体" w:hAnsi="宋体" w:eastAsia="宋体" w:cs="宋体"/>
                <w:b/>
                <w:bCs/>
              </w:rPr>
              <w:t>）金科环境使命与战略升级</w:t>
            </w:r>
          </w:p>
          <w:p w14:paraId="39558A0C">
            <w:pPr>
              <w:widowControl w:val="0"/>
              <w:jc w:val="both"/>
              <w:rPr>
                <w:rFonts w:hint="eastAsia" w:ascii="宋体" w:hAnsi="宋体" w:eastAsia="宋体" w:cs="宋体"/>
                <w:b/>
                <w:bCs/>
              </w:rPr>
            </w:pPr>
            <w:r>
              <w:rPr>
                <w:rFonts w:hint="eastAsia" w:ascii="宋体" w:hAnsi="宋体" w:eastAsia="宋体" w:cs="宋体"/>
                <w:b/>
                <w:bCs/>
              </w:rPr>
              <w:t xml:space="preserve"> </w:t>
            </w:r>
          </w:p>
          <w:p w14:paraId="6E76EF2A">
            <w:pPr>
              <w:ind w:firstLine="422" w:firstLineChars="200"/>
              <w:rPr>
                <w:rFonts w:hint="eastAsia" w:ascii="宋体" w:hAnsi="宋体" w:eastAsia="宋体" w:cs="宋体"/>
                <w:b/>
              </w:rPr>
            </w:pPr>
            <w:r>
              <w:rPr>
                <w:rFonts w:hint="eastAsia" w:ascii="宋体" w:hAnsi="宋体" w:eastAsia="宋体" w:cs="宋体"/>
                <w:b/>
              </w:rPr>
              <w:t>1.公司使命升级</w:t>
            </w:r>
          </w:p>
          <w:p w14:paraId="79BFF487">
            <w:pPr>
              <w:ind w:firstLine="420" w:firstLineChars="200"/>
              <w:rPr>
                <w:rFonts w:hint="eastAsia" w:ascii="宋体" w:hAnsi="宋体" w:eastAsia="宋体" w:cs="宋体"/>
              </w:rPr>
            </w:pPr>
            <w:r>
              <w:rPr>
                <w:rFonts w:hint="eastAsia" w:ascii="宋体" w:hAnsi="宋体" w:eastAsia="宋体" w:cs="宋体"/>
              </w:rPr>
              <w:t>公司自成立以来，始终致力于水资源的可持续利用。创立之初，公司将使命确立为“通过资源化来解决中国的水污染、水短缺和水安全问题”。基于二十年的技术积淀与行业实践，公司对使命进行了战略升华，将其升级为更宏大的愿景：“AI为人类带来水自由”。这标志着公司从聚焦中国水资源问题的解决者，升级为以AI为核心的创新技术推动全球水资源利用模式变革、追求水资源长期可靠与普惠的引领者。</w:t>
            </w:r>
          </w:p>
          <w:p w14:paraId="20FD92EB">
            <w:pPr>
              <w:ind w:firstLine="420" w:firstLineChars="200"/>
              <w:rPr>
                <w:rFonts w:hint="eastAsia" w:ascii="宋体" w:hAnsi="宋体" w:eastAsia="宋体" w:cs="宋体"/>
              </w:rPr>
            </w:pPr>
            <w:r>
              <w:rPr>
                <w:rFonts w:hint="eastAsia" w:ascii="宋体" w:hAnsi="宋体" w:eastAsia="宋体" w:cs="宋体"/>
              </w:rPr>
              <w:t xml:space="preserve"> </w:t>
            </w:r>
          </w:p>
          <w:p w14:paraId="33C57E8D">
            <w:pPr>
              <w:ind w:firstLine="422" w:firstLineChars="200"/>
              <w:rPr>
                <w:rFonts w:hint="eastAsia" w:ascii="宋体" w:hAnsi="宋体" w:eastAsia="宋体" w:cs="宋体"/>
                <w:b/>
              </w:rPr>
            </w:pPr>
            <w:r>
              <w:rPr>
                <w:rFonts w:hint="eastAsia" w:ascii="宋体" w:hAnsi="宋体" w:eastAsia="宋体" w:cs="宋体"/>
                <w:b/>
              </w:rPr>
              <w:t>2.核心战略：AI智能运营与工程产品化</w:t>
            </w:r>
          </w:p>
          <w:p w14:paraId="3B0DE689">
            <w:pPr>
              <w:ind w:firstLine="420" w:firstLineChars="200"/>
              <w:rPr>
                <w:rFonts w:hint="eastAsia" w:ascii="宋体" w:hAnsi="宋体" w:eastAsia="宋体" w:cs="宋体"/>
              </w:rPr>
            </w:pPr>
            <w:r>
              <w:rPr>
                <w:rFonts w:hint="eastAsia" w:ascii="宋体" w:hAnsi="宋体" w:eastAsia="宋体" w:cs="宋体"/>
              </w:rPr>
              <w:t>为践行新使命，公司进行了深刻的战略转型，核心路径是基于实现水厂无人值守的智能运行能力，推动水处理行业从传统的、高度依赖人工的定制化工程模式，向标准化、智能化、产品化的新模式升级。</w:t>
            </w:r>
          </w:p>
          <w:p w14:paraId="279E1B78">
            <w:pPr>
              <w:ind w:firstLine="420" w:firstLineChars="200"/>
              <w:rPr>
                <w:rFonts w:hint="eastAsia" w:ascii="宋体" w:hAnsi="宋体" w:eastAsia="宋体" w:cs="宋体"/>
              </w:rPr>
            </w:pPr>
            <w:r>
              <w:rPr>
                <w:rFonts w:hint="eastAsia" w:ascii="宋体" w:hAnsi="宋体" w:eastAsia="宋体" w:cs="宋体"/>
              </w:rPr>
              <w:t>（1）软件智能化：水萝卜®AI智能体</w:t>
            </w:r>
          </w:p>
          <w:p w14:paraId="1112D1A0">
            <w:pPr>
              <w:ind w:firstLine="420" w:firstLineChars="200"/>
              <w:rPr>
                <w:rFonts w:hint="eastAsia" w:ascii="宋体" w:hAnsi="宋体" w:eastAsia="宋体" w:cs="宋体"/>
              </w:rPr>
            </w:pPr>
            <w:r>
              <w:rPr>
                <w:rFonts w:hint="eastAsia" w:ascii="宋体" w:hAnsi="宋体" w:eastAsia="宋体" w:cs="宋体"/>
              </w:rPr>
              <w:t>公司发布水萝卜®智能运营系统，这是一个基于人工智能的无人值守水厂运营智能体。它旨在取代传统水厂中依赖人类经验判断和现场巡检的职能，实现工艺优化、故障预测与智能决策的无人值守运营范式。</w:t>
            </w:r>
          </w:p>
          <w:p w14:paraId="384E2145">
            <w:pPr>
              <w:ind w:firstLine="420" w:firstLineChars="200"/>
              <w:rPr>
                <w:rFonts w:hint="eastAsia" w:ascii="宋体" w:hAnsi="宋体" w:eastAsia="宋体" w:cs="宋体"/>
              </w:rPr>
            </w:pPr>
            <w:r>
              <w:rPr>
                <w:rFonts w:hint="eastAsia" w:ascii="宋体" w:hAnsi="宋体" w:eastAsia="宋体" w:cs="宋体"/>
              </w:rPr>
              <w:t>水萝卜®以确保水质水量稳定达标的前提下自动寻优，实现能耗、药耗最低与设备寿命最长为目标，从根本上解决了水厂对专业技术精英团队以及对现场频繁人工巡检的依赖、运行不稳定等行业痛点。</w:t>
            </w:r>
          </w:p>
          <w:p w14:paraId="168E8717">
            <w:pPr>
              <w:ind w:firstLine="420" w:firstLineChars="200"/>
              <w:rPr>
                <w:rFonts w:hint="eastAsia" w:ascii="宋体" w:hAnsi="宋体" w:eastAsia="宋体" w:cs="宋体"/>
              </w:rPr>
            </w:pPr>
            <w:r>
              <w:rPr>
                <w:rFonts w:hint="eastAsia" w:ascii="宋体" w:hAnsi="宋体" w:eastAsia="宋体" w:cs="宋体"/>
              </w:rPr>
              <w:t>（2）硬件产品化：新水岛®系列</w:t>
            </w:r>
          </w:p>
          <w:p w14:paraId="41FC6140">
            <w:pPr>
              <w:ind w:firstLine="420" w:firstLineChars="200"/>
              <w:rPr>
                <w:rFonts w:hint="eastAsia" w:ascii="宋体" w:hAnsi="宋体" w:eastAsia="宋体" w:cs="宋体"/>
              </w:rPr>
            </w:pPr>
            <w:r>
              <w:rPr>
                <w:rFonts w:hint="eastAsia" w:ascii="宋体" w:hAnsi="宋体" w:eastAsia="宋体" w:cs="宋体"/>
              </w:rPr>
              <w:t>基于无人值守智能运行的软件智能化能力，公司将水处理核心工艺高度集成，仅保留与水处理直接相关的设施，创新推出新水岛®产品。该产品在工厂内完成模块化、流水线生产，实现了“像造汽车一样建水厂”，彻底改变了每个项目“从0到1”的工程模式。</w:t>
            </w:r>
          </w:p>
          <w:p w14:paraId="601B8ED2">
            <w:pPr>
              <w:ind w:firstLine="420" w:firstLineChars="200"/>
              <w:rPr>
                <w:rFonts w:hint="eastAsia" w:ascii="宋体" w:hAnsi="宋体" w:eastAsia="宋体" w:cs="宋体"/>
                <w:lang w:val="en-US" w:eastAsia="zh-CN"/>
              </w:rPr>
            </w:pPr>
            <w:r>
              <w:rPr>
                <w:rFonts w:hint="eastAsia" w:ascii="宋体" w:hAnsi="宋体" w:eastAsia="宋体" w:cs="宋体"/>
              </w:rPr>
              <w:t>此举带来了革命性效益：占地面积节约90%、交付时间节约90%、运营人员节约90%、全生命周期成本节约显著。这使得建设分布式、去中心化、贴近用户的水厂成为可能，为水资源循环利用提供了高效、低成本的硬件基础。</w:t>
            </w:r>
          </w:p>
          <w:p w14:paraId="250912E8">
            <w:pPr>
              <w:ind w:firstLine="422" w:firstLineChars="200"/>
              <w:rPr>
                <w:rFonts w:hint="eastAsia" w:ascii="宋体" w:hAnsi="宋体" w:eastAsia="宋体" w:cs="宋体"/>
                <w:b/>
                <w:bCs/>
                <w:lang w:val="en-US" w:eastAsia="zh-CN"/>
              </w:rPr>
            </w:pPr>
          </w:p>
          <w:p w14:paraId="15FFE37E">
            <w:pPr>
              <w:ind w:firstLine="422" w:firstLineChars="200"/>
              <w:rPr>
                <w:rFonts w:hint="default" w:ascii="宋体" w:hAnsi="宋体" w:eastAsia="宋体" w:cs="宋体"/>
                <w:b/>
                <w:bCs/>
                <w:lang w:val="en-US" w:eastAsia="zh-CN"/>
              </w:rPr>
            </w:pPr>
            <w:r>
              <w:rPr>
                <w:rFonts w:hint="eastAsia" w:ascii="宋体" w:hAnsi="宋体" w:eastAsia="宋体" w:cs="宋体"/>
                <w:b/>
                <w:bCs/>
                <w:lang w:val="en-US" w:eastAsia="zh-CN"/>
              </w:rPr>
              <w:t>（二）公司2025年经营情况介绍</w:t>
            </w:r>
          </w:p>
          <w:p w14:paraId="418F1E3B">
            <w:pPr>
              <w:ind w:firstLine="420" w:firstLineChars="200"/>
              <w:rPr>
                <w:rFonts w:hint="eastAsia" w:ascii="宋体" w:hAnsi="宋体" w:eastAsia="宋体" w:cs="宋体"/>
              </w:rPr>
            </w:pPr>
            <w:r>
              <w:rPr>
                <w:rFonts w:hint="eastAsia" w:ascii="宋体" w:hAnsi="宋体" w:eastAsia="宋体" w:cs="宋体"/>
              </w:rPr>
              <w:t>金科环境致力于人工智能在水处理垂直领域的深度融合与应用，作为大型水处理机器人的开发者和应用者，以“AI为人类带来水自由”为使命，经过二十多年持续研发投入和产品创新迭代，推出新水岛®水处理机器人和水萝卜®AI智能体，从底层逻辑重构水处理厂的建设范式和运维范式，从而颠覆性改变水行业传统模式。</w:t>
            </w:r>
          </w:p>
          <w:p w14:paraId="2A878405">
            <w:pPr>
              <w:ind w:firstLine="420" w:firstLineChars="200"/>
              <w:rPr>
                <w:rFonts w:hint="eastAsia" w:ascii="宋体" w:hAnsi="宋体" w:eastAsia="宋体" w:cs="宋体"/>
              </w:rPr>
            </w:pPr>
            <w:r>
              <w:rPr>
                <w:rFonts w:hint="eastAsia" w:ascii="宋体" w:hAnsi="宋体" w:eastAsia="宋体" w:cs="宋体"/>
              </w:rPr>
              <w:t>2025年，是人工智能技术与水务产业深度融合的关键一年，也是金科环境战略产品实现从“验证”到“推广”范式转换的奠基之年。尽管宏观环境与市场节奏的变化对公司短期财务表现构成挑战，但我们坚信，公司以AI驱动的水处理“机器人化”与“智能体化”战略方向正确，且已构建起具备长期竞争力的财务与业务结构。</w:t>
            </w:r>
          </w:p>
          <w:p w14:paraId="2BE06B57">
            <w:pPr>
              <w:ind w:firstLine="420" w:firstLineChars="200"/>
              <w:rPr>
                <w:rFonts w:hint="eastAsia" w:ascii="宋体" w:hAnsi="宋体" w:eastAsia="宋体" w:cs="宋体"/>
              </w:rPr>
            </w:pPr>
            <w:r>
              <w:rPr>
                <w:rFonts w:hint="eastAsia" w:ascii="宋体" w:hAnsi="宋体" w:eastAsia="宋体" w:cs="宋体"/>
              </w:rPr>
              <w:t xml:space="preserve"> </w:t>
            </w:r>
          </w:p>
          <w:p w14:paraId="5B82B2EF">
            <w:pPr>
              <w:ind w:firstLine="422" w:firstLineChars="200"/>
              <w:rPr>
                <w:rFonts w:hint="eastAsia" w:ascii="宋体" w:hAnsi="宋体" w:eastAsia="宋体" w:cs="宋体"/>
                <w:b/>
              </w:rPr>
            </w:pPr>
            <w:r>
              <w:rPr>
                <w:rFonts w:hint="eastAsia" w:ascii="宋体" w:hAnsi="宋体" w:eastAsia="宋体" w:cs="宋体"/>
                <w:b/>
              </w:rPr>
              <w:t>1.收入结构与增长动力：短期承压与长期动能并存</w:t>
            </w:r>
          </w:p>
          <w:p w14:paraId="40175BDB">
            <w:pPr>
              <w:ind w:firstLine="420" w:firstLineChars="200"/>
              <w:rPr>
                <w:rFonts w:hint="eastAsia" w:ascii="宋体" w:hAnsi="宋体" w:eastAsia="宋体" w:cs="宋体"/>
              </w:rPr>
            </w:pPr>
            <w:r>
              <w:rPr>
                <w:rFonts w:hint="eastAsia" w:ascii="宋体" w:hAnsi="宋体" w:eastAsia="宋体" w:cs="宋体"/>
              </w:rPr>
              <w:t xml:space="preserve"> </w:t>
            </w:r>
          </w:p>
          <w:p w14:paraId="5B2BC303">
            <w:pPr>
              <w:ind w:firstLine="420" w:firstLineChars="200"/>
              <w:rPr>
                <w:rFonts w:hint="eastAsia" w:ascii="宋体" w:hAnsi="宋体" w:eastAsia="宋体" w:cs="宋体"/>
              </w:rPr>
            </w:pPr>
            <w:r>
              <w:rPr>
                <w:rFonts w:hint="eastAsia" w:ascii="宋体" w:hAnsi="宋体" w:eastAsia="宋体" w:cs="宋体"/>
              </w:rPr>
              <w:t>报告期内，公司实现营业收入5.23亿元，同比下降15.18%。收入波动主要系公司主动控制市政类传统水处理技术解决方案业务的市场开发工作，减少该类项目订单的获取，造成对应的业务收入较上年同期减少所致。在整体营收面临短期压力的情况下，核心战略板块呈现出成长势头与巨大的潜力空间。</w:t>
            </w:r>
          </w:p>
          <w:p w14:paraId="38E53DDB">
            <w:pPr>
              <w:ind w:firstLine="420" w:firstLineChars="200"/>
              <w:rPr>
                <w:rFonts w:hint="eastAsia" w:ascii="宋体" w:hAnsi="宋体" w:eastAsia="宋体" w:cs="宋体"/>
              </w:rPr>
            </w:pPr>
            <w:r>
              <w:rPr>
                <w:rFonts w:hint="eastAsia" w:ascii="宋体" w:hAnsi="宋体" w:eastAsia="宋体" w:cs="宋体"/>
              </w:rPr>
              <w:t>（1）产品化转型成效初显：</w:t>
            </w:r>
          </w:p>
          <w:p w14:paraId="4D82C663">
            <w:pPr>
              <w:ind w:firstLine="420" w:firstLineChars="200"/>
              <w:rPr>
                <w:rFonts w:hint="eastAsia" w:ascii="宋体" w:hAnsi="宋体" w:eastAsia="宋体" w:cs="宋体"/>
              </w:rPr>
            </w:pPr>
            <w:r>
              <w:rPr>
                <w:rFonts w:hint="eastAsia" w:ascii="宋体" w:hAnsi="宋体" w:eastAsia="宋体" w:cs="宋体"/>
              </w:rPr>
              <w:t>公司战略核心产品——“新水岛®”水处理机器人与“水萝卜®”AI智能体，截至本报告披露日，公司新水岛®产品累计交货13套（其中出口新水岛®2套），水萝卜®AI智能体累计交货15套，实现了产品“0到1的成功验证”,进入到“1到N规模化应用推广阶段”，这标志着公司正在从传统的、非标化的项目工程模式，向标准化、可复制、高附加值的“产品销售”与“订阅服务”模式转型。产品化的直接财务效益在于提升毛利率、增强客户粘性并创造持续的服务性收入。</w:t>
            </w:r>
          </w:p>
          <w:p w14:paraId="2D0196E9">
            <w:pPr>
              <w:ind w:firstLine="420" w:firstLineChars="200"/>
              <w:rPr>
                <w:rFonts w:hint="eastAsia" w:ascii="宋体" w:hAnsi="宋体" w:eastAsia="宋体" w:cs="宋体"/>
              </w:rPr>
            </w:pPr>
            <w:r>
              <w:rPr>
                <w:rFonts w:hint="eastAsia" w:ascii="宋体" w:hAnsi="宋体" w:eastAsia="宋体" w:cs="宋体"/>
              </w:rPr>
              <w:t>（2）订单结构优化，中长期确定性收入占比突出：</w:t>
            </w:r>
          </w:p>
          <w:p w14:paraId="31074568">
            <w:pPr>
              <w:ind w:firstLine="420" w:firstLineChars="200"/>
              <w:rPr>
                <w:rFonts w:hint="eastAsia" w:ascii="宋体" w:hAnsi="宋体" w:eastAsia="宋体" w:cs="宋体"/>
              </w:rPr>
            </w:pPr>
            <w:r>
              <w:rPr>
                <w:rFonts w:hint="eastAsia" w:ascii="宋体" w:hAnsi="宋体" w:eastAsia="宋体" w:cs="宋体"/>
              </w:rPr>
              <w:t>截至报告期末，公司在手订单合计6.05亿元。尽管总额同比有所降低9.78%，但订单结构发生了优化。其中，新水岛及水厂运维服务的中长期收入类订单为3.78亿元，占总在手订单比例的62.5%。此类订单能持续贡献稳定的现金流和利润，增强公司未来收入的能见度、确定性与抗周期性。</w:t>
            </w:r>
          </w:p>
          <w:p w14:paraId="7EFE7BAC">
            <w:pPr>
              <w:ind w:firstLine="420" w:firstLineChars="200"/>
              <w:rPr>
                <w:rFonts w:hint="eastAsia" w:ascii="宋体" w:hAnsi="宋体" w:eastAsia="宋体" w:cs="宋体"/>
              </w:rPr>
            </w:pPr>
            <w:r>
              <w:rPr>
                <w:rFonts w:hint="eastAsia" w:ascii="宋体" w:hAnsi="宋体" w:eastAsia="宋体" w:cs="宋体"/>
              </w:rPr>
              <w:t>（3）国际化验证成功，打开广阔市场空间：</w:t>
            </w:r>
          </w:p>
          <w:p w14:paraId="03DB6DF9">
            <w:pPr>
              <w:ind w:firstLine="420" w:firstLineChars="200"/>
              <w:rPr>
                <w:rFonts w:hint="eastAsia" w:ascii="宋体" w:hAnsi="宋体" w:eastAsia="宋体" w:cs="宋体"/>
              </w:rPr>
            </w:pPr>
            <w:r>
              <w:rPr>
                <w:rFonts w:hint="eastAsia" w:ascii="宋体" w:hAnsi="宋体" w:eastAsia="宋体" w:cs="宋体"/>
              </w:rPr>
              <w:t>报告期内新水岛®产品实现出口2套，2026年,公司进一步中标中东地区新水岛产品销售项目（具体详见公司2026年4月14日披露的《关于新水岛®产品中东地区供货协议的公告》（公告编号：2026-008）），不仅验证了产品技术的前沿性和国际竞争力，更为公司未来在“一带一路”及全球水短缺地区进行规模化复制推广，打开了市场空间，是未来营收增长的重要区域。</w:t>
            </w:r>
          </w:p>
          <w:p w14:paraId="14169FEF">
            <w:pPr>
              <w:ind w:firstLine="420" w:firstLineChars="200"/>
              <w:rPr>
                <w:rFonts w:hint="eastAsia" w:ascii="宋体" w:hAnsi="宋体" w:eastAsia="宋体" w:cs="宋体"/>
              </w:rPr>
            </w:pPr>
            <w:r>
              <w:rPr>
                <w:rFonts w:hint="eastAsia" w:ascii="宋体" w:hAnsi="宋体" w:eastAsia="宋体" w:cs="宋体"/>
              </w:rPr>
              <w:t xml:space="preserve"> </w:t>
            </w:r>
          </w:p>
          <w:p w14:paraId="43024953">
            <w:pPr>
              <w:ind w:firstLine="422" w:firstLineChars="200"/>
              <w:rPr>
                <w:rFonts w:hint="eastAsia" w:ascii="宋体" w:hAnsi="宋体" w:eastAsia="宋体" w:cs="宋体"/>
                <w:b/>
              </w:rPr>
            </w:pPr>
            <w:r>
              <w:rPr>
                <w:rFonts w:hint="eastAsia" w:ascii="宋体" w:hAnsi="宋体" w:eastAsia="宋体" w:cs="宋体"/>
                <w:b/>
              </w:rPr>
              <w:t>2.盈利质量与现金流：展现利润质量与经营韧性</w:t>
            </w:r>
          </w:p>
          <w:p w14:paraId="49C3C327">
            <w:pPr>
              <w:ind w:firstLine="420" w:firstLineChars="200"/>
              <w:rPr>
                <w:rFonts w:hint="eastAsia" w:ascii="宋体" w:hAnsi="宋体" w:eastAsia="宋体" w:cs="宋体"/>
              </w:rPr>
            </w:pPr>
            <w:r>
              <w:rPr>
                <w:rFonts w:hint="eastAsia" w:ascii="宋体" w:hAnsi="宋体" w:eastAsia="宋体" w:cs="宋体"/>
              </w:rPr>
              <w:t xml:space="preserve"> </w:t>
            </w:r>
          </w:p>
          <w:p w14:paraId="76228C60">
            <w:pPr>
              <w:ind w:firstLine="420" w:firstLineChars="200"/>
              <w:rPr>
                <w:rFonts w:hint="eastAsia" w:ascii="宋体" w:hAnsi="宋体" w:eastAsia="宋体" w:cs="宋体"/>
              </w:rPr>
            </w:pPr>
            <w:r>
              <w:rPr>
                <w:rFonts w:hint="eastAsia" w:ascii="宋体" w:hAnsi="宋体" w:eastAsia="宋体" w:cs="宋体"/>
              </w:rPr>
              <w:t>报告期内，公司实现归母净利润3,778.62万元，同比下降43.43%，主要系公司主动收缩市政类传统水处理技术解决方案业务、加大新产品市场投入以及新运营项目尚处爬坡期等战略调整与投入的综合影响，属于转型阶段的必要阵痛。然而，公司的盈利质量和现金流创造能力表现出了良好的韧性与健康度。</w:t>
            </w:r>
          </w:p>
          <w:p w14:paraId="0EBDB492">
            <w:pPr>
              <w:ind w:firstLine="420" w:firstLineChars="200"/>
              <w:rPr>
                <w:rFonts w:hint="eastAsia" w:ascii="宋体" w:hAnsi="宋体" w:eastAsia="宋体" w:cs="宋体"/>
              </w:rPr>
            </w:pPr>
            <w:r>
              <w:rPr>
                <w:rFonts w:hint="eastAsia" w:ascii="宋体" w:hAnsi="宋体" w:eastAsia="宋体" w:cs="宋体"/>
              </w:rPr>
              <w:t>2025年，公司经营活动产生的现金流量净额9,406.62万元，约为同期归母净利润的2.5倍。回顾近三年（2023-2025年），公司经营活动现金流净额累计近3亿元，持续、大幅高于同期累计净利润。验证了公司“有价值的增长、有现金的利润” 经营理念的有效性，表明主营业务具备优良的自我造血能力。</w:t>
            </w:r>
          </w:p>
          <w:p w14:paraId="1300566E">
            <w:pPr>
              <w:ind w:firstLine="420" w:firstLineChars="200"/>
              <w:rPr>
                <w:rFonts w:hint="eastAsia" w:ascii="宋体" w:hAnsi="宋体" w:eastAsia="宋体" w:cs="宋体"/>
              </w:rPr>
            </w:pPr>
          </w:p>
          <w:p w14:paraId="1EC50A5A">
            <w:pPr>
              <w:ind w:firstLine="422" w:firstLineChars="200"/>
              <w:rPr>
                <w:rFonts w:hint="eastAsia" w:ascii="宋体" w:hAnsi="宋体" w:eastAsia="宋体" w:cs="宋体"/>
                <w:b/>
              </w:rPr>
            </w:pPr>
            <w:r>
              <w:rPr>
                <w:rFonts w:hint="eastAsia" w:ascii="宋体" w:hAnsi="宋体" w:eastAsia="宋体" w:cs="宋体"/>
                <w:b/>
              </w:rPr>
              <w:t>3.财务结构稳健：控杠杆、无连带责任担保，保障战略安全与扩张潜力</w:t>
            </w:r>
          </w:p>
          <w:p w14:paraId="082AD2D9">
            <w:pPr>
              <w:ind w:firstLine="420" w:firstLineChars="200"/>
              <w:rPr>
                <w:rFonts w:hint="eastAsia" w:ascii="宋体" w:hAnsi="宋体" w:eastAsia="宋体" w:cs="宋体"/>
              </w:rPr>
            </w:pPr>
            <w:r>
              <w:rPr>
                <w:rFonts w:hint="eastAsia" w:ascii="宋体" w:hAnsi="宋体" w:eastAsia="宋体" w:cs="宋体"/>
              </w:rPr>
              <w:t xml:space="preserve"> </w:t>
            </w:r>
          </w:p>
          <w:p w14:paraId="6DE7927D">
            <w:pPr>
              <w:ind w:firstLine="420" w:firstLineChars="200"/>
              <w:rPr>
                <w:rFonts w:hint="eastAsia" w:ascii="宋体" w:hAnsi="宋体" w:eastAsia="宋体" w:cs="宋体"/>
              </w:rPr>
            </w:pPr>
            <w:r>
              <w:rPr>
                <w:rFonts w:hint="eastAsia" w:ascii="宋体" w:hAnsi="宋体" w:eastAsia="宋体" w:cs="宋体"/>
              </w:rPr>
              <w:t>在追求高质量增长的同时，公司始终坚持审慎、安全的财务政策，构筑稳健的资产负债表，为未来的持续战略转型预留了空间。</w:t>
            </w:r>
          </w:p>
          <w:p w14:paraId="67EBC66F">
            <w:pPr>
              <w:tabs>
                <w:tab w:val="left" w:pos="420"/>
              </w:tabs>
              <w:ind w:firstLine="420" w:firstLineChars="200"/>
              <w:rPr>
                <w:rFonts w:hint="eastAsia" w:ascii="宋体" w:hAnsi="宋体" w:eastAsia="宋体" w:cs="宋体"/>
              </w:rPr>
            </w:pPr>
            <w:r>
              <w:rPr>
                <w:rFonts w:hint="eastAsia" w:ascii="宋体" w:hAnsi="宋体" w:eastAsia="宋体" w:cs="宋体"/>
              </w:rPr>
              <w:t>（1）资产负债率保持低位：过去三年，公司合并报表资产负债率均保持在50%以下的水平。报告期末，资产负债结构稳健。</w:t>
            </w:r>
          </w:p>
          <w:p w14:paraId="09580A8E">
            <w:pPr>
              <w:tabs>
                <w:tab w:val="left" w:pos="420"/>
              </w:tabs>
              <w:ind w:firstLine="420" w:firstLineChars="200"/>
              <w:rPr>
                <w:rFonts w:hint="eastAsia" w:ascii="宋体" w:hAnsi="宋体" w:eastAsia="宋体" w:cs="宋体"/>
              </w:rPr>
            </w:pPr>
            <w:r>
              <w:rPr>
                <w:rFonts w:hint="eastAsia" w:ascii="宋体" w:hAnsi="宋体" w:eastAsia="宋体" w:cs="宋体"/>
              </w:rPr>
              <w:t>（2）安全的负债结构：截至报告期末，母公司有息负债为零。更重要的是，公司对子公司的有息负债均未提供连带责任担保。这一“风险隔离”式的财务安排，极大降低了母公司的财务风险，保护了上市公司核心资产的安全，避免了因局部业务风险引发的系统性冲击。同时，清晰的权责结构也有利于提升子公司的市场化动力和能力。</w:t>
            </w:r>
          </w:p>
          <w:p w14:paraId="4D6605AE">
            <w:pPr>
              <w:rPr>
                <w:rFonts w:hint="eastAsia" w:ascii="宋体" w:hAnsi="宋体" w:eastAsia="宋体" w:cs="宋体"/>
              </w:rPr>
            </w:pPr>
            <w:r>
              <w:rPr>
                <w:rFonts w:hint="eastAsia" w:ascii="宋体" w:hAnsi="宋体" w:eastAsia="宋体" w:cs="宋体"/>
              </w:rPr>
              <w:t xml:space="preserve"> </w:t>
            </w:r>
          </w:p>
          <w:p w14:paraId="1199AB4D">
            <w:pPr>
              <w:ind w:firstLine="420" w:firstLineChars="200"/>
              <w:rPr>
                <w:rFonts w:hint="eastAsia" w:ascii="宋体" w:hAnsi="宋体" w:eastAsia="宋体" w:cs="宋体"/>
              </w:rPr>
            </w:pPr>
            <w:r>
              <w:rPr>
                <w:rFonts w:hint="eastAsia" w:ascii="宋体" w:hAnsi="宋体" w:eastAsia="宋体" w:cs="宋体"/>
              </w:rPr>
              <w:t>综上所述，2025年，公司保持了良好的经营活动现金流与稳健的资产负债表，收入和利润的波动并未影响公司核心战略产品的验证与推广进程。展望未来，公司将以财务健康为基石，稳步推进战略落地，为股东创造长期、可持续的价值。</w:t>
            </w:r>
          </w:p>
          <w:p w14:paraId="061E1C79">
            <w:pPr>
              <w:widowControl w:val="0"/>
              <w:jc w:val="both"/>
              <w:rPr>
                <w:rFonts w:hint="eastAsia" w:ascii="宋体" w:hAnsi="宋体" w:eastAsia="宋体" w:cs="宋体"/>
              </w:rPr>
            </w:pPr>
            <w:r>
              <w:rPr>
                <w:rFonts w:hint="eastAsia" w:ascii="宋体" w:hAnsi="宋体" w:eastAsia="宋体" w:cs="宋体"/>
                <w:b/>
                <w:bCs/>
              </w:rPr>
              <w:t xml:space="preserve"> </w:t>
            </w:r>
          </w:p>
          <w:p w14:paraId="4C36F299">
            <w:pPr>
              <w:ind w:left="420" w:leftChars="200"/>
              <w:rPr>
                <w:rFonts w:hint="eastAsia" w:ascii="宋体" w:hAnsi="宋体" w:eastAsia="宋体" w:cs="宋体"/>
                <w:b/>
              </w:rPr>
            </w:pPr>
            <w:r>
              <w:rPr>
                <w:rFonts w:hint="eastAsia" w:ascii="宋体" w:hAnsi="宋体" w:eastAsia="宋体" w:cs="宋体"/>
                <w:b/>
                <w:lang w:eastAsia="zh-CN"/>
              </w:rPr>
              <w:t>（</w:t>
            </w:r>
            <w:r>
              <w:rPr>
                <w:rFonts w:hint="eastAsia" w:ascii="宋体" w:hAnsi="宋体" w:eastAsia="宋体" w:cs="宋体"/>
                <w:b/>
                <w:lang w:val="en-US" w:eastAsia="zh-CN"/>
              </w:rPr>
              <w:t>三</w:t>
            </w:r>
            <w:r>
              <w:rPr>
                <w:rFonts w:hint="eastAsia" w:ascii="宋体" w:hAnsi="宋体" w:eastAsia="宋体" w:cs="宋体"/>
                <w:b/>
                <w:lang w:eastAsia="zh-CN"/>
              </w:rPr>
              <w:t>）</w:t>
            </w:r>
            <w:r>
              <w:rPr>
                <w:rFonts w:hint="eastAsia" w:ascii="宋体" w:hAnsi="宋体" w:eastAsia="宋体" w:cs="宋体"/>
                <w:b/>
              </w:rPr>
              <w:t>战略协同与未来展望</w:t>
            </w:r>
          </w:p>
          <w:p w14:paraId="7305AA9A">
            <w:pPr>
              <w:ind w:firstLine="420" w:firstLineChars="200"/>
              <w:rPr>
                <w:rFonts w:hint="eastAsia" w:ascii="宋体" w:hAnsi="宋体" w:eastAsia="宋体" w:cs="宋体"/>
              </w:rPr>
            </w:pPr>
            <w:r>
              <w:rPr>
                <w:rFonts w:hint="eastAsia" w:ascii="宋体" w:hAnsi="宋体" w:eastAsia="宋体" w:cs="宋体"/>
              </w:rPr>
              <w:t>水萝卜®与新水岛®的紧密结合，构成了公司“AI智能运营+工程产品化”的核心战略。该战略旨在通过产品化的水厂、分布式布置、资源化再生循环、智能化运营的组合实施，赋能各类用水场景（工业、市政、农村等），推动水资源从“一次性利用”转向“循环再生”，为实现全社会拥有可持续、充足、可靠且可负担的高品质水—即“水自由”提供可实施的产业化路径。</w:t>
            </w:r>
          </w:p>
          <w:p w14:paraId="1FA005E8">
            <w:pPr>
              <w:rPr>
                <w:rFonts w:hint="eastAsia" w:ascii="宋体" w:hAnsi="宋体" w:eastAsia="宋体" w:cs="宋体"/>
                <w:b w:val="0"/>
                <w:bCs/>
                <w:color w:val="auto"/>
                <w:szCs w:val="21"/>
                <w:u w:val="none"/>
                <w:lang w:val="en-US" w:eastAsia="zh-CN"/>
              </w:rPr>
            </w:pPr>
          </w:p>
          <w:p w14:paraId="5C98BC29">
            <w:pPr>
              <w:pStyle w:val="11"/>
              <w:numPr>
                <w:ilvl w:val="0"/>
                <w:numId w:val="0"/>
              </w:numPr>
              <w:spacing w:line="240" w:lineRule="auto"/>
              <w:ind w:leftChars="0"/>
              <w:rPr>
                <w:rFonts w:hint="default" w:ascii="宋体" w:hAnsi="宋体" w:eastAsia="宋体" w:cs="宋体"/>
                <w:b/>
                <w:bCs w:val="0"/>
                <w:color w:val="auto"/>
                <w:szCs w:val="21"/>
                <w:u w:val="none"/>
                <w:lang w:val="en-US" w:eastAsia="zh-CN"/>
              </w:rPr>
            </w:pPr>
            <w:r>
              <w:rPr>
                <w:rFonts w:hint="eastAsia" w:ascii="宋体" w:hAnsi="宋体" w:eastAsia="宋体" w:cs="宋体"/>
                <w:b/>
                <w:bCs w:val="0"/>
                <w:color w:val="auto"/>
                <w:szCs w:val="21"/>
                <w:u w:val="none"/>
                <w:lang w:val="en-US" w:eastAsia="zh-CN"/>
              </w:rPr>
              <w:t>二、</w:t>
            </w:r>
            <w:r>
              <w:rPr>
                <w:rFonts w:hint="eastAsia" w:ascii="宋体" w:hAnsi="宋体" w:eastAsia="宋体" w:cs="宋体"/>
                <w:b/>
                <w:bCs w:val="0"/>
                <w:color w:val="auto"/>
                <w:szCs w:val="21"/>
                <w:u w:val="none"/>
              </w:rPr>
              <w:t>交流问答</w:t>
            </w:r>
            <w:r>
              <w:rPr>
                <w:rFonts w:hint="eastAsia" w:ascii="宋体" w:hAnsi="宋体" w:eastAsia="宋体" w:cs="宋体"/>
                <w:b/>
                <w:bCs w:val="0"/>
                <w:color w:val="auto"/>
                <w:szCs w:val="21"/>
                <w:u w:val="none"/>
                <w:lang w:eastAsia="zh-CN"/>
              </w:rPr>
              <w:t>：</w:t>
            </w:r>
          </w:p>
          <w:p w14:paraId="1CDFD2A7">
            <w:pPr>
              <w:ind w:firstLine="422" w:firstLineChars="200"/>
              <w:rPr>
                <w:rFonts w:hint="default" w:ascii="宋体" w:hAnsi="宋体" w:eastAsia="宋体" w:cs="宋体"/>
                <w:b/>
                <w:bCs w:val="0"/>
                <w:color w:val="auto"/>
                <w:szCs w:val="21"/>
                <w:u w:val="none"/>
                <w:lang w:val="en-US" w:eastAsia="zh-CN"/>
              </w:rPr>
            </w:pPr>
            <w:r>
              <w:rPr>
                <w:rFonts w:hint="eastAsia" w:ascii="宋体" w:hAnsi="宋体" w:eastAsia="宋体" w:cs="宋体"/>
                <w:b/>
                <w:bCs w:val="0"/>
                <w:color w:val="auto"/>
                <w:kern w:val="2"/>
                <w:sz w:val="21"/>
                <w:szCs w:val="21"/>
                <w:lang w:val="en-US" w:eastAsia="zh-CN" w:bidi="ar-SA"/>
              </w:rPr>
              <w:t>1.</w:t>
            </w:r>
            <w:r>
              <w:rPr>
                <w:rFonts w:hint="eastAsia" w:ascii="宋体" w:hAnsi="宋体" w:eastAsia="宋体" w:cs="宋体"/>
                <w:b/>
                <w:bCs w:val="0"/>
                <w:color w:val="auto"/>
                <w:szCs w:val="21"/>
                <w:u w:val="none"/>
                <w:lang w:val="en-US" w:eastAsia="zh-CN"/>
              </w:rPr>
              <w:t>2025年公司业绩波动是什么原因？</w:t>
            </w:r>
          </w:p>
          <w:p w14:paraId="4D85F3AC">
            <w:pPr>
              <w:spacing w:line="240" w:lineRule="auto"/>
              <w:ind w:firstLine="420"/>
              <w:rPr>
                <w:rFonts w:hint="eastAsia" w:ascii="宋体" w:hAnsi="宋体" w:eastAsia="宋体"/>
                <w:szCs w:val="21"/>
              </w:rPr>
            </w:pPr>
            <w:r>
              <w:rPr>
                <w:rFonts w:hint="eastAsia" w:ascii="宋体" w:hAnsi="宋体" w:eastAsia="宋体"/>
                <w:szCs w:val="21"/>
              </w:rPr>
              <w:t>答：2025年公司达成了全面完成从“工程公司”向“产品与科技公司”转型的核心经营目标，主要措施和导致业绩变动的原因如下：</w:t>
            </w:r>
          </w:p>
          <w:p w14:paraId="4D49AEE9">
            <w:pPr>
              <w:numPr>
                <w:ilvl w:val="0"/>
                <w:numId w:val="1"/>
              </w:numPr>
              <w:spacing w:line="240" w:lineRule="auto"/>
              <w:ind w:firstLine="420"/>
              <w:rPr>
                <w:rFonts w:hint="eastAsia" w:ascii="宋体" w:hAnsi="宋体" w:eastAsia="宋体"/>
                <w:szCs w:val="21"/>
              </w:rPr>
            </w:pPr>
            <w:r>
              <w:rPr>
                <w:rFonts w:hint="eastAsia" w:ascii="宋体" w:hAnsi="宋体" w:eastAsia="宋体"/>
                <w:szCs w:val="21"/>
              </w:rPr>
              <w:t>公司主动控制市政类传统水处理技术解决方案业务的市场开发工作，减少该类项目订单的获取，造成对应的业务收入和在手订单较上年同期减少，以及个别在执行的市政类水处理技术解决方案项目毛利率较低，导致公司整体毛利润下降。</w:t>
            </w:r>
          </w:p>
          <w:p w14:paraId="47506EE6">
            <w:pPr>
              <w:numPr>
                <w:ilvl w:val="0"/>
                <w:numId w:val="1"/>
              </w:numPr>
              <w:spacing w:line="240" w:lineRule="auto"/>
              <w:ind w:firstLine="420"/>
              <w:rPr>
                <w:rFonts w:hint="eastAsia" w:ascii="宋体" w:hAnsi="宋体" w:eastAsia="宋体"/>
                <w:szCs w:val="21"/>
              </w:rPr>
            </w:pPr>
            <w:r>
              <w:rPr>
                <w:rFonts w:hint="eastAsia" w:ascii="宋体" w:hAnsi="宋体" w:eastAsia="宋体"/>
                <w:szCs w:val="21"/>
              </w:rPr>
              <w:t>公司加大国内、国外市场的新水岛®推广力度，特别是对市场、产品品牌建设及推广活动投入显著增加，导致销售费用增加。</w:t>
            </w:r>
          </w:p>
          <w:p w14:paraId="01A7BDE7">
            <w:pPr>
              <w:numPr>
                <w:ilvl w:val="0"/>
                <w:numId w:val="1"/>
              </w:numPr>
              <w:spacing w:line="240" w:lineRule="auto"/>
              <w:ind w:firstLine="420"/>
              <w:rPr>
                <w:rFonts w:hint="eastAsia" w:ascii="宋体" w:hAnsi="宋体" w:eastAsia="宋体"/>
                <w:szCs w:val="21"/>
              </w:rPr>
            </w:pPr>
            <w:r>
              <w:rPr>
                <w:rFonts w:hint="eastAsia" w:ascii="宋体" w:hAnsi="宋体" w:eastAsia="宋体"/>
                <w:szCs w:val="21"/>
              </w:rPr>
              <w:t>公司个别投资建设的污废水资源化项目陆续投入运营，导致项目借款利息计入财务费用的金额同比增加，由于项目尚处于投运初期，产能和收入在爬坡阶段，因此对公司利润造成压力。</w:t>
            </w:r>
          </w:p>
          <w:p w14:paraId="72060388">
            <w:pPr>
              <w:numPr>
                <w:ilvl w:val="0"/>
                <w:numId w:val="0"/>
              </w:numPr>
              <w:ind w:firstLine="420" w:firstLineChars="200"/>
              <w:rPr>
                <w:rFonts w:hint="eastAsia" w:ascii="宋体" w:hAnsi="宋体" w:eastAsia="宋体" w:cs="宋体"/>
                <w:b w:val="0"/>
                <w:bCs/>
                <w:color w:val="auto"/>
                <w:kern w:val="2"/>
                <w:sz w:val="21"/>
                <w:szCs w:val="21"/>
                <w:lang w:val="en-US" w:eastAsia="zh-CN" w:bidi="ar-SA"/>
              </w:rPr>
            </w:pPr>
          </w:p>
          <w:p w14:paraId="437B7EBB">
            <w:pPr>
              <w:spacing w:line="240" w:lineRule="auto"/>
              <w:ind w:firstLine="420"/>
              <w:rPr>
                <w:rFonts w:hint="eastAsia" w:ascii="宋体" w:hAnsi="宋体" w:eastAsia="宋体" w:cs="宋体"/>
                <w:b/>
                <w:bCs w:val="0"/>
                <w:color w:val="auto"/>
                <w:highlight w:val="none"/>
                <w:u w:val="none"/>
                <w:lang w:val="en-US" w:eastAsia="zh-CN"/>
              </w:rPr>
            </w:pPr>
            <w:r>
              <w:rPr>
                <w:rFonts w:hint="eastAsia" w:ascii="宋体" w:hAnsi="宋体" w:eastAsia="宋体" w:cs="宋体"/>
                <w:b/>
                <w:bCs w:val="0"/>
                <w:color w:val="auto"/>
                <w:highlight w:val="none"/>
                <w:u w:val="none"/>
                <w:lang w:val="en-US" w:eastAsia="zh-CN"/>
              </w:rPr>
              <w:t>2.公司转为产品销售模式后，除一次性交付外，公司后续还有长期服务收入吗？</w:t>
            </w:r>
          </w:p>
          <w:p w14:paraId="0CAD7E72">
            <w:pPr>
              <w:spacing w:line="240" w:lineRule="auto"/>
              <w:ind w:firstLine="420"/>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答：</w:t>
            </w:r>
            <w:r>
              <w:rPr>
                <w:rFonts w:hint="eastAsia" w:ascii="宋体" w:hAnsi="宋体" w:eastAsia="宋体" w:cs="宋体"/>
                <w:b w:val="0"/>
                <w:bCs w:val="0"/>
                <w:color w:val="000000"/>
                <w:sz w:val="20"/>
                <w:szCs w:val="20"/>
              </w:rPr>
              <w:t>针对新水岛</w:t>
            </w:r>
            <w:r>
              <w:rPr>
                <w:rFonts w:hint="eastAsia" w:ascii="宋体" w:hAnsi="宋体" w:eastAsia="宋体"/>
                <w:szCs w:val="21"/>
              </w:rPr>
              <w:t>®</w:t>
            </w:r>
            <w:r>
              <w:rPr>
                <w:rFonts w:hint="eastAsia" w:ascii="宋体" w:hAnsi="宋体" w:eastAsia="宋体" w:cs="宋体"/>
                <w:b w:val="0"/>
                <w:bCs w:val="0"/>
                <w:color w:val="000000"/>
                <w:sz w:val="20"/>
                <w:szCs w:val="20"/>
              </w:rPr>
              <w:t>产品，公司可提供线上线下(O2O)配套服务以及提供托管运营服务模式，全面提升 产品的增值服务。</w:t>
            </w:r>
          </w:p>
          <w:p w14:paraId="734687BA">
            <w:pPr>
              <w:spacing w:line="240" w:lineRule="auto"/>
              <w:ind w:firstLine="420"/>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Online线上服务：通过公司自主开发的“水萝卜®”智慧运营管理平台，提供 AI 工艺管理、在线智能巡检和计算机视觉管理等核心功能，全面实现水厂无人值守，高效运营。</w:t>
            </w:r>
          </w:p>
          <w:p w14:paraId="23AD638A">
            <w:pPr>
              <w:spacing w:line="240" w:lineRule="auto"/>
              <w:ind w:firstLine="420"/>
              <w:rPr>
                <w:rFonts w:hint="eastAsia" w:ascii="宋体" w:hAnsi="宋体" w:eastAsia="宋体" w:cs="宋体"/>
                <w:b w:val="0"/>
                <w:bCs/>
                <w:color w:val="auto"/>
                <w:highlight w:val="none"/>
                <w:u w:val="none"/>
                <w:lang w:val="en-US" w:eastAsia="zh-CN"/>
              </w:rPr>
            </w:pPr>
            <w:r>
              <w:rPr>
                <w:rFonts w:hint="eastAsia" w:ascii="宋体" w:hAnsi="宋体" w:eastAsia="宋体" w:cs="宋体"/>
                <w:b w:val="0"/>
                <w:bCs w:val="0"/>
                <w:color w:val="000000"/>
                <w:sz w:val="20"/>
                <w:szCs w:val="20"/>
              </w:rPr>
              <w:t>Offline线下服务：通过线下专业团队，提供预防性周期维护、膜系统清洗、常规药剂补充等现场服务，实现 专业、实时、高效的运营管理服务</w:t>
            </w:r>
            <w:r>
              <w:rPr>
                <w:rFonts w:hint="eastAsia" w:ascii="宋体" w:hAnsi="宋体" w:eastAsia="宋体" w:cs="宋体"/>
                <w:b w:val="0"/>
                <w:bCs w:val="0"/>
                <w:color w:val="000000"/>
                <w:sz w:val="20"/>
                <w:szCs w:val="20"/>
                <w:lang w:val="en-US" w:eastAsia="zh-CN"/>
              </w:rPr>
              <w:t>,</w:t>
            </w:r>
            <w:r>
              <w:rPr>
                <w:rFonts w:hint="eastAsia" w:ascii="宋体" w:hAnsi="宋体" w:eastAsia="宋体" w:cs="宋体"/>
                <w:b w:val="0"/>
                <w:bCs/>
                <w:color w:val="auto"/>
                <w:highlight w:val="none"/>
                <w:u w:val="none"/>
                <w:lang w:val="en-US" w:eastAsia="zh-CN"/>
              </w:rPr>
              <w:t>可为公司贡献稳定的中长期收入。</w:t>
            </w:r>
          </w:p>
          <w:p w14:paraId="7A793C6C">
            <w:pPr>
              <w:numPr>
                <w:ilvl w:val="0"/>
                <w:numId w:val="0"/>
              </w:numPr>
              <w:ind w:firstLine="420" w:firstLineChars="200"/>
              <w:rPr>
                <w:rFonts w:hint="eastAsia" w:ascii="宋体" w:hAnsi="宋体" w:eastAsia="宋体" w:cs="宋体"/>
                <w:b w:val="0"/>
                <w:bCs/>
                <w:color w:val="auto"/>
                <w:kern w:val="2"/>
                <w:sz w:val="21"/>
                <w:szCs w:val="21"/>
                <w:lang w:val="en-US" w:eastAsia="zh-CN" w:bidi="ar-SA"/>
              </w:rPr>
            </w:pPr>
          </w:p>
          <w:p w14:paraId="13B2BB5D">
            <w:pPr>
              <w:numPr>
                <w:ilvl w:val="0"/>
                <w:numId w:val="0"/>
              </w:numPr>
              <w:ind w:firstLine="422" w:firstLineChars="200"/>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3.请介绍下公司海外布局的进展。</w:t>
            </w:r>
          </w:p>
          <w:p w14:paraId="282A178C">
            <w:pPr>
              <w:numPr>
                <w:ilvl w:val="0"/>
                <w:numId w:val="0"/>
              </w:numPr>
              <w:ind w:firstLine="42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2"/>
                <w:sz w:val="21"/>
                <w:szCs w:val="21"/>
                <w:lang w:val="en-US" w:eastAsia="zh-CN" w:bidi="ar-SA"/>
              </w:rPr>
              <w:t>答：</w:t>
            </w:r>
            <w:r>
              <w:rPr>
                <w:rFonts w:hint="eastAsia" w:ascii="宋体" w:hAnsi="宋体" w:eastAsia="宋体" w:cs="宋体"/>
                <w:b w:val="0"/>
                <w:bCs/>
                <w:color w:val="auto"/>
                <w:sz w:val="22"/>
                <w:szCs w:val="22"/>
                <w:lang w:val="en-US" w:eastAsia="zh-CN"/>
              </w:rPr>
              <w:t>公司</w:t>
            </w:r>
            <w:r>
              <w:rPr>
                <w:rFonts w:hint="eastAsia" w:ascii="宋体" w:hAnsi="宋体" w:eastAsia="宋体" w:cs="宋体"/>
                <w:b w:val="0"/>
                <w:bCs/>
                <w:color w:val="auto"/>
                <w:sz w:val="22"/>
                <w:szCs w:val="22"/>
                <w:highlight w:val="none"/>
              </w:rPr>
              <w:t>在新加坡</w:t>
            </w:r>
            <w:r>
              <w:rPr>
                <w:rFonts w:hint="eastAsia" w:ascii="宋体" w:hAnsi="宋体" w:eastAsia="宋体" w:cs="宋体"/>
                <w:b w:val="0"/>
                <w:bCs/>
                <w:color w:val="auto"/>
                <w:sz w:val="22"/>
                <w:szCs w:val="22"/>
                <w:highlight w:val="none"/>
                <w:lang w:val="en-US" w:eastAsia="zh-CN"/>
              </w:rPr>
              <w:t>设立子公司</w:t>
            </w:r>
            <w:r>
              <w:rPr>
                <w:rFonts w:hint="eastAsia" w:ascii="宋体" w:hAnsi="宋体" w:eastAsia="宋体" w:cs="宋体"/>
                <w:b w:val="0"/>
                <w:bCs/>
                <w:color w:val="auto"/>
                <w:sz w:val="22"/>
                <w:szCs w:val="22"/>
                <w:highlight w:val="none"/>
              </w:rPr>
              <w:t>，在泰国、中东、欧洲、美国</w:t>
            </w:r>
            <w:r>
              <w:rPr>
                <w:rFonts w:hint="eastAsia" w:ascii="宋体" w:hAnsi="宋体" w:eastAsia="宋体" w:cs="宋体"/>
                <w:b w:val="0"/>
                <w:bCs/>
                <w:color w:val="auto"/>
                <w:sz w:val="22"/>
                <w:szCs w:val="22"/>
                <w:highlight w:val="none"/>
                <w:lang w:val="en-US" w:eastAsia="zh-CN"/>
              </w:rPr>
              <w:t>逐步搭建</w:t>
            </w:r>
            <w:r>
              <w:rPr>
                <w:rFonts w:hint="eastAsia" w:ascii="宋体" w:hAnsi="宋体" w:eastAsia="宋体" w:cs="宋体"/>
                <w:b w:val="0"/>
                <w:bCs/>
                <w:color w:val="auto"/>
                <w:sz w:val="22"/>
                <w:szCs w:val="22"/>
                <w:highlight w:val="none"/>
              </w:rPr>
              <w:t>本地机构</w:t>
            </w:r>
            <w:r>
              <w:rPr>
                <w:rFonts w:hint="eastAsia" w:ascii="宋体" w:hAnsi="宋体" w:eastAsia="宋体" w:cs="宋体"/>
                <w:b w:val="0"/>
                <w:bCs/>
                <w:color w:val="auto"/>
                <w:sz w:val="22"/>
                <w:szCs w:val="22"/>
                <w:highlight w:val="none"/>
                <w:lang w:val="en-US" w:eastAsia="zh-CN"/>
              </w:rPr>
              <w:t>及</w:t>
            </w:r>
            <w:r>
              <w:rPr>
                <w:rFonts w:hint="eastAsia" w:ascii="宋体" w:hAnsi="宋体" w:eastAsia="宋体" w:cs="宋体"/>
                <w:b w:val="0"/>
                <w:bCs/>
                <w:color w:val="auto"/>
                <w:sz w:val="22"/>
                <w:szCs w:val="22"/>
                <w:highlight w:val="none"/>
              </w:rPr>
              <w:t>渠道。</w:t>
            </w:r>
          </w:p>
          <w:p w14:paraId="27C33BDC">
            <w:pPr>
              <w:numPr>
                <w:ilvl w:val="0"/>
                <w:numId w:val="0"/>
              </w:num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2025年，公司持续深化海外市场战略布局，海外渠道不断完善，各类项目稳步落地，进一步夯实海外业务基础，为长期成长注入持续动能。</w:t>
            </w:r>
          </w:p>
          <w:p w14:paraId="49FB8AC6">
            <w:pPr>
              <w:numPr>
                <w:ilvl w:val="0"/>
                <w:numId w:val="0"/>
              </w:num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在东南亚地区，公司凭借自主品牌“海湾膜”斩获泰国直饮水项目膜元件销售订单，实现对原供应商产品的替代，完成2套新水岛®产品出口，进一步打开泰国市场；印尼市场，公司与壳牌旗下ecooil签订设备供货合同，产品用于循环冷却补给水及锅炉补给水，正式进入壳牌集团及JGC集团全球供应链体系。</w:t>
            </w:r>
          </w:p>
          <w:p w14:paraId="05D8FFFB">
            <w:pPr>
              <w:numPr>
                <w:ilvl w:val="0"/>
                <w:numId w:val="0"/>
              </w:numPr>
              <w:ind w:firstLine="440" w:firstLineChars="200"/>
              <w:rPr>
                <w:rFonts w:hint="eastAsia" w:ascii="宋体" w:hAnsi="宋体" w:eastAsia="宋体" w:cs="宋体"/>
                <w:color w:val="0000FF"/>
                <w:sz w:val="22"/>
                <w:szCs w:val="22"/>
                <w:highlight w:val="none"/>
                <w:lang w:val="en-US" w:eastAsia="zh-CN"/>
              </w:rPr>
            </w:pPr>
            <w:r>
              <w:rPr>
                <w:rFonts w:hint="eastAsia" w:ascii="宋体" w:hAnsi="宋体" w:eastAsia="宋体" w:cs="宋体"/>
                <w:b w:val="0"/>
                <w:bCs/>
                <w:color w:val="auto"/>
                <w:sz w:val="22"/>
                <w:szCs w:val="22"/>
                <w:highlight w:val="none"/>
                <w:lang w:val="en-US" w:eastAsia="zh-CN"/>
              </w:rPr>
              <w:t>在中东区域，2025年，公司完成阿布扎比地下苦咸水淡化用于农作物滴灌的中试项目，获客户及政府认可；2026年4月，公司全资子公司Bluenexus与Medisun签署新水岛®产品中东地区供货协议，供应新水岛®等设备并提供相关配套服务，助力开拓当地市场</w:t>
            </w:r>
            <w:r>
              <w:rPr>
                <w:rFonts w:hint="eastAsia" w:ascii="宋体" w:hAnsi="宋体" w:eastAsia="宋体" w:cs="宋体"/>
                <w:color w:val="0000FF"/>
                <w:sz w:val="22"/>
                <w:szCs w:val="22"/>
                <w:highlight w:val="none"/>
                <w:lang w:val="en-US" w:eastAsia="zh-CN"/>
              </w:rPr>
              <w:t>。</w:t>
            </w:r>
          </w:p>
          <w:p w14:paraId="58BE0957">
            <w:pPr>
              <w:numPr>
                <w:ilvl w:val="0"/>
                <w:numId w:val="0"/>
              </w:numPr>
              <w:rPr>
                <w:rFonts w:hint="eastAsia" w:ascii="宋体" w:hAnsi="宋体" w:eastAsia="宋体" w:cs="宋体"/>
                <w:b w:val="0"/>
                <w:bCs/>
                <w:color w:val="auto"/>
                <w:kern w:val="2"/>
                <w:sz w:val="21"/>
                <w:szCs w:val="21"/>
                <w:lang w:val="en-US" w:eastAsia="zh-CN" w:bidi="ar-SA"/>
              </w:rPr>
            </w:pPr>
          </w:p>
          <w:p w14:paraId="4BF67C57">
            <w:pPr>
              <w:numPr>
                <w:ilvl w:val="0"/>
                <w:numId w:val="0"/>
              </w:numPr>
              <w:ind w:firstLine="422" w:firstLineChars="200"/>
              <w:rPr>
                <w:rFonts w:hint="default"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4.截至2025年底的在手订单中，新水岛及工艺包产品销售订单合计约2.3亿元，两类产品具体占比情况如何？</w:t>
            </w:r>
          </w:p>
          <w:p w14:paraId="233848B6">
            <w:pPr>
              <w:numPr>
                <w:ilvl w:val="0"/>
                <w:numId w:val="0"/>
              </w:numPr>
              <w:ind w:firstLine="420" w:firstLineChars="20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答：截至2025年底的在手订单中，工艺包产品占比仍较大。截至2026年一季度末，公司在手订单合计71,770.18万元，其中新水岛产品在手订单占比有明显提高。</w:t>
            </w:r>
          </w:p>
          <w:p w14:paraId="1D4C0BC1">
            <w:pPr>
              <w:numPr>
                <w:ilvl w:val="0"/>
                <w:numId w:val="0"/>
              </w:numPr>
              <w:ind w:firstLine="422" w:firstLineChars="200"/>
              <w:rPr>
                <w:rFonts w:hint="eastAsia" w:ascii="宋体" w:hAnsi="宋体" w:eastAsia="宋体" w:cs="宋体"/>
                <w:b/>
                <w:bCs w:val="0"/>
                <w:color w:val="auto"/>
                <w:kern w:val="2"/>
                <w:sz w:val="21"/>
                <w:szCs w:val="21"/>
                <w:lang w:val="en-US" w:eastAsia="zh-CN" w:bidi="ar-SA"/>
              </w:rPr>
            </w:pPr>
          </w:p>
          <w:p w14:paraId="59C119C7">
            <w:pPr>
              <w:numPr>
                <w:ilvl w:val="0"/>
                <w:numId w:val="0"/>
              </w:numPr>
              <w:ind w:firstLine="422" w:firstLineChars="200"/>
              <w:rPr>
                <w:rFonts w:hint="default"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5.公司现有的产能是否能支撑业务拓展？</w:t>
            </w:r>
          </w:p>
          <w:p w14:paraId="0637AE5A">
            <w:pPr>
              <w:numPr>
                <w:ilvl w:val="0"/>
                <w:numId w:val="0"/>
              </w:numPr>
              <w:ind w:firstLine="420" w:firstLineChars="20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答：目前，公司已完成太原组装测试制造基地、原平膜制造及设备制造中心的整合，太原基地已获得ISO质量、环境、安全认证，实现从膜元件制造到新水岛®组装测试的全产业链贯通。</w:t>
            </w:r>
          </w:p>
          <w:p w14:paraId="1F1C61A2">
            <w:pPr>
              <w:numPr>
                <w:ilvl w:val="0"/>
                <w:numId w:val="0"/>
              </w:numPr>
              <w:ind w:firstLine="420" w:firstLineChars="200"/>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公司具备充足的生产能力，可通过生态供应链协作、海外本地化组装突破产能瓶颈，产能不会成为业务扩张的制约因素。</w:t>
            </w:r>
          </w:p>
          <w:p w14:paraId="35A8701A">
            <w:pPr>
              <w:numPr>
                <w:ilvl w:val="0"/>
                <w:numId w:val="0"/>
              </w:numPr>
              <w:rPr>
                <w:rFonts w:hint="eastAsia" w:ascii="宋体" w:hAnsi="宋体" w:eastAsia="宋体" w:cs="宋体"/>
                <w:b/>
                <w:bCs w:val="0"/>
                <w:color w:val="auto"/>
                <w:kern w:val="2"/>
                <w:sz w:val="21"/>
                <w:szCs w:val="21"/>
                <w:lang w:val="en-US" w:eastAsia="zh-CN" w:bidi="ar-SA"/>
              </w:rPr>
            </w:pPr>
          </w:p>
          <w:p w14:paraId="06E92E3C">
            <w:pPr>
              <w:numPr>
                <w:ilvl w:val="0"/>
                <w:numId w:val="0"/>
              </w:numPr>
              <w:ind w:firstLine="422" w:firstLineChars="200"/>
              <w:rPr>
                <w:rFonts w:hint="eastAsia" w:ascii="宋体" w:hAnsi="宋体" w:eastAsia="宋体" w:cs="宋体"/>
                <w:b/>
                <w:bCs w:val="0"/>
                <w:color w:val="auto"/>
                <w:szCs w:val="21"/>
                <w:u w:val="none"/>
                <w:lang w:eastAsia="zh-CN"/>
              </w:rPr>
            </w:pPr>
            <w:r>
              <w:rPr>
                <w:rFonts w:hint="eastAsia" w:ascii="宋体" w:hAnsi="宋体" w:eastAsia="宋体" w:cs="宋体"/>
                <w:b/>
                <w:bCs w:val="0"/>
                <w:color w:val="auto"/>
                <w:kern w:val="2"/>
                <w:sz w:val="21"/>
                <w:szCs w:val="21"/>
                <w:lang w:val="en-US" w:eastAsia="zh-CN" w:bidi="ar-SA"/>
              </w:rPr>
              <w:t>6.</w:t>
            </w:r>
            <w:r>
              <w:rPr>
                <w:rFonts w:hint="eastAsia" w:ascii="宋体" w:hAnsi="宋体" w:eastAsia="宋体" w:cs="宋体"/>
                <w:b/>
                <w:bCs w:val="0"/>
                <w:color w:val="auto"/>
                <w:szCs w:val="21"/>
                <w:u w:val="none"/>
                <w:lang w:eastAsia="zh-CN"/>
              </w:rPr>
              <w:t>与传统工程模式相比，新水岛</w:t>
            </w:r>
            <w:r>
              <w:rPr>
                <w:rFonts w:hint="default" w:ascii="宋体" w:hAnsi="宋体" w:eastAsia="宋体" w:cs="宋体"/>
                <w:b/>
                <w:bCs/>
                <w:color w:val="auto"/>
                <w:u w:val="none"/>
                <w:lang w:val="en-US" w:eastAsia="zh-CN"/>
              </w:rPr>
              <w:t>®</w:t>
            </w:r>
            <w:r>
              <w:rPr>
                <w:rFonts w:hint="eastAsia" w:ascii="宋体" w:hAnsi="宋体" w:eastAsia="宋体" w:cs="宋体"/>
                <w:b/>
                <w:bCs w:val="0"/>
                <w:color w:val="auto"/>
                <w:szCs w:val="21"/>
                <w:u w:val="none"/>
                <w:lang w:eastAsia="zh-CN"/>
              </w:rPr>
              <w:t xml:space="preserve">有何优势？ </w:t>
            </w:r>
          </w:p>
          <w:p w14:paraId="2D83D23F">
            <w:pPr>
              <w:numPr>
                <w:ilvl w:val="0"/>
                <w:numId w:val="0"/>
              </w:numPr>
              <w:ind w:firstLine="420" w:firstLineChars="200"/>
              <w:rPr>
                <w:rFonts w:hint="eastAsia" w:ascii="宋体" w:hAnsi="宋体" w:eastAsia="宋体" w:cs="宋体"/>
                <w:b w:val="0"/>
                <w:bCs/>
                <w:color w:val="auto"/>
                <w:szCs w:val="21"/>
                <w:u w:val="none"/>
                <w:lang w:eastAsia="zh-CN"/>
              </w:rPr>
            </w:pPr>
            <w:r>
              <w:rPr>
                <w:rFonts w:hint="eastAsia" w:ascii="宋体" w:hAnsi="宋体" w:eastAsia="宋体" w:cs="宋体"/>
                <w:b w:val="0"/>
                <w:bCs/>
                <w:color w:val="auto"/>
                <w:szCs w:val="21"/>
                <w:u w:val="none"/>
                <w:lang w:eastAsia="zh-CN"/>
              </w:rPr>
              <w:t>答：相较传统工程水厂，</w:t>
            </w:r>
            <w:r>
              <w:rPr>
                <w:rFonts w:hint="eastAsia" w:ascii="宋体" w:hAnsi="宋体" w:eastAsia="宋体" w:cs="宋体"/>
                <w:b w:val="0"/>
                <w:bCs/>
                <w:color w:val="auto"/>
                <w:szCs w:val="21"/>
                <w:u w:val="none"/>
                <w:lang w:val="en-US" w:eastAsia="zh-CN"/>
              </w:rPr>
              <w:t>新水岛</w:t>
            </w:r>
            <w:r>
              <w:rPr>
                <w:rFonts w:hint="eastAsia" w:ascii="宋体" w:hAnsi="宋体" w:eastAsia="宋体" w:cs="宋体"/>
                <w:b w:val="0"/>
                <w:bCs/>
                <w:color w:val="auto"/>
                <w:szCs w:val="21"/>
                <w:u w:val="none"/>
                <w:lang w:eastAsia="zh-CN"/>
              </w:rPr>
              <w:t>®实现占地面积节省 90%、交付时间缩短 90%、运营人员精简 90%，全生命周期成本</w:t>
            </w:r>
            <w:r>
              <w:rPr>
                <w:rFonts w:hint="eastAsia" w:ascii="宋体" w:hAnsi="宋体" w:eastAsia="宋体" w:cs="宋体"/>
                <w:b w:val="0"/>
                <w:bCs/>
                <w:color w:val="auto"/>
                <w:szCs w:val="21"/>
                <w:u w:val="none"/>
                <w:lang w:val="en-US" w:eastAsia="zh-CN"/>
              </w:rPr>
              <w:t>大幅</w:t>
            </w:r>
            <w:r>
              <w:rPr>
                <w:rFonts w:hint="eastAsia" w:ascii="宋体" w:hAnsi="宋体" w:eastAsia="宋体" w:cs="宋体"/>
                <w:b w:val="0"/>
                <w:bCs/>
                <w:color w:val="auto"/>
                <w:szCs w:val="21"/>
                <w:u w:val="none"/>
                <w:lang w:eastAsia="zh-CN"/>
              </w:rPr>
              <w:t>降低。公司通过产品化的水厂、分布式布置、资源化再生循环、智能化运营的组合实施，可以让社会获得可持续的、充足的、可靠的、可负担的高品质水，为人类带来水自由。</w:t>
            </w:r>
          </w:p>
          <w:p w14:paraId="789BC780">
            <w:pPr>
              <w:numPr>
                <w:ilvl w:val="0"/>
                <w:numId w:val="0"/>
              </w:numPr>
              <w:ind w:firstLine="420" w:firstLineChars="200"/>
              <w:rPr>
                <w:rFonts w:hint="eastAsia" w:ascii="宋体" w:hAnsi="宋体" w:eastAsia="宋体" w:cs="宋体"/>
                <w:b w:val="0"/>
                <w:bCs/>
                <w:color w:val="auto"/>
                <w:szCs w:val="21"/>
                <w:u w:val="none"/>
                <w:lang w:eastAsia="zh-CN"/>
              </w:rPr>
            </w:pPr>
            <w:r>
              <w:rPr>
                <w:rFonts w:hint="eastAsia" w:ascii="宋体" w:hAnsi="宋体" w:eastAsia="宋体" w:cs="宋体"/>
                <w:b w:val="0"/>
                <w:bCs/>
                <w:color w:val="auto"/>
                <w:szCs w:val="21"/>
                <w:u w:val="none"/>
                <w:lang w:eastAsia="zh-CN"/>
              </w:rPr>
              <w:t>通过分布式部署，新水岛®可节省巨额配套管网投资；工业品流水线的批量生产模式以规模效应带来吨水成本的降低；同时，新水岛®实现了从不同工艺单元相互割裂的“组合工艺”向有机融合成一体的“融合工艺”转变突破，为“稳定可靠的短流程工艺”替代“打补丁式的长流程”奠定了坚实基础，进一步削减冗余配置，优化建设成本。此外，新水岛®应用人工智能（AI）技术取代了人员运营管理工作，重构并优化了水厂生产运营流程，有效保障水质水量稳定达标，延长设备寿命，显著降低运营成本。</w:t>
            </w:r>
          </w:p>
          <w:p w14:paraId="03408C9E">
            <w:pPr>
              <w:numPr>
                <w:ilvl w:val="0"/>
                <w:numId w:val="0"/>
              </w:numPr>
              <w:ind w:firstLine="420" w:firstLineChars="200"/>
              <w:rPr>
                <w:rFonts w:hint="eastAsia" w:ascii="宋体" w:hAnsi="宋体" w:eastAsia="宋体" w:cs="宋体"/>
                <w:b w:val="0"/>
                <w:bCs/>
                <w:color w:val="auto"/>
                <w:szCs w:val="21"/>
                <w:u w:val="none"/>
                <w:lang w:eastAsia="zh-CN"/>
              </w:rPr>
            </w:pPr>
          </w:p>
          <w:p w14:paraId="589036A8">
            <w:pPr>
              <w:numPr>
                <w:ilvl w:val="0"/>
                <w:numId w:val="0"/>
              </w:numPr>
              <w:ind w:firstLine="422" w:firstLineChars="200"/>
              <w:rPr>
                <w:rFonts w:hint="eastAsia" w:ascii="宋体" w:hAnsi="宋体" w:eastAsia="宋体" w:cs="宋体"/>
                <w:b/>
                <w:bCs w:val="0"/>
                <w:color w:val="auto"/>
                <w:szCs w:val="21"/>
                <w:u w:val="none"/>
                <w:lang w:eastAsia="zh-CN"/>
              </w:rPr>
            </w:pPr>
            <w:r>
              <w:rPr>
                <w:rFonts w:hint="eastAsia" w:ascii="宋体" w:hAnsi="宋体" w:eastAsia="宋体" w:cs="宋体"/>
                <w:b/>
                <w:bCs w:val="0"/>
                <w:color w:val="auto"/>
                <w:szCs w:val="21"/>
                <w:u w:val="none"/>
                <w:lang w:val="en-US" w:eastAsia="zh-CN"/>
              </w:rPr>
              <w:t>7.</w:t>
            </w:r>
            <w:r>
              <w:rPr>
                <w:rFonts w:hint="eastAsia" w:ascii="宋体" w:hAnsi="宋体" w:eastAsia="宋体" w:cs="宋体"/>
                <w:b/>
                <w:bCs w:val="0"/>
                <w:color w:val="auto"/>
                <w:szCs w:val="21"/>
                <w:u w:val="none"/>
                <w:lang w:eastAsia="zh-CN"/>
              </w:rPr>
              <w:t>新水岛®</w:t>
            </w:r>
            <w:r>
              <w:rPr>
                <w:rFonts w:hint="eastAsia" w:ascii="宋体" w:hAnsi="宋体" w:eastAsia="宋体" w:cs="宋体"/>
                <w:b/>
                <w:bCs w:val="0"/>
                <w:color w:val="auto"/>
                <w:szCs w:val="21"/>
                <w:u w:val="none"/>
                <w:lang w:val="en-US" w:eastAsia="zh-CN"/>
              </w:rPr>
              <w:t>及水萝卜</w:t>
            </w:r>
            <w:r>
              <w:rPr>
                <w:rFonts w:hint="eastAsia" w:ascii="宋体" w:hAnsi="宋体" w:eastAsia="宋体" w:cs="宋体"/>
                <w:b/>
                <w:bCs w:val="0"/>
                <w:color w:val="auto"/>
                <w:szCs w:val="21"/>
                <w:u w:val="none"/>
                <w:lang w:eastAsia="zh-CN"/>
              </w:rPr>
              <w:t>®</w:t>
            </w:r>
            <w:r>
              <w:rPr>
                <w:rFonts w:hint="eastAsia" w:ascii="宋体" w:hAnsi="宋体" w:eastAsia="宋体" w:cs="宋体"/>
                <w:b/>
                <w:bCs w:val="0"/>
                <w:color w:val="auto"/>
                <w:szCs w:val="21"/>
                <w:u w:val="none"/>
                <w:lang w:val="en-US" w:eastAsia="zh-CN"/>
              </w:rPr>
              <w:t>AI智能体</w:t>
            </w:r>
            <w:r>
              <w:rPr>
                <w:rFonts w:hint="eastAsia" w:ascii="宋体" w:hAnsi="宋体" w:eastAsia="宋体" w:cs="宋体"/>
                <w:b/>
                <w:bCs w:val="0"/>
                <w:color w:val="auto"/>
                <w:szCs w:val="21"/>
                <w:u w:val="none"/>
                <w:lang w:eastAsia="zh-CN"/>
              </w:rPr>
              <w:t xml:space="preserve">目前落地情况如何？ </w:t>
            </w:r>
          </w:p>
          <w:p w14:paraId="6E286417">
            <w:pPr>
              <w:numPr>
                <w:ilvl w:val="0"/>
                <w:numId w:val="0"/>
              </w:numPr>
              <w:ind w:firstLine="420" w:firstLineChars="200"/>
              <w:rPr>
                <w:rFonts w:hint="eastAsia" w:ascii="宋体" w:hAnsi="宋体" w:eastAsia="宋体" w:cs="宋体"/>
                <w:b w:val="0"/>
                <w:bCs/>
                <w:color w:val="auto"/>
                <w:szCs w:val="21"/>
                <w:u w:val="none"/>
                <w:lang w:val="en-US" w:eastAsia="zh-CN"/>
              </w:rPr>
            </w:pPr>
            <w:r>
              <w:rPr>
                <w:rFonts w:hint="eastAsia" w:ascii="宋体" w:hAnsi="宋体" w:eastAsia="宋体" w:cs="宋体"/>
                <w:b w:val="0"/>
                <w:bCs/>
                <w:color w:val="auto"/>
                <w:szCs w:val="21"/>
                <w:u w:val="none"/>
                <w:lang w:eastAsia="zh-CN"/>
              </w:rPr>
              <w:t>答：截至</w:t>
            </w:r>
            <w:r>
              <w:rPr>
                <w:rFonts w:hint="eastAsia" w:ascii="宋体" w:hAnsi="宋体" w:eastAsia="宋体" w:cs="宋体"/>
                <w:b w:val="0"/>
                <w:bCs/>
                <w:color w:val="auto"/>
                <w:szCs w:val="21"/>
                <w:u w:val="none"/>
                <w:lang w:val="en-US" w:eastAsia="zh-CN"/>
              </w:rPr>
              <w:t>2026年4月底，公司</w:t>
            </w:r>
            <w:r>
              <w:rPr>
                <w:rFonts w:hint="eastAsia" w:ascii="宋体" w:hAnsi="宋体" w:eastAsia="宋体" w:cs="宋体"/>
                <w:b w:val="0"/>
                <w:bCs/>
                <w:color w:val="auto"/>
                <w:szCs w:val="21"/>
                <w:u w:val="none"/>
                <w:lang w:eastAsia="zh-CN"/>
              </w:rPr>
              <w:t>新水岛®</w:t>
            </w:r>
            <w:r>
              <w:rPr>
                <w:rFonts w:hint="eastAsia" w:ascii="宋体" w:hAnsi="宋体" w:eastAsia="宋体" w:cs="宋体"/>
                <w:b w:val="0"/>
                <w:bCs/>
                <w:color w:val="auto"/>
                <w:szCs w:val="21"/>
                <w:u w:val="none"/>
                <w:lang w:val="en-US" w:eastAsia="zh-CN"/>
              </w:rPr>
              <w:t>产品</w:t>
            </w:r>
            <w:r>
              <w:rPr>
                <w:rFonts w:hint="eastAsia" w:ascii="宋体" w:hAnsi="宋体" w:eastAsia="宋体" w:cs="宋体"/>
                <w:b w:val="0"/>
                <w:bCs/>
                <w:color w:val="auto"/>
                <w:szCs w:val="21"/>
                <w:u w:val="none"/>
                <w:lang w:eastAsia="zh-CN"/>
              </w:rPr>
              <w:t>累计签约18套，</w:t>
            </w:r>
            <w:r>
              <w:rPr>
                <w:rFonts w:hint="eastAsia" w:ascii="宋体" w:hAnsi="宋体" w:eastAsia="宋体" w:cs="宋体"/>
                <w:b w:val="0"/>
                <w:bCs/>
                <w:color w:val="auto"/>
                <w:szCs w:val="21"/>
                <w:u w:val="none"/>
                <w:lang w:val="en-US" w:eastAsia="zh-CN"/>
              </w:rPr>
              <w:t>交货13套，</w:t>
            </w:r>
            <w:r>
              <w:rPr>
                <w:rFonts w:hint="eastAsia" w:ascii="宋体" w:hAnsi="宋体" w:eastAsia="宋体" w:cs="宋体"/>
                <w:b w:val="0"/>
                <w:bCs/>
                <w:color w:val="auto"/>
                <w:szCs w:val="21"/>
                <w:u w:val="none"/>
                <w:lang w:eastAsia="zh-CN"/>
              </w:rPr>
              <w:t>完成产品从“0到1”的验证。水萝卜®AI智能体</w:t>
            </w:r>
            <w:r>
              <w:rPr>
                <w:rFonts w:hint="eastAsia" w:ascii="宋体" w:hAnsi="宋体" w:eastAsia="宋体" w:cs="宋体"/>
                <w:b w:val="0"/>
                <w:bCs/>
                <w:color w:val="auto"/>
                <w:szCs w:val="21"/>
                <w:u w:val="none"/>
                <w:lang w:val="en-US" w:eastAsia="zh-CN"/>
              </w:rPr>
              <w:t>于</w:t>
            </w:r>
            <w:r>
              <w:rPr>
                <w:rFonts w:hint="eastAsia" w:ascii="宋体" w:hAnsi="宋体" w:eastAsia="宋体" w:cs="宋体"/>
                <w:b w:val="0"/>
                <w:bCs/>
                <w:color w:val="auto"/>
                <w:szCs w:val="21"/>
                <w:u w:val="none"/>
                <w:lang w:eastAsia="zh-CN"/>
              </w:rPr>
              <w:t>202</w:t>
            </w:r>
            <w:r>
              <w:rPr>
                <w:rFonts w:hint="eastAsia" w:ascii="宋体" w:hAnsi="宋体" w:eastAsia="宋体" w:cs="宋体"/>
                <w:b w:val="0"/>
                <w:bCs/>
                <w:color w:val="auto"/>
                <w:szCs w:val="21"/>
                <w:u w:val="none"/>
                <w:lang w:val="en-US" w:eastAsia="zh-CN"/>
              </w:rPr>
              <w:t>5</w:t>
            </w:r>
            <w:r>
              <w:rPr>
                <w:rFonts w:hint="eastAsia" w:ascii="宋体" w:hAnsi="宋体" w:eastAsia="宋体" w:cs="宋体"/>
                <w:b w:val="0"/>
                <w:bCs/>
                <w:color w:val="auto"/>
                <w:szCs w:val="21"/>
                <w:u w:val="none"/>
                <w:lang w:eastAsia="zh-CN"/>
              </w:rPr>
              <w:t>年9月正式发布，已进入商业应用，截至</w:t>
            </w:r>
            <w:r>
              <w:rPr>
                <w:rFonts w:hint="eastAsia" w:ascii="宋体" w:hAnsi="宋体" w:eastAsia="宋体" w:cs="宋体"/>
                <w:b w:val="0"/>
                <w:bCs/>
                <w:color w:val="auto"/>
                <w:szCs w:val="21"/>
                <w:u w:val="none"/>
                <w:lang w:val="en-US" w:eastAsia="zh-CN"/>
              </w:rPr>
              <w:t>2026年4月底，累计</w:t>
            </w:r>
            <w:r>
              <w:rPr>
                <w:rFonts w:hint="eastAsia" w:ascii="宋体" w:hAnsi="宋体" w:eastAsia="宋体" w:cs="宋体"/>
                <w:b w:val="0"/>
                <w:bCs/>
                <w:color w:val="auto"/>
                <w:szCs w:val="21"/>
                <w:u w:val="none"/>
                <w:lang w:eastAsia="zh-CN"/>
              </w:rPr>
              <w:t>签约20套，</w:t>
            </w:r>
            <w:r>
              <w:rPr>
                <w:rFonts w:hint="eastAsia" w:ascii="宋体" w:hAnsi="宋体" w:eastAsia="宋体" w:cs="宋体"/>
                <w:b w:val="0"/>
                <w:bCs/>
                <w:color w:val="auto"/>
                <w:szCs w:val="21"/>
                <w:u w:val="none"/>
                <w:lang w:val="en-US" w:eastAsia="zh-CN"/>
              </w:rPr>
              <w:t>交货</w:t>
            </w:r>
            <w:r>
              <w:rPr>
                <w:rFonts w:hint="eastAsia" w:ascii="宋体" w:hAnsi="宋体" w:eastAsia="宋体" w:cs="宋体"/>
                <w:b w:val="0"/>
                <w:bCs/>
                <w:color w:val="auto"/>
                <w:szCs w:val="21"/>
                <w:u w:val="none"/>
                <w:lang w:eastAsia="zh-CN"/>
              </w:rPr>
              <w:t>15套。</w:t>
            </w:r>
          </w:p>
          <w:p w14:paraId="0F512D07">
            <w:pPr>
              <w:numPr>
                <w:ilvl w:val="0"/>
                <w:numId w:val="0"/>
              </w:numPr>
              <w:rPr>
                <w:rFonts w:hint="default" w:ascii="宋体" w:hAnsi="宋体" w:eastAsia="宋体" w:cs="宋体"/>
                <w:b w:val="0"/>
                <w:bCs/>
                <w:color w:val="auto"/>
                <w:szCs w:val="21"/>
                <w:u w:val="none"/>
                <w:lang w:val="en-US" w:eastAsia="zh-CN"/>
              </w:rPr>
            </w:pPr>
            <w:r>
              <w:rPr>
                <w:rFonts w:hint="eastAsia" w:ascii="宋体" w:hAnsi="宋体" w:eastAsia="宋体" w:cs="宋体"/>
                <w:b w:val="0"/>
                <w:bCs/>
                <w:color w:val="auto"/>
                <w:szCs w:val="21"/>
                <w:u w:val="none"/>
                <w:lang w:val="en-US" w:eastAsia="zh-CN"/>
              </w:rPr>
              <w:t xml:space="preserve"> </w:t>
            </w:r>
          </w:p>
          <w:p w14:paraId="5F40A1F6">
            <w:pPr>
              <w:numPr>
                <w:ilvl w:val="0"/>
                <w:numId w:val="0"/>
              </w:numPr>
              <w:ind w:firstLine="422" w:firstLineChars="200"/>
              <w:rPr>
                <w:rFonts w:hint="eastAsia" w:ascii="宋体" w:hAnsi="宋体" w:eastAsia="宋体" w:cs="宋体"/>
                <w:b/>
                <w:bCs w:val="0"/>
                <w:color w:val="auto"/>
                <w:szCs w:val="21"/>
                <w:u w:val="none"/>
                <w:lang w:val="en-US" w:eastAsia="zh-CN"/>
              </w:rPr>
            </w:pPr>
            <w:r>
              <w:rPr>
                <w:rFonts w:hint="eastAsia" w:ascii="宋体" w:hAnsi="宋体" w:eastAsia="宋体" w:cs="宋体"/>
                <w:b/>
                <w:bCs w:val="0"/>
                <w:color w:val="auto"/>
                <w:szCs w:val="21"/>
                <w:u w:val="none"/>
                <w:lang w:val="en-US" w:eastAsia="zh-CN"/>
              </w:rPr>
              <w:t>8.新水岛</w:t>
            </w:r>
            <w:r>
              <w:rPr>
                <w:rFonts w:hint="default" w:ascii="宋体" w:hAnsi="宋体" w:eastAsia="宋体" w:cs="宋体"/>
                <w:b/>
                <w:bCs w:val="0"/>
                <w:color w:val="auto"/>
                <w:szCs w:val="21"/>
                <w:u w:val="none"/>
                <w:lang w:val="en-US" w:eastAsia="zh-CN"/>
              </w:rPr>
              <w:t>®</w:t>
            </w:r>
            <w:r>
              <w:rPr>
                <w:rFonts w:hint="eastAsia" w:ascii="宋体" w:hAnsi="宋体" w:eastAsia="宋体" w:cs="宋体"/>
                <w:b/>
                <w:bCs w:val="0"/>
                <w:color w:val="auto"/>
                <w:szCs w:val="21"/>
                <w:u w:val="none"/>
                <w:lang w:val="en-US" w:eastAsia="zh-CN"/>
              </w:rPr>
              <w:t>产品可以应用于哪些场景？</w:t>
            </w:r>
          </w:p>
          <w:p w14:paraId="0DD39D5F">
            <w:pPr>
              <w:ind w:firstLine="420" w:firstLineChars="200"/>
              <w:rPr>
                <w:rFonts w:hint="eastAsia" w:ascii="宋体" w:hAnsi="宋体" w:eastAsia="宋体"/>
                <w:szCs w:val="21"/>
              </w:rPr>
            </w:pPr>
            <w:r>
              <w:rPr>
                <w:rFonts w:hint="eastAsia" w:ascii="宋体" w:hAnsi="宋体" w:eastAsia="宋体"/>
                <w:szCs w:val="21"/>
              </w:rPr>
              <w:t>答：新水岛®广泛适用于工业、园区、城镇海水淡化等应用场景，可作为高品质供水基础设施（城镇、园区、工业）的替代方案，以常规水源（水库水、地下水、河道水等）和非常规水源（污水、矿井水、苦咸水等），为工业企业、工业园区和城镇提供高品质供水，成本和安全性方面更具竞争力。</w:t>
            </w:r>
          </w:p>
          <w:p w14:paraId="26DDD1D2">
            <w:pPr>
              <w:spacing w:line="240" w:lineRule="auto"/>
              <w:rPr>
                <w:rFonts w:hint="eastAsia" w:ascii="宋体" w:hAnsi="宋体" w:eastAsia="宋体"/>
                <w:szCs w:val="21"/>
              </w:rPr>
            </w:pPr>
            <w:bookmarkStart w:id="0" w:name="_GoBack"/>
            <w:bookmarkEnd w:id="0"/>
          </w:p>
          <w:p w14:paraId="4C8E3C28">
            <w:pPr>
              <w:spacing w:line="240" w:lineRule="auto"/>
              <w:ind w:firstLine="420"/>
              <w:rPr>
                <w:rFonts w:hint="default" w:ascii="宋体" w:hAnsi="宋体" w:eastAsia="宋体" w:cs="宋体"/>
                <w:b/>
                <w:bCs w:val="0"/>
                <w:color w:val="auto"/>
                <w:highlight w:val="none"/>
                <w:u w:val="none"/>
                <w:lang w:val="en-US" w:eastAsia="zh-CN"/>
              </w:rPr>
            </w:pPr>
            <w:r>
              <w:rPr>
                <w:rFonts w:hint="eastAsia" w:ascii="宋体" w:hAnsi="宋体" w:eastAsia="宋体" w:cs="宋体"/>
                <w:b/>
                <w:bCs w:val="0"/>
                <w:color w:val="auto"/>
                <w:highlight w:val="none"/>
                <w:u w:val="none"/>
                <w:lang w:val="en-US" w:eastAsia="zh-CN"/>
              </w:rPr>
              <w:t>9.请问公司新水岛</w:t>
            </w:r>
            <w:r>
              <w:rPr>
                <w:rFonts w:hint="default" w:ascii="宋体" w:hAnsi="宋体" w:eastAsia="宋体" w:cs="宋体"/>
                <w:b/>
                <w:bCs/>
                <w:color w:val="auto"/>
                <w:u w:val="none"/>
                <w:lang w:val="en-US" w:eastAsia="zh-CN"/>
              </w:rPr>
              <w:t>®</w:t>
            </w:r>
            <w:r>
              <w:rPr>
                <w:rFonts w:hint="eastAsia" w:ascii="宋体" w:hAnsi="宋体" w:eastAsia="宋体" w:cs="宋体"/>
                <w:b/>
                <w:bCs w:val="0"/>
                <w:color w:val="auto"/>
                <w:highlight w:val="none"/>
                <w:u w:val="none"/>
                <w:lang w:val="en-US" w:eastAsia="zh-CN"/>
              </w:rPr>
              <w:t>产品的市场空间如何？</w:t>
            </w:r>
          </w:p>
          <w:p w14:paraId="0B7FD41E">
            <w:pPr>
              <w:spacing w:line="240" w:lineRule="auto"/>
              <w:ind w:firstLine="420"/>
              <w:rPr>
                <w:rFonts w:hint="default" w:ascii="宋体" w:hAnsi="宋体" w:eastAsia="宋体"/>
                <w:szCs w:val="21"/>
                <w:lang w:val="en-US" w:eastAsia="zh-CN"/>
              </w:rPr>
            </w:pPr>
            <w:r>
              <w:rPr>
                <w:rFonts w:hint="eastAsia" w:ascii="宋体" w:hAnsi="宋体" w:eastAsia="宋体"/>
                <w:szCs w:val="21"/>
              </w:rPr>
              <w:t>答：在政策强力推动与水资源约束趋紧背景下，中国节水产业加速发展。国家坚持“以水定城、以水定地、以水定人、以水定产”的“四定”原则，全面推进再生水利用、工业节水提标改造以及非常规水源的开发利用。随着自来水价上调与工业水耗标准升级，再生水成本优势凸显，应用场景快速拓展</w:t>
            </w:r>
            <w:r>
              <w:rPr>
                <w:rFonts w:hint="eastAsia" w:ascii="宋体" w:hAnsi="宋体" w:eastAsia="宋体"/>
                <w:szCs w:val="21"/>
                <w:highlight w:val="none"/>
              </w:rPr>
              <w:t>。2024年，全国工业用水量达971亿立方米，</w:t>
            </w:r>
            <w:r>
              <w:rPr>
                <w:rFonts w:hint="eastAsia" w:ascii="宋体" w:hAnsi="宋体" w:eastAsia="宋体"/>
                <w:szCs w:val="21"/>
              </w:rPr>
              <w:t>叠加高品质饮用水需求持续增长，节水技术、高端水处理装备与智慧化水效管理系统的创新融合，新水岛®发展空间</w:t>
            </w:r>
            <w:r>
              <w:rPr>
                <w:rFonts w:hint="eastAsia" w:ascii="宋体" w:hAnsi="宋体" w:eastAsia="宋体"/>
                <w:szCs w:val="21"/>
                <w:lang w:val="en-US" w:eastAsia="zh-CN"/>
              </w:rPr>
              <w:t>广阔</w:t>
            </w:r>
            <w:r>
              <w:rPr>
                <w:rFonts w:hint="eastAsia" w:ascii="宋体" w:hAnsi="宋体" w:eastAsia="宋体"/>
                <w:szCs w:val="21"/>
              </w:rPr>
              <w:t>。</w:t>
            </w:r>
          </w:p>
        </w:tc>
      </w:tr>
      <w:tr w14:paraId="3B95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44" w:type="dxa"/>
            <w:vAlign w:val="center"/>
          </w:tcPr>
          <w:p w14:paraId="4AAB5B85">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附件清单</w:t>
            </w:r>
          </w:p>
          <w:p w14:paraId="2AE2E17F">
            <w:pPr>
              <w:spacing w:line="240" w:lineRule="auto"/>
              <w:jc w:val="center"/>
              <w:rPr>
                <w:rFonts w:hint="eastAsia" w:ascii="宋体" w:hAnsi="宋体" w:eastAsia="宋体" w:cs="宋体"/>
                <w:color w:val="auto"/>
                <w:szCs w:val="21"/>
                <w:u w:val="none"/>
              </w:rPr>
            </w:pPr>
            <w:r>
              <w:rPr>
                <w:rFonts w:hint="eastAsia" w:ascii="宋体" w:hAnsi="宋体" w:eastAsia="宋体" w:cs="宋体"/>
                <w:b/>
                <w:bCs/>
                <w:color w:val="auto"/>
                <w:szCs w:val="21"/>
                <w:u w:val="none"/>
              </w:rPr>
              <w:t>（如有）</w:t>
            </w:r>
          </w:p>
        </w:tc>
        <w:tc>
          <w:tcPr>
            <w:tcW w:w="7229" w:type="dxa"/>
            <w:vAlign w:val="center"/>
          </w:tcPr>
          <w:p w14:paraId="5CF1995B">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无</w:t>
            </w:r>
          </w:p>
        </w:tc>
      </w:tr>
      <w:tr w14:paraId="13AE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844" w:type="dxa"/>
            <w:vAlign w:val="center"/>
          </w:tcPr>
          <w:p w14:paraId="61CDEB5D">
            <w:pPr>
              <w:spacing w:line="240" w:lineRule="auto"/>
              <w:jc w:val="center"/>
              <w:rPr>
                <w:rFonts w:hint="eastAsia" w:ascii="宋体" w:hAnsi="宋体" w:eastAsia="宋体" w:cs="宋体"/>
                <w:b/>
                <w:bCs/>
                <w:color w:val="auto"/>
                <w:szCs w:val="21"/>
                <w:u w:val="none"/>
              </w:rPr>
            </w:pPr>
            <w:r>
              <w:rPr>
                <w:rFonts w:hint="eastAsia" w:ascii="宋体" w:hAnsi="宋体" w:eastAsia="宋体" w:cs="宋体"/>
                <w:b/>
                <w:bCs/>
                <w:color w:val="auto"/>
                <w:szCs w:val="21"/>
                <w:u w:val="none"/>
              </w:rPr>
              <w:t>日期</w:t>
            </w:r>
          </w:p>
        </w:tc>
        <w:tc>
          <w:tcPr>
            <w:tcW w:w="7229" w:type="dxa"/>
            <w:vAlign w:val="center"/>
          </w:tcPr>
          <w:p w14:paraId="33CB2747">
            <w:pPr>
              <w:spacing w:line="240" w:lineRule="auto"/>
              <w:rPr>
                <w:rFonts w:hint="eastAsia" w:ascii="宋体" w:hAnsi="宋体" w:eastAsia="宋体" w:cs="宋体"/>
                <w:color w:val="auto"/>
                <w:szCs w:val="21"/>
                <w:u w:val="none"/>
              </w:rPr>
            </w:pPr>
            <w:r>
              <w:rPr>
                <w:rFonts w:hint="eastAsia" w:ascii="宋体" w:hAnsi="宋体" w:eastAsia="宋体" w:cs="宋体"/>
                <w:color w:val="auto"/>
                <w:szCs w:val="21"/>
                <w:u w:val="none"/>
              </w:rPr>
              <w:t>202</w:t>
            </w:r>
            <w:r>
              <w:rPr>
                <w:rFonts w:hint="eastAsia" w:ascii="宋体" w:hAnsi="宋体" w:eastAsia="宋体" w:cs="宋体"/>
                <w:color w:val="auto"/>
                <w:szCs w:val="21"/>
                <w:u w:val="none"/>
                <w:lang w:val="en-US" w:eastAsia="zh-CN"/>
              </w:rPr>
              <w:t>6</w:t>
            </w:r>
            <w:r>
              <w:rPr>
                <w:rFonts w:hint="eastAsia" w:ascii="宋体" w:hAnsi="宋体" w:eastAsia="宋体" w:cs="宋体"/>
                <w:color w:val="auto"/>
                <w:szCs w:val="21"/>
                <w:u w:val="none"/>
              </w:rPr>
              <w:t>年</w:t>
            </w:r>
            <w:r>
              <w:rPr>
                <w:rFonts w:hint="eastAsia" w:ascii="宋体" w:hAnsi="宋体" w:eastAsia="宋体" w:cs="宋体"/>
                <w:color w:val="auto"/>
                <w:szCs w:val="21"/>
                <w:u w:val="none"/>
                <w:lang w:val="en-US" w:eastAsia="zh-CN"/>
              </w:rPr>
              <w:t>5</w:t>
            </w:r>
            <w:r>
              <w:rPr>
                <w:rFonts w:hint="eastAsia" w:ascii="宋体" w:hAnsi="宋体" w:eastAsia="宋体" w:cs="宋体"/>
                <w:color w:val="auto"/>
                <w:szCs w:val="21"/>
                <w:u w:val="none"/>
              </w:rPr>
              <w:t>月</w:t>
            </w:r>
            <w:r>
              <w:rPr>
                <w:rFonts w:hint="eastAsia" w:ascii="宋体" w:hAnsi="宋体" w:eastAsia="宋体" w:cs="宋体"/>
                <w:color w:val="auto"/>
                <w:szCs w:val="21"/>
                <w:u w:val="none"/>
                <w:lang w:val="en-US" w:eastAsia="zh-CN"/>
              </w:rPr>
              <w:t>11</w:t>
            </w:r>
            <w:r>
              <w:rPr>
                <w:rFonts w:hint="eastAsia" w:ascii="宋体" w:hAnsi="宋体" w:eastAsia="宋体" w:cs="宋体"/>
                <w:color w:val="auto"/>
                <w:szCs w:val="21"/>
                <w:u w:val="none"/>
              </w:rPr>
              <w:t>日</w:t>
            </w:r>
          </w:p>
        </w:tc>
      </w:tr>
    </w:tbl>
    <w:p w14:paraId="2BC22078">
      <w:pPr>
        <w:rPr>
          <w:rFonts w:ascii="宋体" w:hAnsi="宋体" w:eastAsia="宋体"/>
          <w:sz w:val="20"/>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E048">
    <w:pPr>
      <w:pStyle w:val="9"/>
      <w:rPr>
        <w:rFonts w:ascii="宋体" w:hAnsi="宋体" w:eastAsia="宋体"/>
      </w:rPr>
    </w:pPr>
    <w:r>
      <w:rPr>
        <w:rFonts w:hint="eastAsia" w:ascii="宋体" w:hAnsi="宋体" w:eastAsia="宋体"/>
      </w:rPr>
      <w:t>证券代码：6</w:t>
    </w:r>
    <w:r>
      <w:rPr>
        <w:rFonts w:ascii="宋体" w:hAnsi="宋体" w:eastAsia="宋体"/>
      </w:rPr>
      <w:t>88466</w:t>
    </w:r>
    <w:r>
      <w:rPr>
        <w:rFonts w:ascii="宋体" w:hAnsi="宋体" w:eastAsia="宋体"/>
      </w:rPr>
      <w:ptab w:relativeTo="margin" w:alignment="center" w:leader="none"/>
    </w:r>
    <w:r>
      <w:rPr>
        <w:rFonts w:ascii="宋体" w:hAnsi="宋体" w:eastAsia="宋体"/>
      </w:rPr>
      <w:ptab w:relativeTo="margin" w:alignment="right" w:leader="none"/>
    </w:r>
    <w:r>
      <w:rPr>
        <w:rFonts w:hint="eastAsia" w:ascii="宋体" w:hAnsi="宋体" w:eastAsia="宋体"/>
      </w:rPr>
      <w:t>证券简称：</w:t>
    </w:r>
    <w:r>
      <w:rPr>
        <w:rFonts w:hint="eastAsia" w:ascii="宋体" w:hAnsi="宋体" w:eastAsia="宋体"/>
        <w:lang w:eastAsia="zh-Hans"/>
      </w:rPr>
      <w:t>金科环境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8CEB9"/>
    <w:multiLevelType w:val="singleLevel"/>
    <w:tmpl w:val="40F8CE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000035D7"/>
    <w:rsid w:val="0001078F"/>
    <w:rsid w:val="00011C93"/>
    <w:rsid w:val="00014375"/>
    <w:rsid w:val="00027983"/>
    <w:rsid w:val="000442AF"/>
    <w:rsid w:val="000565EF"/>
    <w:rsid w:val="00056D76"/>
    <w:rsid w:val="00065DB5"/>
    <w:rsid w:val="00071508"/>
    <w:rsid w:val="00076595"/>
    <w:rsid w:val="00076BD8"/>
    <w:rsid w:val="00082E2E"/>
    <w:rsid w:val="00095562"/>
    <w:rsid w:val="000971E0"/>
    <w:rsid w:val="00097DEE"/>
    <w:rsid w:val="000A33AC"/>
    <w:rsid w:val="000B0FD6"/>
    <w:rsid w:val="000D1531"/>
    <w:rsid w:val="000D2076"/>
    <w:rsid w:val="000D632A"/>
    <w:rsid w:val="000E591F"/>
    <w:rsid w:val="000F1269"/>
    <w:rsid w:val="000F135B"/>
    <w:rsid w:val="000F2333"/>
    <w:rsid w:val="000F78F5"/>
    <w:rsid w:val="00101B38"/>
    <w:rsid w:val="0010454E"/>
    <w:rsid w:val="00104F5B"/>
    <w:rsid w:val="001127F4"/>
    <w:rsid w:val="00116CAB"/>
    <w:rsid w:val="001217AD"/>
    <w:rsid w:val="001221B2"/>
    <w:rsid w:val="00124A62"/>
    <w:rsid w:val="00125CBE"/>
    <w:rsid w:val="001276AE"/>
    <w:rsid w:val="0013199C"/>
    <w:rsid w:val="00133E52"/>
    <w:rsid w:val="00134AF2"/>
    <w:rsid w:val="001413A8"/>
    <w:rsid w:val="001546BD"/>
    <w:rsid w:val="00162C87"/>
    <w:rsid w:val="001648E4"/>
    <w:rsid w:val="001664B0"/>
    <w:rsid w:val="00172570"/>
    <w:rsid w:val="001A19CE"/>
    <w:rsid w:val="001A37B1"/>
    <w:rsid w:val="001A3BD7"/>
    <w:rsid w:val="001B0E3F"/>
    <w:rsid w:val="001B2F8E"/>
    <w:rsid w:val="001B4BAC"/>
    <w:rsid w:val="001B5391"/>
    <w:rsid w:val="001B66A6"/>
    <w:rsid w:val="001C295B"/>
    <w:rsid w:val="001C431B"/>
    <w:rsid w:val="001C6429"/>
    <w:rsid w:val="001D71AA"/>
    <w:rsid w:val="001E3743"/>
    <w:rsid w:val="001E4762"/>
    <w:rsid w:val="001E4764"/>
    <w:rsid w:val="001E55CE"/>
    <w:rsid w:val="001E616A"/>
    <w:rsid w:val="001E7A36"/>
    <w:rsid w:val="001F3569"/>
    <w:rsid w:val="001F610A"/>
    <w:rsid w:val="002015B6"/>
    <w:rsid w:val="00203F23"/>
    <w:rsid w:val="00207D0F"/>
    <w:rsid w:val="00216477"/>
    <w:rsid w:val="00217D95"/>
    <w:rsid w:val="00221BB6"/>
    <w:rsid w:val="00223383"/>
    <w:rsid w:val="002378D8"/>
    <w:rsid w:val="00242F65"/>
    <w:rsid w:val="00250DEF"/>
    <w:rsid w:val="002638A1"/>
    <w:rsid w:val="00263FE5"/>
    <w:rsid w:val="00270E7E"/>
    <w:rsid w:val="00277CB8"/>
    <w:rsid w:val="0028017B"/>
    <w:rsid w:val="0029105D"/>
    <w:rsid w:val="00293E9E"/>
    <w:rsid w:val="002A025F"/>
    <w:rsid w:val="002A0966"/>
    <w:rsid w:val="002B7308"/>
    <w:rsid w:val="002D26B4"/>
    <w:rsid w:val="002D42FE"/>
    <w:rsid w:val="002D518A"/>
    <w:rsid w:val="002E0EE2"/>
    <w:rsid w:val="002E273A"/>
    <w:rsid w:val="002E56B0"/>
    <w:rsid w:val="002F12C1"/>
    <w:rsid w:val="002F726C"/>
    <w:rsid w:val="002F7E43"/>
    <w:rsid w:val="00306E8D"/>
    <w:rsid w:val="003126C1"/>
    <w:rsid w:val="0033152E"/>
    <w:rsid w:val="00333EFB"/>
    <w:rsid w:val="00350BAF"/>
    <w:rsid w:val="00355AC8"/>
    <w:rsid w:val="00362922"/>
    <w:rsid w:val="00364AB3"/>
    <w:rsid w:val="00367F53"/>
    <w:rsid w:val="003716F9"/>
    <w:rsid w:val="00383C35"/>
    <w:rsid w:val="00390F65"/>
    <w:rsid w:val="00396B0C"/>
    <w:rsid w:val="003A01A7"/>
    <w:rsid w:val="003A4DDB"/>
    <w:rsid w:val="003B1E5C"/>
    <w:rsid w:val="003B30F1"/>
    <w:rsid w:val="003C0BAE"/>
    <w:rsid w:val="003C2E12"/>
    <w:rsid w:val="003D664C"/>
    <w:rsid w:val="003E61F0"/>
    <w:rsid w:val="003F2AE0"/>
    <w:rsid w:val="003F669C"/>
    <w:rsid w:val="00401373"/>
    <w:rsid w:val="00401817"/>
    <w:rsid w:val="0040374D"/>
    <w:rsid w:val="004104AE"/>
    <w:rsid w:val="004120D8"/>
    <w:rsid w:val="00425670"/>
    <w:rsid w:val="00432EED"/>
    <w:rsid w:val="0044643C"/>
    <w:rsid w:val="004523E5"/>
    <w:rsid w:val="004561F6"/>
    <w:rsid w:val="004575CD"/>
    <w:rsid w:val="0046353E"/>
    <w:rsid w:val="00473152"/>
    <w:rsid w:val="004914DB"/>
    <w:rsid w:val="0049469C"/>
    <w:rsid w:val="004A1210"/>
    <w:rsid w:val="004A4107"/>
    <w:rsid w:val="004A6937"/>
    <w:rsid w:val="004B143B"/>
    <w:rsid w:val="004C2DAC"/>
    <w:rsid w:val="004C3CCF"/>
    <w:rsid w:val="004D11BB"/>
    <w:rsid w:val="004D4B02"/>
    <w:rsid w:val="004F2B6C"/>
    <w:rsid w:val="004F4A5D"/>
    <w:rsid w:val="004F55FC"/>
    <w:rsid w:val="00507F63"/>
    <w:rsid w:val="005114CD"/>
    <w:rsid w:val="00513FBA"/>
    <w:rsid w:val="0052664D"/>
    <w:rsid w:val="0053128B"/>
    <w:rsid w:val="00533E1B"/>
    <w:rsid w:val="00543305"/>
    <w:rsid w:val="005445F5"/>
    <w:rsid w:val="00562D66"/>
    <w:rsid w:val="00565297"/>
    <w:rsid w:val="005839F5"/>
    <w:rsid w:val="005841A3"/>
    <w:rsid w:val="00586AB0"/>
    <w:rsid w:val="00587F6A"/>
    <w:rsid w:val="00590094"/>
    <w:rsid w:val="00590208"/>
    <w:rsid w:val="005978B8"/>
    <w:rsid w:val="005A1BCA"/>
    <w:rsid w:val="005A6AD7"/>
    <w:rsid w:val="005B37E3"/>
    <w:rsid w:val="005B4595"/>
    <w:rsid w:val="005B4BF0"/>
    <w:rsid w:val="005B55AC"/>
    <w:rsid w:val="005B6123"/>
    <w:rsid w:val="005B7952"/>
    <w:rsid w:val="005C0D11"/>
    <w:rsid w:val="005C6999"/>
    <w:rsid w:val="005D6956"/>
    <w:rsid w:val="005D76D0"/>
    <w:rsid w:val="005E1706"/>
    <w:rsid w:val="005E2633"/>
    <w:rsid w:val="006017D6"/>
    <w:rsid w:val="00601E1A"/>
    <w:rsid w:val="006139C4"/>
    <w:rsid w:val="00615609"/>
    <w:rsid w:val="0062025D"/>
    <w:rsid w:val="00622C51"/>
    <w:rsid w:val="00622CFD"/>
    <w:rsid w:val="00627061"/>
    <w:rsid w:val="0063081D"/>
    <w:rsid w:val="00630FA6"/>
    <w:rsid w:val="00633381"/>
    <w:rsid w:val="006364F2"/>
    <w:rsid w:val="00637038"/>
    <w:rsid w:val="00643A33"/>
    <w:rsid w:val="0065021A"/>
    <w:rsid w:val="00651F36"/>
    <w:rsid w:val="006555DD"/>
    <w:rsid w:val="0066615A"/>
    <w:rsid w:val="006726E0"/>
    <w:rsid w:val="00677480"/>
    <w:rsid w:val="00687211"/>
    <w:rsid w:val="00690C7A"/>
    <w:rsid w:val="00691884"/>
    <w:rsid w:val="0069765E"/>
    <w:rsid w:val="006A05AF"/>
    <w:rsid w:val="006A1B6A"/>
    <w:rsid w:val="006B415A"/>
    <w:rsid w:val="006B7B02"/>
    <w:rsid w:val="006C7BB1"/>
    <w:rsid w:val="006D0EB1"/>
    <w:rsid w:val="006D5B34"/>
    <w:rsid w:val="006D5F17"/>
    <w:rsid w:val="006E3DFD"/>
    <w:rsid w:val="006F1C9C"/>
    <w:rsid w:val="006F29C4"/>
    <w:rsid w:val="006F7643"/>
    <w:rsid w:val="007002D9"/>
    <w:rsid w:val="00703F23"/>
    <w:rsid w:val="00705B63"/>
    <w:rsid w:val="00707759"/>
    <w:rsid w:val="0072061B"/>
    <w:rsid w:val="007276CB"/>
    <w:rsid w:val="007328AA"/>
    <w:rsid w:val="00743CD2"/>
    <w:rsid w:val="00750EAB"/>
    <w:rsid w:val="007614AC"/>
    <w:rsid w:val="007718C6"/>
    <w:rsid w:val="0077224B"/>
    <w:rsid w:val="00774BFA"/>
    <w:rsid w:val="00780AB7"/>
    <w:rsid w:val="00790A89"/>
    <w:rsid w:val="007942F4"/>
    <w:rsid w:val="007A180F"/>
    <w:rsid w:val="007A76E3"/>
    <w:rsid w:val="007B1165"/>
    <w:rsid w:val="007B30B4"/>
    <w:rsid w:val="007B4C3F"/>
    <w:rsid w:val="007C3789"/>
    <w:rsid w:val="007C3D18"/>
    <w:rsid w:val="007C48E3"/>
    <w:rsid w:val="007C60DE"/>
    <w:rsid w:val="007C6146"/>
    <w:rsid w:val="007D1B32"/>
    <w:rsid w:val="007D6CD9"/>
    <w:rsid w:val="007E0003"/>
    <w:rsid w:val="007E556F"/>
    <w:rsid w:val="007F3E49"/>
    <w:rsid w:val="0080490D"/>
    <w:rsid w:val="00804BD5"/>
    <w:rsid w:val="00804DE4"/>
    <w:rsid w:val="008206D0"/>
    <w:rsid w:val="00823D01"/>
    <w:rsid w:val="008250DE"/>
    <w:rsid w:val="00827A8F"/>
    <w:rsid w:val="008324A0"/>
    <w:rsid w:val="00837FAC"/>
    <w:rsid w:val="008431D3"/>
    <w:rsid w:val="008534E5"/>
    <w:rsid w:val="00855380"/>
    <w:rsid w:val="00863245"/>
    <w:rsid w:val="00865BC6"/>
    <w:rsid w:val="00867E8E"/>
    <w:rsid w:val="00871ECC"/>
    <w:rsid w:val="00876EBC"/>
    <w:rsid w:val="00882EBD"/>
    <w:rsid w:val="00885B40"/>
    <w:rsid w:val="0089250B"/>
    <w:rsid w:val="008950FE"/>
    <w:rsid w:val="00895FCF"/>
    <w:rsid w:val="00897A9D"/>
    <w:rsid w:val="008B18A0"/>
    <w:rsid w:val="008B27FB"/>
    <w:rsid w:val="008B4B8F"/>
    <w:rsid w:val="008B58AC"/>
    <w:rsid w:val="008B741F"/>
    <w:rsid w:val="008C027A"/>
    <w:rsid w:val="008C1D2A"/>
    <w:rsid w:val="008C46C8"/>
    <w:rsid w:val="008C67F4"/>
    <w:rsid w:val="008D2F49"/>
    <w:rsid w:val="008D570A"/>
    <w:rsid w:val="008E3189"/>
    <w:rsid w:val="008F0280"/>
    <w:rsid w:val="008F1A39"/>
    <w:rsid w:val="008F2CFF"/>
    <w:rsid w:val="008F3912"/>
    <w:rsid w:val="008F63AD"/>
    <w:rsid w:val="00906893"/>
    <w:rsid w:val="0091193C"/>
    <w:rsid w:val="0092325E"/>
    <w:rsid w:val="00940F7C"/>
    <w:rsid w:val="009413A3"/>
    <w:rsid w:val="00943CF7"/>
    <w:rsid w:val="00963367"/>
    <w:rsid w:val="00965EAE"/>
    <w:rsid w:val="00970EF0"/>
    <w:rsid w:val="009955CA"/>
    <w:rsid w:val="00996753"/>
    <w:rsid w:val="009A34A7"/>
    <w:rsid w:val="009A6FE9"/>
    <w:rsid w:val="009B64F6"/>
    <w:rsid w:val="009C17C6"/>
    <w:rsid w:val="009C6013"/>
    <w:rsid w:val="009C70D1"/>
    <w:rsid w:val="009D2DAA"/>
    <w:rsid w:val="009D5683"/>
    <w:rsid w:val="009E3C92"/>
    <w:rsid w:val="009F5E4D"/>
    <w:rsid w:val="00A03FF6"/>
    <w:rsid w:val="00A06A5F"/>
    <w:rsid w:val="00A07BC9"/>
    <w:rsid w:val="00A136BA"/>
    <w:rsid w:val="00A31DAD"/>
    <w:rsid w:val="00A41632"/>
    <w:rsid w:val="00A44791"/>
    <w:rsid w:val="00A5109B"/>
    <w:rsid w:val="00A52F30"/>
    <w:rsid w:val="00A57596"/>
    <w:rsid w:val="00A62B73"/>
    <w:rsid w:val="00A644DC"/>
    <w:rsid w:val="00A656BE"/>
    <w:rsid w:val="00A6713B"/>
    <w:rsid w:val="00A7095B"/>
    <w:rsid w:val="00A7391B"/>
    <w:rsid w:val="00A747DF"/>
    <w:rsid w:val="00A80CB0"/>
    <w:rsid w:val="00A81C51"/>
    <w:rsid w:val="00A83BE0"/>
    <w:rsid w:val="00A97D70"/>
    <w:rsid w:val="00AB40C8"/>
    <w:rsid w:val="00AC6DD6"/>
    <w:rsid w:val="00AC7277"/>
    <w:rsid w:val="00AC76C9"/>
    <w:rsid w:val="00AD3A09"/>
    <w:rsid w:val="00AE09CC"/>
    <w:rsid w:val="00AE3BEF"/>
    <w:rsid w:val="00AE5C21"/>
    <w:rsid w:val="00AE6E7E"/>
    <w:rsid w:val="00B06C95"/>
    <w:rsid w:val="00B10A42"/>
    <w:rsid w:val="00B161D3"/>
    <w:rsid w:val="00B2287F"/>
    <w:rsid w:val="00B306A5"/>
    <w:rsid w:val="00B318EF"/>
    <w:rsid w:val="00B36D64"/>
    <w:rsid w:val="00B42F3D"/>
    <w:rsid w:val="00B516CB"/>
    <w:rsid w:val="00B53E6C"/>
    <w:rsid w:val="00B541EF"/>
    <w:rsid w:val="00B56783"/>
    <w:rsid w:val="00B62825"/>
    <w:rsid w:val="00B63392"/>
    <w:rsid w:val="00B641FD"/>
    <w:rsid w:val="00B7558D"/>
    <w:rsid w:val="00B76ECC"/>
    <w:rsid w:val="00B91F5B"/>
    <w:rsid w:val="00BA4F14"/>
    <w:rsid w:val="00BA6751"/>
    <w:rsid w:val="00BB0085"/>
    <w:rsid w:val="00BC0989"/>
    <w:rsid w:val="00BC1550"/>
    <w:rsid w:val="00BC7B87"/>
    <w:rsid w:val="00BD044B"/>
    <w:rsid w:val="00BD2790"/>
    <w:rsid w:val="00BE00B1"/>
    <w:rsid w:val="00BE0EED"/>
    <w:rsid w:val="00BF2AC6"/>
    <w:rsid w:val="00BF603E"/>
    <w:rsid w:val="00BF6A58"/>
    <w:rsid w:val="00C01B19"/>
    <w:rsid w:val="00C036D6"/>
    <w:rsid w:val="00C038FE"/>
    <w:rsid w:val="00C051EE"/>
    <w:rsid w:val="00C05792"/>
    <w:rsid w:val="00C0724F"/>
    <w:rsid w:val="00C15B17"/>
    <w:rsid w:val="00C15CD5"/>
    <w:rsid w:val="00C165F4"/>
    <w:rsid w:val="00C24E88"/>
    <w:rsid w:val="00C253D9"/>
    <w:rsid w:val="00C260C1"/>
    <w:rsid w:val="00C3257E"/>
    <w:rsid w:val="00C35DFE"/>
    <w:rsid w:val="00C500E8"/>
    <w:rsid w:val="00C51214"/>
    <w:rsid w:val="00C515F1"/>
    <w:rsid w:val="00C64711"/>
    <w:rsid w:val="00C71E0C"/>
    <w:rsid w:val="00C73F21"/>
    <w:rsid w:val="00C93138"/>
    <w:rsid w:val="00C93874"/>
    <w:rsid w:val="00C95507"/>
    <w:rsid w:val="00CA05E7"/>
    <w:rsid w:val="00CA4DB0"/>
    <w:rsid w:val="00CA5C16"/>
    <w:rsid w:val="00CC1830"/>
    <w:rsid w:val="00CC27F0"/>
    <w:rsid w:val="00CC6701"/>
    <w:rsid w:val="00CE2BF6"/>
    <w:rsid w:val="00CE311C"/>
    <w:rsid w:val="00CE5AD1"/>
    <w:rsid w:val="00CF09B9"/>
    <w:rsid w:val="00CF13D7"/>
    <w:rsid w:val="00CF5DAF"/>
    <w:rsid w:val="00D105AF"/>
    <w:rsid w:val="00D11961"/>
    <w:rsid w:val="00D15234"/>
    <w:rsid w:val="00D159F1"/>
    <w:rsid w:val="00D172E2"/>
    <w:rsid w:val="00D20A01"/>
    <w:rsid w:val="00D21B68"/>
    <w:rsid w:val="00D232D2"/>
    <w:rsid w:val="00D26244"/>
    <w:rsid w:val="00D26DBF"/>
    <w:rsid w:val="00D341FD"/>
    <w:rsid w:val="00D34471"/>
    <w:rsid w:val="00D34A33"/>
    <w:rsid w:val="00D3615F"/>
    <w:rsid w:val="00D406DE"/>
    <w:rsid w:val="00D41DAA"/>
    <w:rsid w:val="00D433F3"/>
    <w:rsid w:val="00D517DB"/>
    <w:rsid w:val="00D6476F"/>
    <w:rsid w:val="00D6613A"/>
    <w:rsid w:val="00D706B5"/>
    <w:rsid w:val="00D81EAF"/>
    <w:rsid w:val="00D84BA2"/>
    <w:rsid w:val="00D85AF2"/>
    <w:rsid w:val="00D90E2C"/>
    <w:rsid w:val="00D96FF4"/>
    <w:rsid w:val="00D972CA"/>
    <w:rsid w:val="00DA1B06"/>
    <w:rsid w:val="00DA3DB3"/>
    <w:rsid w:val="00DC13E5"/>
    <w:rsid w:val="00DC16A6"/>
    <w:rsid w:val="00DC49DF"/>
    <w:rsid w:val="00DC7823"/>
    <w:rsid w:val="00DD1361"/>
    <w:rsid w:val="00DD4AC4"/>
    <w:rsid w:val="00DF6423"/>
    <w:rsid w:val="00E00594"/>
    <w:rsid w:val="00E0612D"/>
    <w:rsid w:val="00E11464"/>
    <w:rsid w:val="00E20781"/>
    <w:rsid w:val="00E425A1"/>
    <w:rsid w:val="00E42829"/>
    <w:rsid w:val="00E448D9"/>
    <w:rsid w:val="00E456C1"/>
    <w:rsid w:val="00E47721"/>
    <w:rsid w:val="00E77D85"/>
    <w:rsid w:val="00E87A78"/>
    <w:rsid w:val="00E90D0D"/>
    <w:rsid w:val="00EB14B2"/>
    <w:rsid w:val="00EB22D9"/>
    <w:rsid w:val="00EB2D2B"/>
    <w:rsid w:val="00EB62E3"/>
    <w:rsid w:val="00EC0A6E"/>
    <w:rsid w:val="00EE2025"/>
    <w:rsid w:val="00EE6956"/>
    <w:rsid w:val="00EF6AEF"/>
    <w:rsid w:val="00F0175E"/>
    <w:rsid w:val="00F14DF7"/>
    <w:rsid w:val="00F179C2"/>
    <w:rsid w:val="00F214CD"/>
    <w:rsid w:val="00F229D9"/>
    <w:rsid w:val="00F27C2E"/>
    <w:rsid w:val="00F302D5"/>
    <w:rsid w:val="00F32CB8"/>
    <w:rsid w:val="00F340D0"/>
    <w:rsid w:val="00F542E4"/>
    <w:rsid w:val="00F55D07"/>
    <w:rsid w:val="00F56CF5"/>
    <w:rsid w:val="00F57369"/>
    <w:rsid w:val="00F70CA7"/>
    <w:rsid w:val="00F71553"/>
    <w:rsid w:val="00F740C3"/>
    <w:rsid w:val="00F75341"/>
    <w:rsid w:val="00F85411"/>
    <w:rsid w:val="00F87C48"/>
    <w:rsid w:val="00F93EE2"/>
    <w:rsid w:val="00F94A55"/>
    <w:rsid w:val="00FA432B"/>
    <w:rsid w:val="00FA73EB"/>
    <w:rsid w:val="00FB0864"/>
    <w:rsid w:val="00FB19DB"/>
    <w:rsid w:val="00FB3E0E"/>
    <w:rsid w:val="00FB5338"/>
    <w:rsid w:val="00FE3D97"/>
    <w:rsid w:val="00FF35B4"/>
    <w:rsid w:val="00FF44A8"/>
    <w:rsid w:val="018E79D1"/>
    <w:rsid w:val="028130F9"/>
    <w:rsid w:val="02921956"/>
    <w:rsid w:val="03126D81"/>
    <w:rsid w:val="034321D6"/>
    <w:rsid w:val="037E7D41"/>
    <w:rsid w:val="038A1E69"/>
    <w:rsid w:val="03B66504"/>
    <w:rsid w:val="04137DFA"/>
    <w:rsid w:val="05FB7B8F"/>
    <w:rsid w:val="076F3599"/>
    <w:rsid w:val="07FF58E5"/>
    <w:rsid w:val="08397703"/>
    <w:rsid w:val="08F0070A"/>
    <w:rsid w:val="0A105BB1"/>
    <w:rsid w:val="0A635827"/>
    <w:rsid w:val="0A7333A0"/>
    <w:rsid w:val="0AB067D0"/>
    <w:rsid w:val="0ABA32CD"/>
    <w:rsid w:val="0AC92FC0"/>
    <w:rsid w:val="0B2E5519"/>
    <w:rsid w:val="0B9E3927"/>
    <w:rsid w:val="0BB7550F"/>
    <w:rsid w:val="0BD0037E"/>
    <w:rsid w:val="0CBE467B"/>
    <w:rsid w:val="0CC021A1"/>
    <w:rsid w:val="0CCE2B10"/>
    <w:rsid w:val="0CF71BB6"/>
    <w:rsid w:val="104430E9"/>
    <w:rsid w:val="10582315"/>
    <w:rsid w:val="10EA0134"/>
    <w:rsid w:val="110C2FB3"/>
    <w:rsid w:val="131F376E"/>
    <w:rsid w:val="13837789"/>
    <w:rsid w:val="138E4DA7"/>
    <w:rsid w:val="13EB3FA7"/>
    <w:rsid w:val="13F617A7"/>
    <w:rsid w:val="143C1C0B"/>
    <w:rsid w:val="14F25809"/>
    <w:rsid w:val="15001CD4"/>
    <w:rsid w:val="156C1118"/>
    <w:rsid w:val="15C251DC"/>
    <w:rsid w:val="15E0651D"/>
    <w:rsid w:val="15EB4733"/>
    <w:rsid w:val="1644258F"/>
    <w:rsid w:val="168F3833"/>
    <w:rsid w:val="178579C1"/>
    <w:rsid w:val="182A4579"/>
    <w:rsid w:val="18461C09"/>
    <w:rsid w:val="1A312930"/>
    <w:rsid w:val="1A43097D"/>
    <w:rsid w:val="1B245FF1"/>
    <w:rsid w:val="1B3B0DC7"/>
    <w:rsid w:val="1CAB61AD"/>
    <w:rsid w:val="1CCE39BD"/>
    <w:rsid w:val="1D1A02EF"/>
    <w:rsid w:val="1E4A2212"/>
    <w:rsid w:val="1E876FC3"/>
    <w:rsid w:val="1E9F35DC"/>
    <w:rsid w:val="1EB47F43"/>
    <w:rsid w:val="1F845C8A"/>
    <w:rsid w:val="1FCF12B9"/>
    <w:rsid w:val="204A0C14"/>
    <w:rsid w:val="204C04C4"/>
    <w:rsid w:val="20E3151B"/>
    <w:rsid w:val="20E97FF5"/>
    <w:rsid w:val="21A34113"/>
    <w:rsid w:val="21C62001"/>
    <w:rsid w:val="221E379A"/>
    <w:rsid w:val="22E66A75"/>
    <w:rsid w:val="233D5EA2"/>
    <w:rsid w:val="23454BFB"/>
    <w:rsid w:val="23627FFE"/>
    <w:rsid w:val="239A3F95"/>
    <w:rsid w:val="23DC1928"/>
    <w:rsid w:val="23F87E1D"/>
    <w:rsid w:val="24182F4A"/>
    <w:rsid w:val="253B75C0"/>
    <w:rsid w:val="257A0B00"/>
    <w:rsid w:val="259A582D"/>
    <w:rsid w:val="25BF7732"/>
    <w:rsid w:val="272C4530"/>
    <w:rsid w:val="27B2542E"/>
    <w:rsid w:val="284512D8"/>
    <w:rsid w:val="284970BE"/>
    <w:rsid w:val="2971584D"/>
    <w:rsid w:val="2B8E01D9"/>
    <w:rsid w:val="2C163734"/>
    <w:rsid w:val="2C2F6C5B"/>
    <w:rsid w:val="2C732934"/>
    <w:rsid w:val="2D2D6F87"/>
    <w:rsid w:val="2EB53028"/>
    <w:rsid w:val="2F0957D2"/>
    <w:rsid w:val="30C64EDF"/>
    <w:rsid w:val="313C4787"/>
    <w:rsid w:val="315A5F63"/>
    <w:rsid w:val="31887AB3"/>
    <w:rsid w:val="31C74AB4"/>
    <w:rsid w:val="31E05C3F"/>
    <w:rsid w:val="3239599B"/>
    <w:rsid w:val="323D48CA"/>
    <w:rsid w:val="3267118D"/>
    <w:rsid w:val="32F26CA9"/>
    <w:rsid w:val="335858DF"/>
    <w:rsid w:val="33774B00"/>
    <w:rsid w:val="337F0EBB"/>
    <w:rsid w:val="338D1533"/>
    <w:rsid w:val="33BD3E8D"/>
    <w:rsid w:val="348A654E"/>
    <w:rsid w:val="34A01C20"/>
    <w:rsid w:val="35137922"/>
    <w:rsid w:val="35B5229C"/>
    <w:rsid w:val="35EF5721"/>
    <w:rsid w:val="37807D45"/>
    <w:rsid w:val="37976071"/>
    <w:rsid w:val="381B2168"/>
    <w:rsid w:val="397E3EE0"/>
    <w:rsid w:val="39BB15AB"/>
    <w:rsid w:val="3AB143E9"/>
    <w:rsid w:val="3B781D15"/>
    <w:rsid w:val="3C286585"/>
    <w:rsid w:val="3D51281E"/>
    <w:rsid w:val="3D8E3A72"/>
    <w:rsid w:val="3DF77869"/>
    <w:rsid w:val="3F0227F8"/>
    <w:rsid w:val="3FC8440B"/>
    <w:rsid w:val="3FEB51AC"/>
    <w:rsid w:val="408A03D2"/>
    <w:rsid w:val="40BD4BD4"/>
    <w:rsid w:val="40BE2FFC"/>
    <w:rsid w:val="41033FED"/>
    <w:rsid w:val="41B2577E"/>
    <w:rsid w:val="421B33FA"/>
    <w:rsid w:val="42294FF0"/>
    <w:rsid w:val="429A07C3"/>
    <w:rsid w:val="42BF4E51"/>
    <w:rsid w:val="431E13F4"/>
    <w:rsid w:val="4326474D"/>
    <w:rsid w:val="43296A35"/>
    <w:rsid w:val="436865A2"/>
    <w:rsid w:val="43F851E1"/>
    <w:rsid w:val="44A04633"/>
    <w:rsid w:val="451D72EC"/>
    <w:rsid w:val="454B049A"/>
    <w:rsid w:val="45D63A33"/>
    <w:rsid w:val="45F813BF"/>
    <w:rsid w:val="469B0FAE"/>
    <w:rsid w:val="46B1432D"/>
    <w:rsid w:val="47405F0D"/>
    <w:rsid w:val="47411B55"/>
    <w:rsid w:val="479954ED"/>
    <w:rsid w:val="47DB3DAD"/>
    <w:rsid w:val="491737F8"/>
    <w:rsid w:val="4970793B"/>
    <w:rsid w:val="49795019"/>
    <w:rsid w:val="49883A05"/>
    <w:rsid w:val="4994021E"/>
    <w:rsid w:val="4A635BBB"/>
    <w:rsid w:val="4ACF53D6"/>
    <w:rsid w:val="4ADF76BB"/>
    <w:rsid w:val="4AF3760A"/>
    <w:rsid w:val="4B06354E"/>
    <w:rsid w:val="4B484601"/>
    <w:rsid w:val="4B644064"/>
    <w:rsid w:val="4BC95DE3"/>
    <w:rsid w:val="4BD14343"/>
    <w:rsid w:val="4BE218A0"/>
    <w:rsid w:val="4C2630C7"/>
    <w:rsid w:val="4C406A42"/>
    <w:rsid w:val="4C975D73"/>
    <w:rsid w:val="4CFB211F"/>
    <w:rsid w:val="4E5263F6"/>
    <w:rsid w:val="4E710F72"/>
    <w:rsid w:val="4E8D1FA1"/>
    <w:rsid w:val="4F102F31"/>
    <w:rsid w:val="4F2D0697"/>
    <w:rsid w:val="501D04CE"/>
    <w:rsid w:val="5043693E"/>
    <w:rsid w:val="51EE6435"/>
    <w:rsid w:val="5200299A"/>
    <w:rsid w:val="52342BF7"/>
    <w:rsid w:val="52A03BD4"/>
    <w:rsid w:val="53195734"/>
    <w:rsid w:val="532A16EF"/>
    <w:rsid w:val="541F4CBA"/>
    <w:rsid w:val="54AD6A7C"/>
    <w:rsid w:val="54E35FFA"/>
    <w:rsid w:val="54FB51DA"/>
    <w:rsid w:val="553857AD"/>
    <w:rsid w:val="558B13B2"/>
    <w:rsid w:val="5662719C"/>
    <w:rsid w:val="56D93B58"/>
    <w:rsid w:val="58964AAD"/>
    <w:rsid w:val="58AE63FA"/>
    <w:rsid w:val="5979517E"/>
    <w:rsid w:val="59E44380"/>
    <w:rsid w:val="5A281AE1"/>
    <w:rsid w:val="5ACC12DE"/>
    <w:rsid w:val="5AD07876"/>
    <w:rsid w:val="5BCE57BB"/>
    <w:rsid w:val="5BFD3E45"/>
    <w:rsid w:val="5C6C0922"/>
    <w:rsid w:val="5C843150"/>
    <w:rsid w:val="5D506DDA"/>
    <w:rsid w:val="5E631F59"/>
    <w:rsid w:val="5E8D3FB3"/>
    <w:rsid w:val="5F5B0FFC"/>
    <w:rsid w:val="5F724D3E"/>
    <w:rsid w:val="5F977ABF"/>
    <w:rsid w:val="601F4F1B"/>
    <w:rsid w:val="61F25ACE"/>
    <w:rsid w:val="62361E5F"/>
    <w:rsid w:val="624A76B8"/>
    <w:rsid w:val="62775FD3"/>
    <w:rsid w:val="62E70F5B"/>
    <w:rsid w:val="631F430C"/>
    <w:rsid w:val="63683E26"/>
    <w:rsid w:val="63DC64F9"/>
    <w:rsid w:val="64C319A4"/>
    <w:rsid w:val="64DF660A"/>
    <w:rsid w:val="65166422"/>
    <w:rsid w:val="67592B2E"/>
    <w:rsid w:val="67DC2FF0"/>
    <w:rsid w:val="67F31335"/>
    <w:rsid w:val="6821251A"/>
    <w:rsid w:val="683B7D82"/>
    <w:rsid w:val="68AA7102"/>
    <w:rsid w:val="69014CB8"/>
    <w:rsid w:val="690C4557"/>
    <w:rsid w:val="694240A7"/>
    <w:rsid w:val="69BE3E7E"/>
    <w:rsid w:val="6ADA0C61"/>
    <w:rsid w:val="6B3B5FB2"/>
    <w:rsid w:val="6BAA5389"/>
    <w:rsid w:val="6C2F6884"/>
    <w:rsid w:val="6C9F4AA4"/>
    <w:rsid w:val="6CFF4E40"/>
    <w:rsid w:val="6D716441"/>
    <w:rsid w:val="6D7A79CA"/>
    <w:rsid w:val="6FF9E366"/>
    <w:rsid w:val="70A408DB"/>
    <w:rsid w:val="71414DC4"/>
    <w:rsid w:val="718A5D23"/>
    <w:rsid w:val="725C51B7"/>
    <w:rsid w:val="74225BD5"/>
    <w:rsid w:val="750722DF"/>
    <w:rsid w:val="764A76DD"/>
    <w:rsid w:val="771F0CBB"/>
    <w:rsid w:val="77485275"/>
    <w:rsid w:val="7775656E"/>
    <w:rsid w:val="77CC4815"/>
    <w:rsid w:val="78393FFF"/>
    <w:rsid w:val="7869130D"/>
    <w:rsid w:val="78760DAF"/>
    <w:rsid w:val="78B06666"/>
    <w:rsid w:val="79F96A09"/>
    <w:rsid w:val="7A4138AF"/>
    <w:rsid w:val="7A8F7F06"/>
    <w:rsid w:val="7AA02113"/>
    <w:rsid w:val="7BA75723"/>
    <w:rsid w:val="7BE6705F"/>
    <w:rsid w:val="7C377F63"/>
    <w:rsid w:val="7C6D0F22"/>
    <w:rsid w:val="7CEC5AE4"/>
    <w:rsid w:val="7E8F153A"/>
    <w:rsid w:val="7EAB19DB"/>
    <w:rsid w:val="7EF42A2E"/>
    <w:rsid w:val="7EF50554"/>
    <w:rsid w:val="7F7D6EC7"/>
    <w:rsid w:val="7F9D4713"/>
    <w:rsid w:val="CEEFA1B1"/>
    <w:rsid w:val="F6633EF2"/>
    <w:rsid w:val="FFFD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alloon Text"/>
    <w:basedOn w:val="1"/>
    <w:link w:val="23"/>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link w:val="25"/>
    <w:qFormat/>
    <w:uiPriority w:val="10"/>
    <w:pPr>
      <w:spacing w:before="120" w:after="120"/>
      <w:ind w:firstLine="200" w:firstLineChars="200"/>
      <w:jc w:val="left"/>
      <w:outlineLvl w:val="0"/>
    </w:pPr>
    <w:rPr>
      <w:rFonts w:asciiTheme="majorHAnsi" w:hAnsiTheme="majorHAnsi" w:cstheme="majorBidi"/>
      <w:bCs/>
      <w:szCs w:val="32"/>
    </w:rPr>
  </w:style>
  <w:style w:type="paragraph" w:styleId="12">
    <w:name w:val="annotation subject"/>
    <w:basedOn w:val="6"/>
    <w:next w:val="6"/>
    <w:link w:val="27"/>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rPr>
  </w:style>
  <w:style w:type="character" w:styleId="17">
    <w:name w:val="Hyperlink"/>
    <w:basedOn w:val="15"/>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页脚 字符"/>
    <w:basedOn w:val="15"/>
    <w:link w:val="8"/>
    <w:qFormat/>
    <w:uiPriority w:val="99"/>
    <w:rPr>
      <w:sz w:val="18"/>
      <w:szCs w:val="18"/>
    </w:rPr>
  </w:style>
  <w:style w:type="paragraph" w:customStyle="1" w:styleId="20">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table" w:customStyle="1" w:styleId="21">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页眉 字符"/>
    <w:basedOn w:val="15"/>
    <w:link w:val="9"/>
    <w:qFormat/>
    <w:uiPriority w:val="99"/>
    <w:rPr>
      <w:sz w:val="18"/>
      <w:szCs w:val="18"/>
    </w:rPr>
  </w:style>
  <w:style w:type="character" w:customStyle="1" w:styleId="23">
    <w:name w:val="批注框文本 字符"/>
    <w:basedOn w:val="15"/>
    <w:link w:val="7"/>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字符"/>
    <w:basedOn w:val="15"/>
    <w:link w:val="11"/>
    <w:qFormat/>
    <w:uiPriority w:val="10"/>
    <w:rPr>
      <w:rFonts w:asciiTheme="majorHAnsi" w:hAnsiTheme="majorHAnsi" w:cstheme="majorBidi"/>
      <w:bCs/>
      <w:szCs w:val="32"/>
    </w:rPr>
  </w:style>
  <w:style w:type="character" w:customStyle="1" w:styleId="26">
    <w:name w:val="批注文字 字符"/>
    <w:basedOn w:val="15"/>
    <w:link w:val="6"/>
    <w:semiHidden/>
    <w:qFormat/>
    <w:uiPriority w:val="99"/>
    <w:rPr>
      <w:kern w:val="2"/>
      <w:sz w:val="21"/>
      <w:szCs w:val="22"/>
    </w:rPr>
  </w:style>
  <w:style w:type="character" w:customStyle="1" w:styleId="27">
    <w:name w:val="批注主题 字符"/>
    <w:basedOn w:val="26"/>
    <w:link w:val="12"/>
    <w:semiHidden/>
    <w:qFormat/>
    <w:uiPriority w:val="99"/>
    <w:rPr>
      <w:b/>
      <w:bCs/>
      <w:kern w:val="2"/>
      <w:sz w:val="21"/>
      <w:szCs w:val="22"/>
    </w:rPr>
  </w:style>
  <w:style w:type="paragraph" w:customStyle="1" w:styleId="28">
    <w:name w:val="6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a16ce497-df9c-45f5-a2da-de96db1286f4</errorID>
      <errorWord>-</errorWord>
      <group>L1_Format</group>
      <groupName>格式问题</groupName>
      <ability>L2_HalfPunc</ability>
      <abilityName>全半角检查</abilityName>
      <candidateList>
        <item>－</item>
      </candidateList>
      <explain>文本全半角错误。</explain>
      <paraID>6EEF30E1</paraID>
      <start>147</start>
      <end>148</end>
      <status>unmodified</status>
      <modifiedWord/>
      <trackRevisions>false</trackRevisions>
    </reviewItem>
    <reviewItem>
      <errorID>c99934f0-2857-4bb0-bd40-fd162b4810bc</errorID>
      <errorWord>,</errorWord>
      <group>L1_Format</group>
      <groupName>格式问题</groupName>
      <ability>L2_HalfPunc</ability>
      <abilityName>全半角检查</abilityName>
      <candidateList>
        <item>，</item>
      </candidateList>
      <explain>文本全半角错误。</explain>
      <paraID>7D5B073E</paraID>
      <start>7</start>
      <end>8</end>
      <status>unmodified</status>
      <modifiedWord/>
      <trackRevisions>false</trackRevisions>
    </reviewItem>
    <reviewItem>
      <errorID>f3c77741-9494-4e82-b683-73167978c862</errorID>
      <errorWord>-</errorWord>
      <group>L1_Format</group>
      <groupName>格式问题</groupName>
      <ability>L2_HalfPunc</ability>
      <abilityName>全半角检查</abilityName>
      <candidateList>
        <item>－</item>
      </candidateList>
      <explain>文本全半角错误。</explain>
      <paraID>7D5B073E</paraID>
      <start>21</start>
      <end>22</end>
      <status>unmodified</status>
      <modifiedWord/>
      <trackRevisions>false</trackRevisions>
    </reviewItem>
    <reviewItem>
      <errorID>d76a39b3-bc28-4cb7-aabd-ad30cebbe60e</errorID>
      <errorWord>进入到</errorWord>
      <group>L1_Word</group>
      <groupName>字词问题</groupName>
      <ability>L2_Typo</ability>
      <abilityName>字词错误</abilityName>
      <candidateList>
        <item>进入</item>
      </candidateList>
      <explain>〈动〉支进到某个范围或某个时期里：～学校｜～新阶段◇～角色。</explain>
      <paraID>6805EC63</paraID>
      <start>70</start>
      <end>73</end>
      <status>unmodified</status>
      <modifiedWord/>
      <trackRevisions>false</trackRevisions>
    </reviewItem>
    <reviewItem>
      <errorID>ef4fd1df-cfec-43fb-8c16-0ecc24b7bd3f</errorID>
      <errorWord>：</errorWord>
      <group>L1_Word</group>
      <groupName>字词问题</groupName>
      <ability>L2_Typo</ability>
      <abilityName>字词错误</abilityName>
      <candidateList>
        <item>：在</item>
      </candidateList>
      <explain/>
      <paraID>60643196</paraID>
      <start>70</start>
      <end>71</end>
      <status>unmodified</status>
      <modifiedWord/>
      <trackRevisions>false</trackRevisions>
    </reviewItem>
    <reviewItem>
      <errorID>79012575-45f9-44eb-baad-490aa729c2b6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6E92E3C</paraID>
      <start>0</start>
      <end>2</end>
      <status>unmodified</status>
      <modifiedWord/>
      <trackRevisions>false</trackRevisions>
    </reviewItem>
    <reviewItem>
      <errorID>52a02663-1698-463c-9709-9c3bcc3f0e60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589036A8</paraID>
      <start>0</start>
      <end>2</end>
      <status>unmodified</status>
      <modifiedWord/>
      <trackRevisions>false</trackRevisions>
    </reviewItem>
    <reviewItem>
      <errorID>37902ae3-54b4-48f8-bde5-5ab5f1da0c0e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684C868D</paraID>
      <start>0</start>
      <end>2</end>
      <status>unmodified</status>
      <modifiedWord/>
      <trackRevisions>false</trackRevisions>
    </reviewItem>
    <reviewItem>
      <errorID>f77802db-4269-4c92-9e29-f10522ef17d3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5F40A1F6</paraID>
      <start>0</start>
      <end>2</end>
      <status>unmodified</status>
      <modifiedWord/>
      <trackRevisions>false</trackRevisions>
    </reviewItem>
    <reviewItem>
      <errorID>1050e4b4-3825-4162-8547-2e49e2451081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6699E215</paraID>
      <start>0</start>
      <end>2</end>
      <status>unmodified</status>
      <modifiedWord/>
      <trackRevisions>false</trackRevisions>
    </reviewItem>
    <reviewItem>
      <errorID>6e85a300-f7ef-43ae-8d56-0f980d2758f9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4C8E3C28</paraID>
      <start>0</start>
      <end>2</end>
      <status>unmodified</status>
      <modifiedWord/>
      <trackRevisions>false</trackRevisions>
    </reviewItem>
    <reviewItem>
      <errorID>2f161c28-39ed-41e7-a5ef-2282361cfdab</errorID>
      <errorWord>价</errorWord>
      <group>L1_Word</group>
      <groupName>字词问题</groupName>
      <ability>L2_Typo</ability>
      <abilityName>字词错误</abilityName>
      <candidateList>
        <item>价格</item>
      </candidateList>
      <explain/>
      <paraID>301C9E59</paraID>
      <start>101</start>
      <end>102</end>
      <status>unmodified</status>
      <modifiedWord/>
      <trackRevisions>false</trackRevisions>
    </reviewItem>
    <reviewItem>
      <errorID>f1023756-0980-4f9c-aaaa-7b97ce47f031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2893A183</paraID>
      <start>0</start>
      <end>2</end>
      <status>unmodified</status>
      <modifiedWord/>
      <trackRevisions>false</trackRevisions>
    </reviewItem>
    <reviewItem>
      <errorID>01c8d5c0-9d63-4749-8f55-8dccd8c7da90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5B92322D</paraID>
      <start>0</start>
      <end>2</end>
      <status>unmodified</status>
      <modifiedWord/>
      <trackRevisions>false</trackRevisions>
    </reviewItem>
    <reviewItem>
      <errorID>14d67384-a39e-4fe5-a335-d12657689b63</errorID>
      <errorWord>(</errorWord>
      <group>L1_Format</group>
      <groupName>格式问题</groupName>
      <ability>L2_HalfPunc</ability>
      <abilityName>全半角检查</abilityName>
      <candidateList>
        <item>（</item>
      </candidateList>
      <explain>文本全半角错误。</explain>
      <paraID>18FD6C66</paraID>
      <start>20</start>
      <end>21</end>
      <status>unmodified</status>
      <modifiedWord/>
      <trackRevisions>false</trackRevisions>
    </reviewItem>
    <reviewItem>
      <errorID>17ec8dc1-a5c2-42f8-bf21-59291d40b654</errorID>
      <errorWord>)</errorWord>
      <group>L1_Format</group>
      <groupName>格式问题</groupName>
      <ability>L2_HalfPunc</ability>
      <abilityName>全半角检查</abilityName>
      <candidateList>
        <item>）</item>
      </candidateList>
      <explain>文本全半角错误。</explain>
      <paraID>18FD6C66</paraID>
      <start>24</start>
      <end>25</end>
      <status>unmodified</status>
      <modifiedWord/>
      <trackRevisions>false</trackRevisions>
    </reviewItem>
    <reviewItem>
      <errorID>9bd0eb40-bb0b-481b-99bb-5f07cec4d01e</errorID>
      <errorWord>,</errorWord>
      <group>L1_Format</group>
      <groupName>格式问题</groupName>
      <ability>L2_HalfPunc</ability>
      <abilityName>全半角检查</abilityName>
      <candidateList>
        <item>，</item>
      </candidateList>
      <explain>文本全半角错误。</explain>
      <paraID>18FD6C66</paraID>
      <start>209</start>
      <end>210</end>
      <status>unmodified</status>
      <modifiedWord/>
      <trackRevisions>false</trackRevisions>
    </reviewItem>
    <reviewItem>
      <errorID>793f10f1-f98a-4265-a6ea-87a196911cb7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38E4A6AF</paraID>
      <start>0</start>
      <end>2</end>
      <status>unmodified</status>
      <modifiedWord/>
      <trackRevisions>false</trackRevisions>
    </reviewItem>
    <reviewItem>
      <errorID>a21031db-8d91-4ca7-9f99-5c00f30e5ff0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3DF8BBB8</paraID>
      <start>0</start>
      <end>3</end>
      <status>unmodified</status>
      <modifiedWord/>
      <trackRevisions>false</trackRevisions>
    </reviewItem>
    <reviewItem>
      <errorID>66550b7f-b712-4671-8bd0-0dfdac823fd9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2D936B6B</paraID>
      <start>0</start>
      <end>3</end>
      <status>unmodified</status>
      <modifiedWord/>
      <trackRevisions>false</trackRevisions>
    </reviewItem>
    <reviewItem>
      <errorID>ae5ee567-a159-4c03-8c3e-51b360710965</errorID>
      <errorWord>。；</errorWord>
      <group>L1_Punc</group>
      <groupName>标点问题</groupName>
      <ability>L2_Punc</ability>
      <abilityName>标点符号检查</abilityName>
      <candidateList>
        <item>。</item>
      </candidateList>
      <explain/>
      <paraID>25E21223</paraID>
      <start>68</start>
      <end>70</end>
      <status>unmodified</status>
      <modifiedWord/>
      <trackRevisions>false</trackRevisions>
    </reviewItem>
    <reviewItem>
      <errorID>7550be80-b5de-4401-84c2-c91a71118fb6</errorID>
      <errorWord>噪音</errorWord>
      <group>L1_Word</group>
      <groupName>字词问题</groupName>
      <ability>L2_Alias</ability>
      <abilityName>也作/曾用词</abilityName>
      <candidateList>
        <item>噪声</item>
      </candidateList>
      <explain>词汇[噪音]为不规范表述或旧称，其规范书面表述为[噪声]。</explain>
      <paraID>3A758B4F</paraID>
      <start>231</start>
      <end>233</end>
      <status>unmodified</status>
      <modifiedWord/>
      <trackRevisions>false</trackRevisions>
    </reviewItem>
    <reviewItem>
      <errorID>1501ab60-200c-40bd-a006-49475d704d9a</errorID>
      <errorWord>噪音</errorWord>
      <group>L1_Word</group>
      <groupName>字词问题</groupName>
      <ability>L2_Alias</ability>
      <abilityName>也作/曾用词</abilityName>
      <candidateList>
        <item>噪声</item>
      </candidateList>
      <explain>词汇[噪音]为不规范表述或旧称，其规范书面表述为[噪声]。</explain>
      <paraID>3A758B4F</paraID>
      <start>252</start>
      <end>254</end>
      <status>unmodified</status>
      <modifiedWord/>
      <trackRevisions>false</trackRevisions>
    </reviewItem>
  </reviewItems>
  <config/>
</contractReview>
</file>

<file path=customXml/itemProps1.xml><?xml version="1.0" encoding="utf-8"?>
<ds:datastoreItem xmlns:ds="http://schemas.openxmlformats.org/officeDocument/2006/customXml" ds:itemID="{94E44456-92EA-4044-827D-0B9D73C4EC90}">
  <ds:schemaRefs/>
</ds:datastoreItem>
</file>

<file path=customXml/itemProps2.xml><?xml version="1.0" encoding="utf-8"?>
<ds:datastoreItem xmlns:ds="http://schemas.openxmlformats.org/officeDocument/2006/customXml" ds:itemID="{338659ba-66f4-45a6-804a-93ae7ee4bcd9}">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5105</Words>
  <Characters>5340</Characters>
  <Lines>52</Lines>
  <Paragraphs>14</Paragraphs>
  <TotalTime>45</TotalTime>
  <ScaleCrop>false</ScaleCrop>
  <LinksUpToDate>false</LinksUpToDate>
  <CharactersWithSpaces>5389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2023-05-06T03:21:00Z</dcterms:created>
  <dc:creator>mao olivia</dc:creator>
  <cp:lastModifiedBy>Z</cp:lastModifiedBy>
  <cp:lastPrinted>2026-05-09T07:52:00Z</cp:lastPrinted>
  <dcterms:modified xsi:type="dcterms:W3CDTF">2026-05-11T09:58:37Z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eyJoZGlkIjoiZmY4MTAyOGUxMjRhZDJjMzg1MjZlYzZkNzk5NmI3ZWQiLCJ1c2VySWQiOiIzODI0ODA0MDcifQ==</vt:lpwstr>
  </property>
  <property fmtid="{D5CDD505-2E9C-101B-9397-08002B2CF9AE}" pid="4" name="ICV">
    <vt:lpwstr>BEB4A39D87D74692B819E220F31EAAB6_12</vt:lpwstr>
  </property>
</Properties>
</file>