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2BC95">
      <w:pPr>
        <w:rPr>
          <w:rFonts w:hint="default" w:ascii="Times New Roman" w:hAnsi="Times New Roman" w:eastAsia="宋体" w:cs="Times New Roman"/>
          <w:b/>
          <w:szCs w:val="21"/>
        </w:rPr>
      </w:pPr>
      <w:r>
        <w:rPr>
          <w:rFonts w:hint="default" w:ascii="Times New Roman" w:hAnsi="Times New Roman" w:eastAsia="宋体" w:cs="Times New Roman"/>
          <w:b/>
          <w:szCs w:val="21"/>
        </w:rPr>
        <w:t>证券简称：盟科药业                                             证券代码：688373</w:t>
      </w:r>
    </w:p>
    <w:p w14:paraId="0159A31C">
      <w:pPr>
        <w:rPr>
          <w:rFonts w:hint="eastAsia" w:ascii="华文宋体" w:hAnsi="华文宋体" w:eastAsia="华文宋体"/>
        </w:rPr>
      </w:pPr>
    </w:p>
    <w:p w14:paraId="66D309C3">
      <w:pPr>
        <w:jc w:val="center"/>
        <w:rPr>
          <w:rFonts w:hint="eastAsia" w:ascii="宋体" w:hAnsi="宋体" w:eastAsia="宋体"/>
          <w:b/>
          <w:sz w:val="32"/>
          <w:szCs w:val="32"/>
        </w:rPr>
      </w:pPr>
      <w:r>
        <w:rPr>
          <w:rFonts w:hint="eastAsia" w:ascii="宋体" w:hAnsi="宋体" w:eastAsia="宋体"/>
          <w:b/>
          <w:sz w:val="32"/>
          <w:szCs w:val="32"/>
          <w:lang w:val="en-US" w:eastAsia="zh-CN"/>
        </w:rPr>
        <w:t>上海</w:t>
      </w:r>
      <w:r>
        <w:rPr>
          <w:rFonts w:hint="eastAsia" w:ascii="宋体" w:hAnsi="宋体" w:eastAsia="宋体"/>
          <w:b/>
          <w:sz w:val="32"/>
          <w:szCs w:val="32"/>
        </w:rPr>
        <w:t>盟科药业股份有限公司</w:t>
      </w:r>
    </w:p>
    <w:p w14:paraId="492A7E91">
      <w:pPr>
        <w:jc w:val="center"/>
        <w:rPr>
          <w:rFonts w:hint="eastAsia" w:ascii="宋体" w:hAnsi="宋体" w:eastAsia="宋体"/>
          <w:b/>
          <w:sz w:val="32"/>
          <w:szCs w:val="32"/>
        </w:rPr>
      </w:pPr>
      <w:r>
        <w:rPr>
          <w:rFonts w:hint="eastAsia" w:ascii="宋体" w:hAnsi="宋体" w:eastAsia="宋体"/>
          <w:b/>
          <w:sz w:val="32"/>
          <w:szCs w:val="32"/>
        </w:rPr>
        <w:t>投资者关系活动记录表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4" w:type="dxa"/>
          <w:left w:w="128" w:type="dxa"/>
          <w:bottom w:w="64" w:type="dxa"/>
          <w:right w:w="128" w:type="dxa"/>
        </w:tblCellMar>
      </w:tblPr>
      <w:tblGrid>
        <w:gridCol w:w="1134"/>
        <w:gridCol w:w="7428"/>
      </w:tblGrid>
      <w:tr w14:paraId="2B5B3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662" w:type="pct"/>
            <w:vAlign w:val="center"/>
          </w:tcPr>
          <w:p w14:paraId="7E466839">
            <w:pPr>
              <w:snapToGrid w:val="0"/>
              <w:jc w:val="center"/>
              <w:rPr>
                <w:rFonts w:hint="eastAsia" w:ascii="宋体" w:hAnsi="宋体" w:eastAsia="宋体" w:cs="宋体"/>
                <w:szCs w:val="21"/>
              </w:rPr>
            </w:pPr>
            <w:r>
              <w:rPr>
                <w:rFonts w:hint="eastAsia" w:ascii="宋体" w:hAnsi="宋体" w:eastAsia="宋体" w:cs="宋体"/>
                <w:szCs w:val="21"/>
              </w:rPr>
              <w:t>投资者关系活动类别</w:t>
            </w:r>
          </w:p>
        </w:tc>
        <w:tc>
          <w:tcPr>
            <w:tcW w:w="4337" w:type="pct"/>
          </w:tcPr>
          <w:p w14:paraId="6E1953F5">
            <w:pPr>
              <w:snapToGrid w:val="0"/>
              <w:jc w:val="left"/>
              <w:rPr>
                <w:rFonts w:hint="eastAsia" w:ascii="宋体" w:hAnsi="宋体" w:eastAsia="宋体" w:cs="宋体"/>
                <w:szCs w:val="21"/>
              </w:rPr>
            </w:pPr>
            <w:r>
              <w:rPr>
                <w:rFonts w:hint="eastAsia" w:ascii="宋体" w:hAnsi="宋体" w:eastAsia="宋体" w:cs="宋体"/>
                <w:szCs w:val="21"/>
              </w:rPr>
              <w:t xml:space="preserve">□特定对象调研            </w:t>
            </w:r>
            <w:r>
              <w:rPr>
                <w:rFonts w:ascii="宋体" w:hAnsi="宋体" w:eastAsia="宋体" w:cs="宋体"/>
                <w:szCs w:val="21"/>
              </w:rPr>
              <w:t xml:space="preserve"> </w:t>
            </w:r>
            <w:r>
              <w:rPr>
                <w:rFonts w:hint="eastAsia" w:ascii="宋体" w:hAnsi="宋体" w:eastAsia="宋体" w:cs="宋体"/>
                <w:szCs w:val="21"/>
              </w:rPr>
              <w:sym w:font="Wingdings 2" w:char="00A3"/>
            </w:r>
            <w:r>
              <w:rPr>
                <w:rFonts w:hint="eastAsia" w:ascii="宋体" w:hAnsi="宋体" w:eastAsia="宋体" w:cs="宋体"/>
                <w:szCs w:val="21"/>
              </w:rPr>
              <w:t xml:space="preserve">分析师会议 </w:t>
            </w:r>
          </w:p>
          <w:p w14:paraId="5CB6C494">
            <w:pPr>
              <w:snapToGrid w:val="0"/>
              <w:jc w:val="left"/>
              <w:rPr>
                <w:rFonts w:hint="eastAsia" w:ascii="宋体" w:hAnsi="宋体" w:eastAsia="宋体" w:cs="宋体"/>
                <w:szCs w:val="21"/>
              </w:rPr>
            </w:pPr>
            <w:r>
              <w:rPr>
                <w:rFonts w:hint="eastAsia" w:ascii="宋体" w:hAnsi="宋体" w:eastAsia="宋体" w:cs="宋体"/>
                <w:szCs w:val="21"/>
              </w:rPr>
              <w:sym w:font="Wingdings 2" w:char="00A3"/>
            </w:r>
            <w:r>
              <w:rPr>
                <w:rFonts w:hint="eastAsia" w:ascii="宋体" w:hAnsi="宋体" w:eastAsia="宋体" w:cs="宋体"/>
                <w:szCs w:val="21"/>
              </w:rPr>
              <w:t xml:space="preserve">媒体采访                 </w:t>
            </w:r>
            <w:r>
              <w:rPr>
                <w:rFonts w:hint="eastAsia" w:ascii="宋体" w:hAnsi="宋体" w:eastAsia="宋体" w:cs="宋体"/>
                <w:szCs w:val="21"/>
              </w:rPr>
              <w:sym w:font="Wingdings 2" w:char="0052"/>
            </w:r>
            <w:r>
              <w:rPr>
                <w:rFonts w:hint="eastAsia" w:ascii="宋体" w:hAnsi="宋体" w:eastAsia="宋体" w:cs="宋体"/>
                <w:szCs w:val="21"/>
              </w:rPr>
              <w:t xml:space="preserve">业绩说明会 </w:t>
            </w:r>
          </w:p>
          <w:p w14:paraId="6AA0553A">
            <w:pPr>
              <w:snapToGrid w:val="0"/>
              <w:jc w:val="left"/>
              <w:rPr>
                <w:rFonts w:hint="eastAsia" w:ascii="宋体" w:hAnsi="宋体" w:eastAsia="宋体" w:cs="宋体"/>
                <w:szCs w:val="21"/>
              </w:rPr>
            </w:pPr>
            <w:r>
              <w:rPr>
                <w:rFonts w:hint="eastAsia" w:ascii="宋体" w:hAnsi="宋体" w:eastAsia="宋体" w:cs="宋体"/>
                <w:szCs w:val="21"/>
              </w:rPr>
              <w:t xml:space="preserve">□新闻发布会               □现场参观 </w:t>
            </w:r>
          </w:p>
          <w:p w14:paraId="23F28EC1">
            <w:pPr>
              <w:snapToGrid w:val="0"/>
              <w:jc w:val="left"/>
              <w:rPr>
                <w:rFonts w:hint="eastAsia" w:ascii="宋体" w:hAnsi="宋体" w:eastAsia="宋体" w:cs="宋体"/>
                <w:szCs w:val="21"/>
              </w:rPr>
            </w:pPr>
            <w:r>
              <w:rPr>
                <w:rFonts w:hint="eastAsia" w:ascii="宋体" w:hAnsi="宋体" w:eastAsia="宋体" w:cs="宋体"/>
                <w:szCs w:val="21"/>
              </w:rPr>
              <w:t xml:space="preserve">□路演活动                 </w:t>
            </w:r>
            <w:r>
              <w:rPr>
                <w:rFonts w:hint="eastAsia" w:ascii="宋体" w:hAnsi="宋体" w:eastAsia="宋体" w:cs="宋体"/>
                <w:szCs w:val="21"/>
              </w:rPr>
              <w:sym w:font="Wingdings 2" w:char="00A3"/>
            </w:r>
            <w:r>
              <w:rPr>
                <w:rFonts w:hint="eastAsia" w:ascii="宋体" w:hAnsi="宋体" w:eastAsia="宋体" w:cs="宋体"/>
                <w:szCs w:val="21"/>
              </w:rPr>
              <w:t>其他</w:t>
            </w:r>
          </w:p>
        </w:tc>
      </w:tr>
      <w:tr w14:paraId="5670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662" w:type="pct"/>
            <w:vAlign w:val="center"/>
          </w:tcPr>
          <w:p w14:paraId="6693A2F9">
            <w:pPr>
              <w:snapToGrid w:val="0"/>
              <w:jc w:val="center"/>
              <w:rPr>
                <w:rFonts w:hint="eastAsia" w:ascii="宋体" w:hAnsi="宋体" w:eastAsia="宋体" w:cs="宋体"/>
                <w:szCs w:val="21"/>
              </w:rPr>
            </w:pPr>
            <w:r>
              <w:rPr>
                <w:rFonts w:hint="eastAsia" w:ascii="宋体" w:hAnsi="宋体" w:eastAsia="宋体" w:cs="宋体"/>
                <w:szCs w:val="21"/>
              </w:rPr>
              <w:t>形式</w:t>
            </w:r>
          </w:p>
        </w:tc>
        <w:tc>
          <w:tcPr>
            <w:tcW w:w="4337" w:type="pct"/>
          </w:tcPr>
          <w:p w14:paraId="48E00D70">
            <w:pPr>
              <w:snapToGrid w:val="0"/>
              <w:jc w:val="left"/>
              <w:rPr>
                <w:rFonts w:hint="eastAsia" w:ascii="宋体" w:hAnsi="宋体" w:eastAsia="宋体" w:cs="宋体"/>
                <w:szCs w:val="21"/>
              </w:rPr>
            </w:pPr>
            <w:r>
              <w:rPr>
                <w:rFonts w:hint="eastAsia" w:ascii="宋体" w:hAnsi="宋体" w:eastAsia="宋体" w:cs="宋体"/>
                <w:szCs w:val="21"/>
              </w:rPr>
              <w:t xml:space="preserve">□现场     </w:t>
            </w:r>
            <w:r>
              <w:rPr>
                <w:rFonts w:hint="eastAsia" w:ascii="宋体" w:hAnsi="宋体" w:eastAsia="宋体" w:cs="宋体"/>
                <w:szCs w:val="21"/>
              </w:rPr>
              <w:sym w:font="Wingdings 2" w:char="0052"/>
            </w:r>
            <w:r>
              <w:rPr>
                <w:rFonts w:hint="eastAsia" w:ascii="宋体" w:hAnsi="宋体" w:eastAsia="宋体" w:cs="宋体"/>
                <w:szCs w:val="21"/>
              </w:rPr>
              <w:t xml:space="preserve">网上    </w:t>
            </w:r>
            <w:r>
              <w:rPr>
                <w:rFonts w:hint="eastAsia" w:ascii="宋体" w:hAnsi="宋体" w:eastAsia="宋体" w:cs="宋体"/>
                <w:szCs w:val="21"/>
              </w:rPr>
              <w:sym w:font="Wingdings 2" w:char="00A3"/>
            </w:r>
            <w:r>
              <w:rPr>
                <w:rFonts w:hint="eastAsia" w:ascii="宋体" w:hAnsi="宋体" w:eastAsia="宋体" w:cs="宋体"/>
                <w:szCs w:val="21"/>
              </w:rPr>
              <w:t>电话会议</w:t>
            </w:r>
          </w:p>
        </w:tc>
      </w:tr>
      <w:tr w14:paraId="3919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662" w:type="pct"/>
            <w:vAlign w:val="center"/>
          </w:tcPr>
          <w:p w14:paraId="2F267F35">
            <w:pPr>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参与单位名称</w:t>
            </w:r>
          </w:p>
        </w:tc>
        <w:tc>
          <w:tcPr>
            <w:tcW w:w="4337" w:type="pct"/>
            <w:vAlign w:val="center"/>
          </w:tcPr>
          <w:p w14:paraId="72EAE9D2">
            <w:pPr>
              <w:widowControl/>
              <w:snapToGrid w:val="0"/>
              <w:jc w:val="center"/>
              <w:textAlignment w:val="bottom"/>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 w:val="22"/>
              </w:rPr>
              <w:t>参与</w:t>
            </w:r>
            <w:r>
              <w:rPr>
                <w:rFonts w:hint="eastAsia" w:ascii="Times New Roman" w:hAnsi="Times New Roman" w:eastAsia="宋体" w:cs="Times New Roman"/>
                <w:color w:val="000000"/>
                <w:kern w:val="0"/>
                <w:sz w:val="22"/>
                <w:lang w:val="en-US" w:eastAsia="zh-CN"/>
              </w:rPr>
              <w:t>公司召开的</w:t>
            </w:r>
            <w:r>
              <w:rPr>
                <w:rFonts w:hint="default" w:ascii="Times New Roman" w:hAnsi="Times New Roman" w:eastAsia="宋体" w:cs="Times New Roman"/>
                <w:color w:val="000000"/>
                <w:kern w:val="0"/>
                <w:sz w:val="22"/>
                <w:lang w:val="en-US" w:eastAsia="zh-CN"/>
              </w:rPr>
              <w:t>2025年度制药行业集体业绩说明会暨2026年第一季度业绩说明会</w:t>
            </w:r>
            <w:r>
              <w:rPr>
                <w:rFonts w:hint="default" w:ascii="Times New Roman" w:hAnsi="Times New Roman" w:eastAsia="宋体" w:cs="Times New Roman"/>
                <w:color w:val="000000"/>
                <w:kern w:val="0"/>
                <w:sz w:val="22"/>
              </w:rPr>
              <w:t>的投资者</w:t>
            </w:r>
          </w:p>
        </w:tc>
      </w:tr>
      <w:tr w14:paraId="7B62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662" w:type="pct"/>
            <w:vAlign w:val="center"/>
          </w:tcPr>
          <w:p w14:paraId="104BA207">
            <w:pPr>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时间</w:t>
            </w:r>
          </w:p>
        </w:tc>
        <w:tc>
          <w:tcPr>
            <w:tcW w:w="4337" w:type="pct"/>
          </w:tcPr>
          <w:p w14:paraId="4093A662">
            <w:pPr>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202</w:t>
            </w:r>
            <w:r>
              <w:rPr>
                <w:rFonts w:hint="eastAsia" w:ascii="Times New Roman" w:hAnsi="Times New Roman" w:eastAsia="宋体" w:cs="Times New Roman"/>
                <w:szCs w:val="21"/>
                <w:lang w:val="en-US" w:eastAsia="zh-CN"/>
              </w:rPr>
              <w:t>6</w:t>
            </w:r>
            <w:r>
              <w:rPr>
                <w:rFonts w:hint="default" w:ascii="Times New Roman" w:hAnsi="Times New Roman" w:eastAsia="宋体" w:cs="Times New Roman"/>
                <w:szCs w:val="21"/>
              </w:rPr>
              <w:t>年</w:t>
            </w:r>
            <w:r>
              <w:rPr>
                <w:rFonts w:hint="eastAsia" w:ascii="Times New Roman" w:hAnsi="Times New Roman" w:eastAsia="宋体" w:cs="Times New Roman"/>
                <w:szCs w:val="21"/>
                <w:lang w:val="en-US" w:eastAsia="zh-CN"/>
              </w:rPr>
              <w:t>5</w:t>
            </w:r>
            <w:r>
              <w:rPr>
                <w:rFonts w:hint="default" w:ascii="Times New Roman" w:hAnsi="Times New Roman" w:eastAsia="宋体" w:cs="Times New Roman"/>
                <w:szCs w:val="21"/>
              </w:rPr>
              <w:t>月</w:t>
            </w:r>
            <w:r>
              <w:rPr>
                <w:rFonts w:hint="eastAsia" w:ascii="Times New Roman" w:hAnsi="Times New Roman" w:eastAsia="宋体" w:cs="Times New Roman"/>
                <w:szCs w:val="21"/>
                <w:lang w:val="en-US" w:eastAsia="zh-CN"/>
              </w:rPr>
              <w:t>11</w:t>
            </w:r>
            <w:r>
              <w:rPr>
                <w:rFonts w:hint="default" w:ascii="Times New Roman" w:hAnsi="Times New Roman" w:eastAsia="宋体" w:cs="Times New Roman"/>
                <w:szCs w:val="21"/>
              </w:rPr>
              <w:t>日</w:t>
            </w:r>
          </w:p>
        </w:tc>
      </w:tr>
      <w:tr w14:paraId="3C9D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662" w:type="pct"/>
            <w:vAlign w:val="center"/>
          </w:tcPr>
          <w:p w14:paraId="188B6BC3">
            <w:pPr>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地点</w:t>
            </w:r>
          </w:p>
        </w:tc>
        <w:tc>
          <w:tcPr>
            <w:tcW w:w="4337" w:type="pct"/>
          </w:tcPr>
          <w:p w14:paraId="37B1D74E">
            <w:pPr>
              <w:snapToGrid w:val="0"/>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 w:val="22"/>
              </w:rPr>
              <w:t>上海证券交易所上证路演中心（http://roadshow.sseinfo.com）</w:t>
            </w:r>
          </w:p>
        </w:tc>
      </w:tr>
      <w:tr w14:paraId="706F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662" w:type="pct"/>
            <w:vAlign w:val="center"/>
          </w:tcPr>
          <w:p w14:paraId="05F92AFB">
            <w:pPr>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上市公司接待人员姓名</w:t>
            </w:r>
          </w:p>
        </w:tc>
        <w:tc>
          <w:tcPr>
            <w:tcW w:w="4337" w:type="pct"/>
            <w:vAlign w:val="center"/>
          </w:tcPr>
          <w:p w14:paraId="42F29CA0">
            <w:pPr>
              <w:widowControl/>
              <w:snapToGrid w:val="0"/>
              <w:jc w:val="center"/>
              <w:textAlignment w:val="bottom"/>
              <w:rPr>
                <w:rFonts w:hint="default"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公司管理层</w:t>
            </w:r>
          </w:p>
        </w:tc>
      </w:tr>
      <w:tr w14:paraId="10D6E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662" w:type="pct"/>
            <w:vAlign w:val="center"/>
          </w:tcPr>
          <w:p w14:paraId="003C7C07">
            <w:pPr>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投资者关系活动主要内容介绍</w:t>
            </w:r>
          </w:p>
        </w:tc>
        <w:tc>
          <w:tcPr>
            <w:tcW w:w="4337" w:type="pct"/>
          </w:tcPr>
          <w:p w14:paraId="5647121E">
            <w:pPr>
              <w:keepNext w:val="0"/>
              <w:keepLines w:val="0"/>
              <w:pageBreakBefore w:val="0"/>
              <w:widowControl w:val="0"/>
              <w:numPr>
                <w:ilvl w:val="0"/>
                <w:numId w:val="1"/>
              </w:numPr>
              <w:kinsoku/>
              <w:wordWrap/>
              <w:overflowPunct/>
              <w:topLinePunct w:val="0"/>
              <w:autoSpaceDE/>
              <w:autoSpaceDN/>
              <w:bidi w:val="0"/>
              <w:adjustRightInd/>
              <w:snapToGrid w:val="0"/>
              <w:spacing w:line="300" w:lineRule="auto"/>
              <w:ind w:left="425" w:leftChars="0" w:hanging="425" w:firstLineChars="0"/>
              <w:textAlignment w:val="auto"/>
              <w:rPr>
                <w:rFonts w:hint="default" w:ascii="Times New Roman" w:hAnsi="Times New Roman" w:eastAsia="宋体" w:cs="Times New Roman"/>
                <w:b/>
                <w:bCs/>
                <w:szCs w:val="21"/>
              </w:rPr>
            </w:pPr>
            <w:r>
              <w:rPr>
                <w:rFonts w:hint="default" w:ascii="Times New Roman" w:hAnsi="Times New Roman" w:eastAsia="宋体" w:cs="Times New Roman"/>
                <w:b/>
                <w:bCs/>
                <w:szCs w:val="21"/>
              </w:rPr>
              <w:t>盟科药业MRX</w:t>
            </w:r>
            <w:r>
              <w:rPr>
                <w:rFonts w:hint="eastAsia" w:ascii="Times New Roman" w:hAnsi="Times New Roman" w:eastAsia="宋体" w:cs="Times New Roman"/>
                <w:b/>
                <w:bCs/>
                <w:szCs w:val="21"/>
                <w:lang w:val="en-US" w:eastAsia="zh-CN"/>
              </w:rPr>
              <w:t>-</w:t>
            </w:r>
            <w:r>
              <w:rPr>
                <w:rFonts w:hint="default" w:ascii="Times New Roman" w:hAnsi="Times New Roman" w:eastAsia="宋体" w:cs="Times New Roman"/>
                <w:b/>
                <w:bCs/>
                <w:szCs w:val="21"/>
              </w:rPr>
              <w:t>4技术审批结束，进入综合审评和行政审批；</w:t>
            </w:r>
            <w:r>
              <w:rPr>
                <w:rFonts w:hint="eastAsia" w:ascii="Times New Roman" w:hAnsi="Times New Roman" w:eastAsia="宋体" w:cs="Times New Roman"/>
                <w:b/>
                <w:bCs/>
                <w:szCs w:val="21"/>
                <w:lang w:eastAsia="zh-CN"/>
              </w:rPr>
              <w:t>（</w:t>
            </w:r>
            <w:r>
              <w:rPr>
                <w:rFonts w:hint="default" w:ascii="Times New Roman" w:hAnsi="Times New Roman" w:eastAsia="宋体" w:cs="Times New Roman"/>
                <w:b/>
                <w:bCs/>
                <w:szCs w:val="21"/>
              </w:rPr>
              <w:t>国家药品监督管理局</w:t>
            </w:r>
            <w:r>
              <w:rPr>
                <w:rFonts w:hint="eastAsia" w:ascii="Times New Roman" w:hAnsi="Times New Roman" w:eastAsia="宋体" w:cs="Times New Roman"/>
                <w:b/>
                <w:bCs/>
                <w:szCs w:val="21"/>
                <w:lang w:eastAsia="zh-CN"/>
              </w:rPr>
              <w:t>）</w:t>
            </w:r>
            <w:r>
              <w:rPr>
                <w:rFonts w:hint="default" w:ascii="Times New Roman" w:hAnsi="Times New Roman" w:eastAsia="宋体" w:cs="Times New Roman"/>
                <w:b/>
                <w:bCs/>
                <w:szCs w:val="21"/>
              </w:rPr>
              <w:t>是否要求公司补充材料？公司预计什么时候审批通过？</w:t>
            </w:r>
          </w:p>
          <w:p w14:paraId="5EEBF13F">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答：尊敬的投资者朋友您好，关于该项新药上市许可的审评审批流程正常推进中，根据国家药品注册相关的法律法规要求，新药上市许可申请获得受理后，尚需经过药品临床试验和生产现场检查、技术审评、综合审评和行政审批等环节，该项新药的药品注册批件取得时间和结果均具有不确定性。感谢您对公司的关注。</w:t>
            </w:r>
          </w:p>
          <w:p w14:paraId="26A0BEBB">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Times New Roman" w:hAnsi="Times New Roman" w:eastAsia="宋体" w:cs="Times New Roman"/>
                <w:szCs w:val="21"/>
              </w:rPr>
            </w:pPr>
          </w:p>
          <w:p w14:paraId="0686E577">
            <w:pPr>
              <w:keepNext w:val="0"/>
              <w:keepLines w:val="0"/>
              <w:pageBreakBefore w:val="0"/>
              <w:widowControl w:val="0"/>
              <w:numPr>
                <w:ilvl w:val="0"/>
                <w:numId w:val="1"/>
              </w:numPr>
              <w:kinsoku/>
              <w:wordWrap/>
              <w:overflowPunct/>
              <w:topLinePunct w:val="0"/>
              <w:autoSpaceDE/>
              <w:autoSpaceDN/>
              <w:bidi w:val="0"/>
              <w:adjustRightInd/>
              <w:snapToGrid w:val="0"/>
              <w:spacing w:line="300" w:lineRule="auto"/>
              <w:ind w:left="425" w:leftChars="0" w:hanging="425" w:firstLineChars="0"/>
              <w:textAlignment w:val="auto"/>
              <w:rPr>
                <w:rFonts w:hint="default" w:ascii="Times New Roman" w:hAnsi="Times New Roman" w:eastAsia="宋体" w:cs="Times New Roman"/>
                <w:b/>
                <w:bCs/>
                <w:szCs w:val="21"/>
              </w:rPr>
            </w:pPr>
            <w:r>
              <w:rPr>
                <w:rFonts w:hint="default" w:ascii="Times New Roman" w:hAnsi="Times New Roman" w:eastAsia="宋体" w:cs="Times New Roman"/>
                <w:b/>
                <w:bCs/>
                <w:szCs w:val="21"/>
              </w:rPr>
              <w:t>请简单介绍2025年全年度及2026年第一季度财务数据？</w:t>
            </w:r>
          </w:p>
          <w:p w14:paraId="6757F3CB">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答：尊敬的投资者朋友您好，公司2025年实现营业收入1.42亿元，同比增长8.83%；归属于上市公司股东的净利润-2.42亿元</w:t>
            </w:r>
            <w:bookmarkStart w:id="0" w:name="_GoBack"/>
            <w:bookmarkEnd w:id="0"/>
            <w:r>
              <w:rPr>
                <w:rFonts w:hint="default" w:ascii="Times New Roman" w:hAnsi="Times New Roman" w:eastAsia="宋体" w:cs="Times New Roman"/>
                <w:szCs w:val="21"/>
              </w:rPr>
              <w:t>，同比减少亏损1.99亿元；公司2026年一季度营业收入4205.97万元，同比增长26.62%；归属于上市公司股东的净利润-2145.36万元，同比大幅减亏4017.88万元。2025年度及2026年第一季度，公司通过市场开拓模式优化实现收入持续增长，叠加各项费用支出控制，降本减亏成效显著。感谢您对公司的关注。</w:t>
            </w:r>
          </w:p>
          <w:p w14:paraId="4C898949">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Times New Roman" w:hAnsi="Times New Roman" w:eastAsia="宋体" w:cs="Times New Roman"/>
                <w:szCs w:val="21"/>
              </w:rPr>
            </w:pPr>
          </w:p>
          <w:p w14:paraId="22CF892B">
            <w:pPr>
              <w:keepNext w:val="0"/>
              <w:keepLines w:val="0"/>
              <w:pageBreakBefore w:val="0"/>
              <w:widowControl w:val="0"/>
              <w:numPr>
                <w:ilvl w:val="0"/>
                <w:numId w:val="1"/>
              </w:numPr>
              <w:kinsoku/>
              <w:wordWrap/>
              <w:overflowPunct/>
              <w:topLinePunct w:val="0"/>
              <w:autoSpaceDE/>
              <w:autoSpaceDN/>
              <w:bidi w:val="0"/>
              <w:adjustRightInd/>
              <w:snapToGrid w:val="0"/>
              <w:spacing w:line="300" w:lineRule="auto"/>
              <w:ind w:left="425" w:leftChars="0" w:hanging="425" w:firstLineChars="0"/>
              <w:textAlignment w:val="auto"/>
              <w:rPr>
                <w:rFonts w:hint="default" w:ascii="Times New Roman" w:hAnsi="Times New Roman" w:eastAsia="宋体" w:cs="Times New Roman"/>
                <w:b/>
                <w:bCs/>
                <w:szCs w:val="21"/>
              </w:rPr>
            </w:pPr>
            <w:r>
              <w:rPr>
                <w:rFonts w:hint="default" w:ascii="Times New Roman" w:hAnsi="Times New Roman" w:eastAsia="宋体" w:cs="Times New Roman"/>
                <w:b/>
                <w:bCs/>
                <w:szCs w:val="21"/>
              </w:rPr>
              <w:t>公司创新药布局规划？</w:t>
            </w:r>
          </w:p>
          <w:p w14:paraId="5D249128">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答：尊敬的投资者朋友您好，公司管线布局丰富，通过深耕抗感染创新药领域，以自主研发为核心竞争力，聚焦未满足临床需求，形成“感染领域为主、非感染领域拓展”的研发格局，除四款已进入临床阶段或商业化阶段的核心产品外，公司还有多项处于临床前阶段的抗感染管线、以及针对肿瘤和炎症性疾病管线，以此形成梯次有序的产品组合，为公司长期价值增长提供持续动力。感谢您对公司的关注。</w:t>
            </w:r>
          </w:p>
          <w:p w14:paraId="3A08D81B">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Times New Roman" w:hAnsi="Times New Roman" w:eastAsia="宋体" w:cs="Times New Roman"/>
                <w:szCs w:val="21"/>
              </w:rPr>
            </w:pPr>
          </w:p>
          <w:p w14:paraId="791B64D5">
            <w:pPr>
              <w:keepNext w:val="0"/>
              <w:keepLines w:val="0"/>
              <w:pageBreakBefore w:val="0"/>
              <w:widowControl w:val="0"/>
              <w:numPr>
                <w:ilvl w:val="0"/>
                <w:numId w:val="1"/>
              </w:numPr>
              <w:kinsoku/>
              <w:wordWrap/>
              <w:overflowPunct/>
              <w:topLinePunct w:val="0"/>
              <w:autoSpaceDE/>
              <w:autoSpaceDN/>
              <w:bidi w:val="0"/>
              <w:adjustRightInd/>
              <w:snapToGrid w:val="0"/>
              <w:spacing w:line="300" w:lineRule="auto"/>
              <w:ind w:left="425" w:leftChars="0" w:hanging="425" w:firstLineChars="0"/>
              <w:textAlignment w:val="auto"/>
              <w:rPr>
                <w:rFonts w:hint="default" w:ascii="Times New Roman" w:hAnsi="Times New Roman" w:eastAsia="宋体" w:cs="Times New Roman"/>
                <w:b/>
                <w:bCs/>
                <w:szCs w:val="21"/>
              </w:rPr>
            </w:pPr>
            <w:r>
              <w:rPr>
                <w:rFonts w:hint="default" w:ascii="Times New Roman" w:hAnsi="Times New Roman" w:eastAsia="宋体" w:cs="Times New Roman"/>
                <w:b/>
                <w:bCs/>
                <w:szCs w:val="21"/>
              </w:rPr>
              <w:t>公司2025年年报于3月28日公布，4月29日也公布了26年一季报；年报的股东大会</w:t>
            </w:r>
            <w:r>
              <w:rPr>
                <w:rFonts w:hint="eastAsia" w:ascii="Times New Roman" w:hAnsi="Times New Roman" w:eastAsia="宋体" w:cs="Times New Roman"/>
                <w:b/>
                <w:bCs/>
                <w:szCs w:val="21"/>
                <w:lang w:eastAsia="zh-CN"/>
              </w:rPr>
              <w:t>（</w:t>
            </w:r>
            <w:r>
              <w:rPr>
                <w:rFonts w:hint="eastAsia" w:ascii="Times New Roman" w:hAnsi="Times New Roman" w:eastAsia="宋体" w:cs="Times New Roman"/>
                <w:b/>
                <w:bCs/>
                <w:szCs w:val="21"/>
                <w:lang w:val="en-US" w:eastAsia="zh-CN"/>
              </w:rPr>
              <w:t>股东会）</w:t>
            </w:r>
            <w:r>
              <w:rPr>
                <w:rFonts w:hint="default" w:ascii="Times New Roman" w:hAnsi="Times New Roman" w:eastAsia="宋体" w:cs="Times New Roman"/>
                <w:b/>
                <w:bCs/>
                <w:szCs w:val="21"/>
              </w:rPr>
              <w:t>什么时候召开？还是要到6月？</w:t>
            </w:r>
          </w:p>
          <w:p w14:paraId="49762E9D">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答：尊敬的投资者朋友您好，根据《上市公司股东会规则》，上市公司年度股东会应当于上一会计年度结束后六个月内举行，公司将按照相关规则要求及时召开年度股东会，并于会前按照规定提前披露关于召开年度股东会的公告，具体召开时间以通知公告为准。感谢您对公司的关注。</w:t>
            </w:r>
          </w:p>
          <w:p w14:paraId="5162388C">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Times New Roman" w:hAnsi="Times New Roman" w:eastAsia="宋体" w:cs="Times New Roman"/>
                <w:szCs w:val="21"/>
              </w:rPr>
            </w:pPr>
          </w:p>
          <w:p w14:paraId="57B974DB">
            <w:pPr>
              <w:keepNext w:val="0"/>
              <w:keepLines w:val="0"/>
              <w:pageBreakBefore w:val="0"/>
              <w:widowControl w:val="0"/>
              <w:numPr>
                <w:ilvl w:val="0"/>
                <w:numId w:val="1"/>
              </w:numPr>
              <w:kinsoku/>
              <w:wordWrap/>
              <w:overflowPunct/>
              <w:topLinePunct w:val="0"/>
              <w:autoSpaceDE/>
              <w:autoSpaceDN/>
              <w:bidi w:val="0"/>
              <w:adjustRightInd/>
              <w:snapToGrid w:val="0"/>
              <w:spacing w:line="300" w:lineRule="auto"/>
              <w:ind w:left="425" w:leftChars="0" w:hanging="425" w:firstLineChars="0"/>
              <w:textAlignment w:val="auto"/>
              <w:rPr>
                <w:rFonts w:hint="default" w:ascii="Times New Roman" w:hAnsi="Times New Roman" w:eastAsia="宋体" w:cs="Times New Roman"/>
                <w:b/>
                <w:bCs/>
                <w:szCs w:val="21"/>
              </w:rPr>
            </w:pPr>
            <w:r>
              <w:rPr>
                <w:rFonts w:hint="default" w:ascii="Times New Roman" w:hAnsi="Times New Roman" w:eastAsia="宋体" w:cs="Times New Roman"/>
                <w:b/>
                <w:bCs/>
                <w:szCs w:val="21"/>
              </w:rPr>
              <w:t>盟科药业被股民称为创新药中“单一产品、连续亏损、净资产最低、股价最低”和“公司低治理（无实际控制人）、大股东矛盾公开化、股东不断减持、员工平均薪酬最高”科创板罕见的极端组合；公司是怎么看？</w:t>
            </w:r>
          </w:p>
          <w:p w14:paraId="07EE31FC">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答：尊敬的投资者朋友您好，公司作为按照第五套标准上市的科创板创新药企，单一产品商业化、阶段性亏损符合行业规律；公司相关研发工作正按计划推进，根据公司2025年年度报告及2026年第一季度报告，公司亏损持续收窄；目前治理架构规范有效，公司充分尊重每一位投资者的意见，并积极与广大投资者保持沟通与交流；目前公司股东减持符合现行法律法规的要求，相关信息披露义务人及公司均按照法律法规及相关规则的要求进行信息披露；公司薪酬制度符合公司当下阶段的人才发展战略，良好的薪酬机制是公司研发工作及管理工作的重要保障。感谢您对公司的关注。</w:t>
            </w:r>
          </w:p>
          <w:p w14:paraId="3D427047">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Times New Roman" w:hAnsi="Times New Roman" w:eastAsia="宋体" w:cs="Times New Roman"/>
                <w:szCs w:val="21"/>
              </w:rPr>
            </w:pPr>
          </w:p>
          <w:p w14:paraId="47D06BF0">
            <w:pPr>
              <w:keepNext w:val="0"/>
              <w:keepLines w:val="0"/>
              <w:pageBreakBefore w:val="0"/>
              <w:widowControl w:val="0"/>
              <w:numPr>
                <w:ilvl w:val="0"/>
                <w:numId w:val="1"/>
              </w:numPr>
              <w:kinsoku/>
              <w:wordWrap/>
              <w:overflowPunct/>
              <w:topLinePunct w:val="0"/>
              <w:autoSpaceDE/>
              <w:autoSpaceDN/>
              <w:bidi w:val="0"/>
              <w:adjustRightInd/>
              <w:snapToGrid w:val="0"/>
              <w:spacing w:line="300" w:lineRule="auto"/>
              <w:ind w:left="425" w:leftChars="0" w:hanging="425" w:firstLineChars="0"/>
              <w:textAlignment w:val="auto"/>
              <w:rPr>
                <w:rFonts w:hint="default" w:ascii="Times New Roman" w:hAnsi="Times New Roman" w:eastAsia="宋体" w:cs="Times New Roman"/>
                <w:b/>
                <w:bCs/>
                <w:szCs w:val="21"/>
              </w:rPr>
            </w:pPr>
            <w:r>
              <w:rPr>
                <w:rFonts w:hint="default" w:ascii="Times New Roman" w:hAnsi="Times New Roman" w:eastAsia="宋体" w:cs="Times New Roman"/>
                <w:b/>
                <w:bCs/>
                <w:szCs w:val="21"/>
              </w:rPr>
              <w:t>公司2026年一季度亏损大幅收窄，请问管理层对未来盈利拐点有何规划和预期？</w:t>
            </w:r>
          </w:p>
          <w:p w14:paraId="639ABB63">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答：尊敬的投资者朋友您好，公司2026年一季度归母净利润为-2145.36万元，同比大幅减亏4017.88万元，主要系报告期内公司营业收入增加，同时采取了一系列成本费用优化措施，进一步提升公司整体运营效率所致。未来，公司将努力推动研发成果进一步落地、产品组合不断丰富及销售持续放量，以更好保障广大投资者，特别是中小投资者长期利益。感谢您对公司的关注。</w:t>
            </w:r>
          </w:p>
          <w:p w14:paraId="07D64D17">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Times New Roman" w:hAnsi="Times New Roman" w:eastAsia="宋体" w:cs="Times New Roman"/>
                <w:szCs w:val="21"/>
              </w:rPr>
            </w:pPr>
          </w:p>
          <w:p w14:paraId="09E4C274">
            <w:pPr>
              <w:keepNext w:val="0"/>
              <w:keepLines w:val="0"/>
              <w:pageBreakBefore w:val="0"/>
              <w:widowControl w:val="0"/>
              <w:numPr>
                <w:ilvl w:val="0"/>
                <w:numId w:val="1"/>
              </w:numPr>
              <w:kinsoku/>
              <w:wordWrap/>
              <w:overflowPunct/>
              <w:topLinePunct w:val="0"/>
              <w:autoSpaceDE/>
              <w:autoSpaceDN/>
              <w:bidi w:val="0"/>
              <w:adjustRightInd/>
              <w:snapToGrid w:val="0"/>
              <w:spacing w:line="300" w:lineRule="auto"/>
              <w:ind w:left="425" w:leftChars="0" w:hanging="425" w:firstLineChars="0"/>
              <w:textAlignment w:val="auto"/>
              <w:rPr>
                <w:rFonts w:hint="default" w:ascii="Times New Roman" w:hAnsi="Times New Roman" w:eastAsia="宋体" w:cs="Times New Roman"/>
                <w:b/>
                <w:bCs/>
                <w:szCs w:val="21"/>
              </w:rPr>
            </w:pPr>
            <w:r>
              <w:rPr>
                <w:rFonts w:hint="default" w:ascii="Times New Roman" w:hAnsi="Times New Roman" w:eastAsia="宋体" w:cs="Times New Roman"/>
                <w:b/>
                <w:bCs/>
                <w:szCs w:val="21"/>
              </w:rPr>
              <w:t>盟科药业的盟科香港及3名外籍股东分别于26年4月27日、5月4日减持结束；新的减持计划什么时候公告？</w:t>
            </w:r>
          </w:p>
          <w:p w14:paraId="2D48744C">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答：尊敬的投资者朋友您好，公司未有应披露未披露的减持计划公告，感谢您对公司的关注。</w:t>
            </w:r>
          </w:p>
          <w:p w14:paraId="758BE350">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Times New Roman" w:hAnsi="Times New Roman" w:eastAsia="宋体" w:cs="Times New Roman"/>
                <w:szCs w:val="21"/>
              </w:rPr>
            </w:pPr>
          </w:p>
          <w:p w14:paraId="20EC7A23">
            <w:pPr>
              <w:keepNext w:val="0"/>
              <w:keepLines w:val="0"/>
              <w:pageBreakBefore w:val="0"/>
              <w:widowControl w:val="0"/>
              <w:numPr>
                <w:ilvl w:val="0"/>
                <w:numId w:val="1"/>
              </w:numPr>
              <w:kinsoku/>
              <w:wordWrap/>
              <w:overflowPunct/>
              <w:topLinePunct w:val="0"/>
              <w:autoSpaceDE/>
              <w:autoSpaceDN/>
              <w:bidi w:val="0"/>
              <w:adjustRightInd/>
              <w:snapToGrid w:val="0"/>
              <w:spacing w:line="300" w:lineRule="auto"/>
              <w:ind w:left="425" w:leftChars="0" w:hanging="425" w:firstLineChars="0"/>
              <w:textAlignment w:val="auto"/>
              <w:rPr>
                <w:rFonts w:hint="default" w:ascii="Times New Roman" w:hAnsi="Times New Roman" w:eastAsia="宋体" w:cs="Times New Roman"/>
                <w:b/>
                <w:bCs/>
                <w:szCs w:val="21"/>
              </w:rPr>
            </w:pPr>
            <w:r>
              <w:rPr>
                <w:rFonts w:hint="default" w:ascii="Times New Roman" w:hAnsi="Times New Roman" w:eastAsia="宋体" w:cs="Times New Roman"/>
                <w:b/>
                <w:bCs/>
                <w:szCs w:val="21"/>
              </w:rPr>
              <w:t>你好，袁总，公司持续亏损、存在退市风险，引入战投是重要脱困措施。请问目前战投推进进度、合作方及落地时间如何？将如何改善现金流、化解退市风险？</w:t>
            </w:r>
          </w:p>
          <w:p w14:paraId="21F86993">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答：尊敬的投资者朋友您好，公司收到您的建议。未来，公司将持续积极通过多种渠道外部融资，包括但不限于洽谈新的战略投资人、沟通再融资政策，如向不特定对象发行股票等监管规则允许的方式进行融资，进一步拓展多元化融资渠道，维护公司的长远良好发展。具体以公司披露的公告为准。感谢您对公司的关注。</w:t>
            </w:r>
          </w:p>
          <w:p w14:paraId="212AA6B3">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Times New Roman" w:hAnsi="Times New Roman" w:eastAsia="宋体" w:cs="Times New Roman"/>
                <w:szCs w:val="21"/>
              </w:rPr>
            </w:pPr>
          </w:p>
          <w:p w14:paraId="3A71546F">
            <w:pPr>
              <w:keepNext w:val="0"/>
              <w:keepLines w:val="0"/>
              <w:pageBreakBefore w:val="0"/>
              <w:widowControl w:val="0"/>
              <w:numPr>
                <w:ilvl w:val="0"/>
                <w:numId w:val="1"/>
              </w:numPr>
              <w:kinsoku/>
              <w:wordWrap/>
              <w:overflowPunct/>
              <w:topLinePunct w:val="0"/>
              <w:autoSpaceDE/>
              <w:autoSpaceDN/>
              <w:bidi w:val="0"/>
              <w:adjustRightInd/>
              <w:snapToGrid w:val="0"/>
              <w:spacing w:line="300" w:lineRule="auto"/>
              <w:ind w:left="425" w:leftChars="0" w:hanging="425" w:firstLineChars="0"/>
              <w:textAlignment w:val="auto"/>
              <w:rPr>
                <w:rFonts w:hint="default" w:ascii="Times New Roman" w:hAnsi="Times New Roman" w:eastAsia="宋体" w:cs="Times New Roman"/>
                <w:b/>
                <w:bCs/>
                <w:szCs w:val="21"/>
              </w:rPr>
            </w:pPr>
            <w:r>
              <w:rPr>
                <w:rFonts w:hint="default" w:ascii="Times New Roman" w:hAnsi="Times New Roman" w:eastAsia="宋体" w:cs="Times New Roman"/>
                <w:b/>
                <w:bCs/>
                <w:szCs w:val="21"/>
              </w:rPr>
              <w:t>注射用康替唑胺（MRX‑4）迟迟未获批，目前审评进度如何？预计何时获批？是否存在审批卡点或补充资料风险？</w:t>
            </w:r>
          </w:p>
          <w:p w14:paraId="22E8B873">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答：尊敬的投资者朋友您好，关于该项新药上市许可的审评审批流程正常推进中，根据国家药品注册相关的法律法规要求，新药上市许可申请获得受理后，尚需经过药品临床试验和生产现场检查、技术审评、综合审评和行政审批等环节，该项新药的药品注册批件取得时间和结果均具有不确定性。感谢您对公司的关注。</w:t>
            </w:r>
          </w:p>
          <w:p w14:paraId="4DD85BEE">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Times New Roman" w:hAnsi="Times New Roman" w:eastAsia="宋体" w:cs="Times New Roman"/>
                <w:szCs w:val="21"/>
              </w:rPr>
            </w:pPr>
          </w:p>
          <w:p w14:paraId="35886CCF">
            <w:pPr>
              <w:keepNext w:val="0"/>
              <w:keepLines w:val="0"/>
              <w:pageBreakBefore w:val="0"/>
              <w:widowControl w:val="0"/>
              <w:numPr>
                <w:ilvl w:val="0"/>
                <w:numId w:val="1"/>
              </w:numPr>
              <w:kinsoku/>
              <w:wordWrap/>
              <w:overflowPunct/>
              <w:topLinePunct w:val="0"/>
              <w:autoSpaceDE/>
              <w:autoSpaceDN/>
              <w:bidi w:val="0"/>
              <w:adjustRightInd/>
              <w:snapToGrid w:val="0"/>
              <w:spacing w:line="300" w:lineRule="auto"/>
              <w:ind w:left="425" w:leftChars="0" w:hanging="425" w:firstLineChars="0"/>
              <w:textAlignment w:val="auto"/>
              <w:rPr>
                <w:rFonts w:hint="default" w:ascii="Times New Roman" w:hAnsi="Times New Roman" w:eastAsia="宋体" w:cs="Times New Roman"/>
                <w:b/>
                <w:bCs/>
                <w:szCs w:val="21"/>
              </w:rPr>
            </w:pPr>
            <w:r>
              <w:rPr>
                <w:rFonts w:hint="default" w:ascii="Times New Roman" w:hAnsi="Times New Roman" w:eastAsia="宋体" w:cs="Times New Roman"/>
                <w:b/>
                <w:bCs/>
                <w:szCs w:val="21"/>
              </w:rPr>
              <w:t>袁总，康替唑胺销售长期不及预期，请问当前终端进院、处方及渠道拓展情况如何？销售低迷原因是什么？何时能迎来改善拐点？</w:t>
            </w:r>
          </w:p>
          <w:p w14:paraId="7DD361FD">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答：尊敬的投资者朋友您好，截至2025年度末，康替唑胺片已覆盖全国703家医院，实现正式准入及批量临采医院已达220家。自2021年该产品上市以来，公司营业收入增长明显，2021年至2025年分别实现0.08亿元、0.48亿元、0.91亿元、1.30亿元、1.42亿元，呈现整体增长态势。2025年12月，康替唑胺片成功以原价续约国家医保目录，协议期覆盖至2027年底。此外，公司的MRX-4产品已提交NDA申请，其获批后公司将增加针剂剂型，进一步拓展公司产品应用场景。未来公司将加快康替唑胺片在儿童用药领域及适应症拓展方面的进度，加快MRX-4产品上市进程，为产品的持续有效增长蓄能。感谢您对公司的关注。</w:t>
            </w:r>
          </w:p>
          <w:p w14:paraId="7AE42859">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Times New Roman" w:hAnsi="Times New Roman" w:eastAsia="宋体" w:cs="Times New Roman"/>
                <w:szCs w:val="21"/>
              </w:rPr>
            </w:pPr>
          </w:p>
          <w:p w14:paraId="0940E586">
            <w:pPr>
              <w:keepNext w:val="0"/>
              <w:keepLines w:val="0"/>
              <w:pageBreakBefore w:val="0"/>
              <w:widowControl w:val="0"/>
              <w:numPr>
                <w:ilvl w:val="0"/>
                <w:numId w:val="1"/>
              </w:numPr>
              <w:kinsoku/>
              <w:wordWrap/>
              <w:overflowPunct/>
              <w:topLinePunct w:val="0"/>
              <w:autoSpaceDE/>
              <w:autoSpaceDN/>
              <w:bidi w:val="0"/>
              <w:adjustRightInd/>
              <w:snapToGrid w:val="0"/>
              <w:spacing w:line="300" w:lineRule="auto"/>
              <w:ind w:left="425" w:leftChars="0" w:hanging="425" w:firstLineChars="0"/>
              <w:textAlignment w:val="auto"/>
              <w:rPr>
                <w:rFonts w:hint="default" w:ascii="Times New Roman" w:hAnsi="Times New Roman" w:eastAsia="宋体" w:cs="Times New Roman"/>
                <w:b/>
                <w:bCs/>
                <w:szCs w:val="21"/>
              </w:rPr>
            </w:pPr>
            <w:r>
              <w:rPr>
                <w:rFonts w:hint="default" w:ascii="Times New Roman" w:hAnsi="Times New Roman" w:eastAsia="宋体" w:cs="Times New Roman"/>
                <w:b/>
                <w:bCs/>
                <w:szCs w:val="21"/>
              </w:rPr>
              <w:t>公司持续亏损、现金流紧张，高管薪酬相对偏高，请问是否计划优化薪酬机制、降低费用成本？</w:t>
            </w:r>
          </w:p>
          <w:p w14:paraId="63776827">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答：尊敬的投资者朋友您好，根据公司2026年高级管理人员薪酬方案，公司高级管理人员实行年薪制，薪酬由基本薪酬、绩效薪酬、中长期激励等构成，其中绩效薪酬根据年度公司经营目标和个人年度绩效考核指标的完成情况确定，绩效薪酬占比不低于基本薪酬与绩效薪酬总额的50%，相关薪酬方案制定合理，符合各项规则要求。感谢您对公司的关注。</w:t>
            </w:r>
          </w:p>
          <w:p w14:paraId="29A12DBE">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Times New Roman" w:hAnsi="Times New Roman" w:eastAsia="宋体" w:cs="Times New Roman"/>
                <w:szCs w:val="21"/>
              </w:rPr>
            </w:pPr>
          </w:p>
          <w:p w14:paraId="324DCD25">
            <w:pPr>
              <w:keepNext w:val="0"/>
              <w:keepLines w:val="0"/>
              <w:pageBreakBefore w:val="0"/>
              <w:widowControl w:val="0"/>
              <w:numPr>
                <w:ilvl w:val="0"/>
                <w:numId w:val="1"/>
              </w:numPr>
              <w:kinsoku/>
              <w:wordWrap/>
              <w:overflowPunct/>
              <w:topLinePunct w:val="0"/>
              <w:autoSpaceDE/>
              <w:autoSpaceDN/>
              <w:bidi w:val="0"/>
              <w:adjustRightInd/>
              <w:snapToGrid w:val="0"/>
              <w:spacing w:line="300" w:lineRule="auto"/>
              <w:ind w:left="425" w:leftChars="0" w:hanging="425" w:firstLineChars="0"/>
              <w:textAlignment w:val="auto"/>
              <w:rPr>
                <w:rFonts w:hint="default" w:ascii="Times New Roman" w:hAnsi="Times New Roman" w:eastAsia="宋体" w:cs="Times New Roman"/>
                <w:b/>
                <w:bCs/>
                <w:szCs w:val="21"/>
              </w:rPr>
            </w:pPr>
            <w:r>
              <w:rPr>
                <w:rFonts w:hint="default" w:ascii="Times New Roman" w:hAnsi="Times New Roman" w:eastAsia="宋体" w:cs="Times New Roman"/>
                <w:b/>
                <w:bCs/>
                <w:szCs w:val="21"/>
              </w:rPr>
              <w:t>请问公司截至目前最新股东总户数为多少？</w:t>
            </w:r>
          </w:p>
          <w:p w14:paraId="7D3D3E75">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答：尊敬的投资者朋友您好，截至2026年第一季度末，公司股东总户数为17006户。感谢您对公司的关注。</w:t>
            </w:r>
          </w:p>
        </w:tc>
      </w:tr>
      <w:tr w14:paraId="4618A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662" w:type="pct"/>
            <w:vAlign w:val="center"/>
          </w:tcPr>
          <w:p w14:paraId="201D227F">
            <w:pPr>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附件清单</w:t>
            </w:r>
          </w:p>
        </w:tc>
        <w:tc>
          <w:tcPr>
            <w:tcW w:w="4337" w:type="pct"/>
          </w:tcPr>
          <w:p w14:paraId="18C12E44">
            <w:pPr>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无</w:t>
            </w:r>
          </w:p>
        </w:tc>
      </w:tr>
      <w:tr w14:paraId="447DE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662" w:type="pct"/>
            <w:vAlign w:val="center"/>
          </w:tcPr>
          <w:p w14:paraId="3C04842C">
            <w:pPr>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日期</w:t>
            </w:r>
          </w:p>
        </w:tc>
        <w:tc>
          <w:tcPr>
            <w:tcW w:w="4337" w:type="pct"/>
          </w:tcPr>
          <w:p w14:paraId="144F6261">
            <w:pPr>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202</w:t>
            </w:r>
            <w:r>
              <w:rPr>
                <w:rFonts w:hint="eastAsia" w:ascii="Times New Roman" w:hAnsi="Times New Roman" w:eastAsia="宋体" w:cs="Times New Roman"/>
                <w:szCs w:val="21"/>
                <w:lang w:val="en-US" w:eastAsia="zh-CN"/>
              </w:rPr>
              <w:t>6</w:t>
            </w:r>
            <w:r>
              <w:rPr>
                <w:rFonts w:hint="default" w:ascii="Times New Roman" w:hAnsi="Times New Roman" w:eastAsia="宋体" w:cs="Times New Roman"/>
                <w:szCs w:val="21"/>
              </w:rPr>
              <w:t>年</w:t>
            </w:r>
            <w:r>
              <w:rPr>
                <w:rFonts w:hint="eastAsia" w:ascii="Times New Roman" w:hAnsi="Times New Roman" w:eastAsia="宋体" w:cs="Times New Roman"/>
                <w:szCs w:val="21"/>
                <w:lang w:val="en-US" w:eastAsia="zh-CN"/>
              </w:rPr>
              <w:t>5</w:t>
            </w:r>
            <w:r>
              <w:rPr>
                <w:rFonts w:hint="default" w:ascii="Times New Roman" w:hAnsi="Times New Roman" w:eastAsia="宋体" w:cs="Times New Roman"/>
                <w:szCs w:val="21"/>
              </w:rPr>
              <w:t>月</w:t>
            </w:r>
            <w:r>
              <w:rPr>
                <w:rFonts w:hint="default" w:ascii="Times New Roman" w:hAnsi="Times New Roman" w:eastAsia="宋体" w:cs="Times New Roman"/>
                <w:szCs w:val="21"/>
                <w:lang w:val="en-US" w:eastAsia="zh-CN"/>
              </w:rPr>
              <w:t>1</w:t>
            </w:r>
            <w:r>
              <w:rPr>
                <w:rFonts w:hint="eastAsia" w:ascii="Times New Roman" w:hAnsi="Times New Roman" w:eastAsia="宋体" w:cs="Times New Roman"/>
                <w:szCs w:val="21"/>
                <w:lang w:val="en-US" w:eastAsia="zh-CN"/>
              </w:rPr>
              <w:t>2</w:t>
            </w:r>
            <w:r>
              <w:rPr>
                <w:rFonts w:hint="default" w:ascii="Times New Roman" w:hAnsi="Times New Roman" w:eastAsia="宋体" w:cs="Times New Roman"/>
                <w:szCs w:val="21"/>
              </w:rPr>
              <w:t>日</w:t>
            </w:r>
          </w:p>
        </w:tc>
      </w:tr>
    </w:tbl>
    <w:p w14:paraId="2D1E3F93">
      <w:pPr>
        <w:tabs>
          <w:tab w:val="left" w:pos="947"/>
        </w:tabs>
        <w:rPr>
          <w:rFonts w:hint="eastAsia" w:ascii="宋体" w:hAnsi="宋体" w:eastAsia="宋体" w:cs="宋体"/>
        </w:rPr>
      </w:pPr>
    </w:p>
    <w:p w14:paraId="3D9BDB81">
      <w:pPr>
        <w:tabs>
          <w:tab w:val="left" w:pos="947"/>
        </w:tabs>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7CB43C4"/>
    <w:rsid w:val="39840565"/>
    <w:rsid w:val="5910278B"/>
    <w:rsid w:val="6704480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10">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2">
    <w:name w:val="annotation text"/>
    <w:basedOn w:val="1"/>
    <w:link w:val="16"/>
    <w:qFormat/>
    <w:uiPriority w:val="99"/>
    <w:pPr>
      <w:jc w:val="left"/>
    </w:pPr>
  </w:style>
  <w:style w:type="paragraph" w:styleId="3">
    <w:name w:val="Balloon Text"/>
    <w:basedOn w:val="1"/>
    <w:link w:val="18"/>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7"/>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99"/>
    <w:rPr>
      <w:color w:val="0000FF"/>
      <w:u w:val="single"/>
    </w:rPr>
  </w:style>
  <w:style w:type="character" w:styleId="12">
    <w:name w:val="annotation reference"/>
    <w:basedOn w:val="10"/>
    <w:qFormat/>
    <w:uiPriority w:val="99"/>
    <w:rPr>
      <w:sz w:val="21"/>
      <w:szCs w:val="21"/>
    </w:rPr>
  </w:style>
  <w:style w:type="character" w:customStyle="1" w:styleId="13">
    <w:name w:val="页眉 字符"/>
    <w:basedOn w:val="10"/>
    <w:link w:val="5"/>
    <w:qFormat/>
    <w:uiPriority w:val="99"/>
    <w:rPr>
      <w:sz w:val="18"/>
      <w:szCs w:val="18"/>
    </w:rPr>
  </w:style>
  <w:style w:type="character" w:customStyle="1" w:styleId="14">
    <w:name w:val="页脚 字符"/>
    <w:basedOn w:val="10"/>
    <w:link w:val="4"/>
    <w:qFormat/>
    <w:uiPriority w:val="99"/>
    <w:rPr>
      <w:sz w:val="18"/>
      <w:szCs w:val="18"/>
    </w:rPr>
  </w:style>
  <w:style w:type="paragraph" w:customStyle="1" w:styleId="15">
    <w:name w:val="无间隔1"/>
    <w:qFormat/>
    <w:uiPriority w:val="1"/>
    <w:pPr>
      <w:widowControl w:val="0"/>
      <w:jc w:val="both"/>
    </w:pPr>
    <w:rPr>
      <w:rFonts w:ascii="等线" w:hAnsi="等线" w:eastAsia="等线" w:cs="宋体"/>
      <w:kern w:val="2"/>
      <w:sz w:val="21"/>
      <w:szCs w:val="22"/>
      <w:lang w:val="en-US" w:eastAsia="zh-CN" w:bidi="ar-SA"/>
    </w:rPr>
  </w:style>
  <w:style w:type="character" w:customStyle="1" w:styleId="16">
    <w:name w:val="批注文字 字符"/>
    <w:basedOn w:val="10"/>
    <w:link w:val="2"/>
    <w:qFormat/>
    <w:uiPriority w:val="99"/>
    <w:rPr>
      <w:rFonts w:ascii="等线" w:hAnsi="等线" w:eastAsia="等线" w:cs="宋体"/>
      <w:kern w:val="2"/>
      <w:sz w:val="21"/>
      <w:szCs w:val="22"/>
    </w:rPr>
  </w:style>
  <w:style w:type="character" w:customStyle="1" w:styleId="17">
    <w:name w:val="批注主题 字符"/>
    <w:basedOn w:val="16"/>
    <w:link w:val="7"/>
    <w:qFormat/>
    <w:uiPriority w:val="99"/>
    <w:rPr>
      <w:rFonts w:ascii="等线" w:hAnsi="等线" w:eastAsia="等线" w:cs="宋体"/>
      <w:b/>
      <w:bCs/>
      <w:kern w:val="2"/>
      <w:sz w:val="21"/>
      <w:szCs w:val="22"/>
    </w:rPr>
  </w:style>
  <w:style w:type="character" w:customStyle="1" w:styleId="18">
    <w:name w:val="批注框文本 字符"/>
    <w:basedOn w:val="10"/>
    <w:link w:val="3"/>
    <w:qFormat/>
    <w:uiPriority w:val="99"/>
    <w:rPr>
      <w:rFonts w:ascii="等线" w:hAnsi="等线" w:eastAsia="等线" w:cs="宋体"/>
      <w:kern w:val="2"/>
      <w:sz w:val="18"/>
      <w:szCs w:val="18"/>
    </w:rPr>
  </w:style>
  <w:style w:type="paragraph" w:customStyle="1" w:styleId="19">
    <w:name w:val="列出段落1"/>
    <w:basedOn w:val="1"/>
    <w:qFormat/>
    <w:uiPriority w:val="34"/>
    <w:pPr>
      <w:ind w:firstLine="420" w:firstLineChars="200"/>
    </w:pPr>
  </w:style>
  <w:style w:type="paragraph" w:customStyle="1" w:styleId="20">
    <w:name w:val="列出段落2"/>
    <w:basedOn w:val="1"/>
    <w:qFormat/>
    <w:uiPriority w:val="34"/>
    <w:pPr>
      <w:ind w:firstLine="420" w:firstLineChars="200"/>
    </w:pPr>
  </w:style>
  <w:style w:type="paragraph" w:customStyle="1" w:styleId="21">
    <w:name w:val="列出段落3"/>
    <w:basedOn w:val="1"/>
    <w:qFormat/>
    <w:uiPriority w:val="34"/>
    <w:pPr>
      <w:ind w:firstLine="420" w:firstLineChars="200"/>
    </w:pPr>
  </w:style>
  <w:style w:type="paragraph" w:customStyle="1" w:styleId="22">
    <w:name w:val="列出段落4"/>
    <w:basedOn w:val="1"/>
    <w:qFormat/>
    <w:uiPriority w:val="99"/>
    <w:pPr>
      <w:ind w:firstLine="420" w:firstLineChars="200"/>
    </w:pPr>
  </w:style>
  <w:style w:type="paragraph" w:styleId="23">
    <w:name w:val="List Paragraph"/>
    <w:basedOn w:val="1"/>
    <w:qFormat/>
    <w:uiPriority w:val="34"/>
    <w:pPr>
      <w:ind w:firstLine="420" w:firstLineChars="200"/>
    </w:pPr>
  </w:style>
  <w:style w:type="paragraph" w:customStyle="1" w:styleId="24">
    <w:name w:val="修订1"/>
    <w:qFormat/>
    <w:uiPriority w:val="99"/>
    <w:rPr>
      <w:rFonts w:ascii="等线" w:hAnsi="等线" w:eastAsia="等线" w:cs="宋体"/>
      <w:kern w:val="2"/>
      <w:sz w:val="21"/>
      <w:szCs w:val="22"/>
      <w:lang w:val="en-US" w:eastAsia="zh-CN" w:bidi="ar-SA"/>
    </w:rPr>
  </w:style>
  <w:style w:type="paragraph" w:customStyle="1" w:styleId="25">
    <w:name w:val="Revision_713d79fb-78cd-4552-b989-b1b90abb3bb1"/>
    <w:qFormat/>
    <w:uiPriority w:val="99"/>
    <w:rPr>
      <w:rFonts w:ascii="等线" w:hAnsi="等线" w:eastAsia="等线" w:cs="宋体"/>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Micorosoft</Company>
  <Pages>3</Pages>
  <Words>2572</Words>
  <Characters>2774</Characters>
  <Paragraphs>70</Paragraphs>
  <TotalTime>90</TotalTime>
  <ScaleCrop>false</ScaleCrop>
  <LinksUpToDate>false</LinksUpToDate>
  <CharactersWithSpaces>2893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2025-03-18T06:26:00Z</dcterms:created>
  <dc:creator>myji</dc:creator>
  <cp:lastModifiedBy>奉竹</cp:lastModifiedBy>
  <cp:lastPrinted>2021-01-25T11:46:00Z</cp:lastPrinted>
  <dcterms:modified xsi:type="dcterms:W3CDTF">2026-05-12T06:58:51Z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B905C2B1B43E44CD839512EB501A09B3_13</vt:lpwstr>
  </property>
  <property fmtid="{D5CDD505-2E9C-101B-9397-08002B2CF9AE}" pid="4" name="KSOTemplateDocerSaveRecord">
    <vt:lpwstr>eyJoZGlkIjoiM2RmNmY1MzgzOGJhZjExYzY0ZTBlOTE5MjQ5N2YxYmUiLCJ1c2VySWQiOiIxOTY3NDE3MTkifQ==</vt:lpwstr>
  </property>
</Properties>
</file>