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2D785" w14:textId="77777777" w:rsidR="005A0DED" w:rsidRDefault="00531E7B">
      <w:pPr>
        <w:ind w:firstLineChars="200" w:firstLine="562"/>
        <w:jc w:val="center"/>
        <w:rPr>
          <w:rFonts w:ascii="宋体" w:hAnsi="宋体"/>
          <w:b/>
          <w:bCs/>
          <w:sz w:val="28"/>
          <w:szCs w:val="28"/>
        </w:rPr>
      </w:pPr>
      <w:r>
        <w:rPr>
          <w:rFonts w:ascii="宋体" w:hAnsi="宋体" w:hint="eastAsia"/>
          <w:b/>
          <w:bCs/>
          <w:sz w:val="28"/>
          <w:szCs w:val="28"/>
        </w:rPr>
        <w:t>烟台德邦科技股份有限公司</w:t>
      </w:r>
    </w:p>
    <w:p w14:paraId="3C92EBCF" w14:textId="77777777" w:rsidR="005A0DED" w:rsidRDefault="00531E7B">
      <w:pPr>
        <w:ind w:firstLineChars="200" w:firstLine="562"/>
        <w:jc w:val="center"/>
        <w:rPr>
          <w:rFonts w:ascii="宋体" w:hAnsi="宋体"/>
          <w:b/>
          <w:bCs/>
          <w:sz w:val="28"/>
          <w:szCs w:val="28"/>
        </w:rPr>
      </w:pPr>
      <w:r>
        <w:rPr>
          <w:rFonts w:ascii="宋体" w:hAnsi="宋体" w:hint="eastAsia"/>
          <w:b/>
          <w:bCs/>
          <w:sz w:val="28"/>
          <w:szCs w:val="28"/>
        </w:rPr>
        <w:t>投资者关系活动记录表</w:t>
      </w:r>
    </w:p>
    <w:p w14:paraId="6B6D484D" w14:textId="77777777" w:rsidR="005A0DED" w:rsidRDefault="005A0DED">
      <w:pPr>
        <w:ind w:firstLineChars="200" w:firstLine="562"/>
        <w:jc w:val="center"/>
        <w:rPr>
          <w:rFonts w:ascii="宋体" w:hAnsi="宋体"/>
          <w:b/>
          <w:bCs/>
          <w:sz w:val="28"/>
          <w:szCs w:val="28"/>
        </w:rPr>
      </w:pPr>
    </w:p>
    <w:p w14:paraId="5A7BA596" w14:textId="77777777" w:rsidR="005A0DED" w:rsidRDefault="00531E7B">
      <w:pPr>
        <w:ind w:firstLineChars="200" w:firstLine="482"/>
        <w:rPr>
          <w:rFonts w:ascii="宋体" w:hAnsi="宋体"/>
          <w:b/>
          <w:bCs/>
          <w:szCs w:val="24"/>
        </w:rPr>
      </w:pPr>
      <w:r>
        <w:rPr>
          <w:rFonts w:ascii="宋体" w:hAnsi="宋体" w:hint="eastAsia"/>
          <w:b/>
          <w:bCs/>
          <w:szCs w:val="24"/>
        </w:rPr>
        <w:t xml:space="preserve">证券简称：德邦科技 </w:t>
      </w:r>
      <w:r>
        <w:rPr>
          <w:rFonts w:ascii="宋体" w:hAnsi="宋体"/>
          <w:b/>
          <w:bCs/>
          <w:szCs w:val="24"/>
        </w:rPr>
        <w:t xml:space="preserve">        </w:t>
      </w:r>
      <w:r>
        <w:rPr>
          <w:rFonts w:ascii="宋体" w:hAnsi="宋体" w:hint="eastAsia"/>
          <w:b/>
          <w:bCs/>
          <w:szCs w:val="24"/>
        </w:rPr>
        <w:t xml:space="preserve">证券代码：688035 </w:t>
      </w:r>
      <w:r>
        <w:rPr>
          <w:rFonts w:ascii="宋体" w:hAnsi="宋体"/>
          <w:b/>
          <w:bCs/>
          <w:szCs w:val="24"/>
        </w:rPr>
        <w:t xml:space="preserve">       </w:t>
      </w:r>
      <w:r>
        <w:rPr>
          <w:rFonts w:ascii="宋体" w:hAnsi="宋体" w:hint="eastAsia"/>
          <w:b/>
          <w:bCs/>
          <w:szCs w:val="24"/>
        </w:rPr>
        <w:t>编号：2026</w:t>
      </w:r>
      <w:r>
        <w:rPr>
          <w:rFonts w:ascii="宋体" w:hAnsi="宋体"/>
          <w:b/>
          <w:bCs/>
          <w:szCs w:val="24"/>
        </w:rPr>
        <w:t>-003</w:t>
      </w:r>
    </w:p>
    <w:tbl>
      <w:tblPr>
        <w:tblStyle w:val="aa"/>
        <w:tblW w:w="8508" w:type="dxa"/>
        <w:tblLook w:val="04A0" w:firstRow="1" w:lastRow="0" w:firstColumn="1" w:lastColumn="0" w:noHBand="0" w:noVBand="1"/>
      </w:tblPr>
      <w:tblGrid>
        <w:gridCol w:w="2427"/>
        <w:gridCol w:w="6081"/>
      </w:tblGrid>
      <w:tr w:rsidR="005A0DED" w14:paraId="765D0A29" w14:textId="77777777">
        <w:tc>
          <w:tcPr>
            <w:tcW w:w="2427" w:type="dxa"/>
            <w:vAlign w:val="center"/>
          </w:tcPr>
          <w:p w14:paraId="548C4FD2" w14:textId="77777777" w:rsidR="005A0DED" w:rsidRDefault="00531E7B">
            <w:pPr>
              <w:jc w:val="center"/>
              <w:rPr>
                <w:rFonts w:ascii="宋体" w:hAnsi="宋体"/>
                <w:b/>
                <w:bCs/>
                <w:szCs w:val="24"/>
              </w:rPr>
            </w:pPr>
            <w:r>
              <w:rPr>
                <w:rFonts w:ascii="宋体" w:hAnsi="宋体" w:hint="eastAsia"/>
                <w:b/>
                <w:bCs/>
                <w:szCs w:val="24"/>
              </w:rPr>
              <w:t>投资者关系活动</w:t>
            </w:r>
          </w:p>
          <w:p w14:paraId="25DF0D72" w14:textId="77777777" w:rsidR="005A0DED" w:rsidRDefault="00531E7B">
            <w:pPr>
              <w:jc w:val="center"/>
              <w:rPr>
                <w:rFonts w:ascii="宋体" w:hAnsi="宋体"/>
                <w:b/>
                <w:bCs/>
                <w:szCs w:val="24"/>
              </w:rPr>
            </w:pPr>
            <w:r>
              <w:rPr>
                <w:rFonts w:ascii="宋体" w:hAnsi="宋体" w:hint="eastAsia"/>
                <w:b/>
                <w:bCs/>
                <w:szCs w:val="24"/>
              </w:rPr>
              <w:t>类别</w:t>
            </w:r>
          </w:p>
        </w:tc>
        <w:tc>
          <w:tcPr>
            <w:tcW w:w="6081" w:type="dxa"/>
            <w:vAlign w:val="center"/>
          </w:tcPr>
          <w:p w14:paraId="7913A64D" w14:textId="77777777" w:rsidR="005A0DED" w:rsidRDefault="00531E7B">
            <w:pPr>
              <w:spacing w:line="360" w:lineRule="auto"/>
              <w:rPr>
                <w:rFonts w:ascii="宋体" w:hAnsi="宋体"/>
                <w:szCs w:val="24"/>
              </w:rPr>
            </w:pPr>
            <w:r>
              <w:rPr>
                <w:rFonts w:ascii="Segoe UI Symbol" w:hAnsi="Segoe UI Symbol" w:cs="Segoe UI Symbol" w:hint="eastAsia"/>
                <w:kern w:val="0"/>
                <w:szCs w:val="24"/>
              </w:rPr>
              <w:t>□</w:t>
            </w:r>
            <w:r>
              <w:rPr>
                <w:rFonts w:ascii="宋体" w:hAnsi="宋体"/>
                <w:szCs w:val="24"/>
              </w:rPr>
              <w:t xml:space="preserve">特定对象调研       </w:t>
            </w:r>
            <w:r>
              <w:rPr>
                <w:rFonts w:ascii="宋体" w:hAnsi="宋体"/>
                <w:kern w:val="0"/>
                <w:szCs w:val="24"/>
              </w:rPr>
              <w:t>□</w:t>
            </w:r>
            <w:r>
              <w:rPr>
                <w:rFonts w:ascii="宋体" w:hAnsi="宋体"/>
                <w:szCs w:val="24"/>
              </w:rPr>
              <w:t>分析师会议</w:t>
            </w:r>
          </w:p>
          <w:p w14:paraId="01DFDAA7" w14:textId="77777777" w:rsidR="005A0DED" w:rsidRDefault="00531E7B">
            <w:pPr>
              <w:spacing w:line="360" w:lineRule="auto"/>
              <w:rPr>
                <w:rFonts w:ascii="宋体" w:hAnsi="宋体"/>
                <w:kern w:val="0"/>
                <w:szCs w:val="24"/>
              </w:rPr>
            </w:pPr>
            <w:r>
              <w:rPr>
                <w:rFonts w:ascii="宋体" w:hAnsi="宋体" w:hint="eastAsia"/>
                <w:kern w:val="0"/>
                <w:szCs w:val="24"/>
              </w:rPr>
              <w:t>□</w:t>
            </w:r>
            <w:r>
              <w:rPr>
                <w:rFonts w:ascii="宋体" w:hAnsi="宋体"/>
                <w:kern w:val="0"/>
                <w:szCs w:val="24"/>
              </w:rPr>
              <w:t>媒体采访           □业绩说明会</w:t>
            </w:r>
          </w:p>
          <w:p w14:paraId="03D3E3C1" w14:textId="77777777" w:rsidR="005A0DED" w:rsidRDefault="00531E7B">
            <w:pPr>
              <w:spacing w:line="360" w:lineRule="auto"/>
              <w:rPr>
                <w:rFonts w:ascii="宋体" w:hAnsi="宋体"/>
                <w:kern w:val="0"/>
                <w:szCs w:val="24"/>
              </w:rPr>
            </w:pPr>
            <w:r>
              <w:rPr>
                <w:rFonts w:ascii="宋体" w:hAnsi="宋体" w:hint="eastAsia"/>
                <w:kern w:val="0"/>
                <w:szCs w:val="24"/>
              </w:rPr>
              <w:t>□</w:t>
            </w:r>
            <w:r>
              <w:rPr>
                <w:rFonts w:ascii="宋体" w:hAnsi="宋体"/>
                <w:kern w:val="0"/>
                <w:szCs w:val="24"/>
              </w:rPr>
              <w:t>新闻发布会         □路演活动</w:t>
            </w:r>
          </w:p>
          <w:p w14:paraId="72D52799" w14:textId="77777777" w:rsidR="005A0DED" w:rsidRDefault="00531E7B">
            <w:pPr>
              <w:spacing w:line="360" w:lineRule="auto"/>
              <w:rPr>
                <w:rFonts w:ascii="宋体" w:hAnsi="宋体"/>
                <w:szCs w:val="24"/>
              </w:rPr>
            </w:pPr>
            <w:r>
              <w:rPr>
                <w:rFonts w:ascii="宋体" w:hAnsi="宋体"/>
                <w:kern w:val="0"/>
                <w:szCs w:val="24"/>
              </w:rPr>
              <w:t xml:space="preserve">□现场参观           </w:t>
            </w:r>
            <w:r>
              <w:rPr>
                <w:rFonts w:ascii="Segoe UI Symbol" w:hAnsi="Segoe UI Symbol" w:cs="Segoe UI Symbol"/>
                <w:kern w:val="0"/>
                <w:szCs w:val="24"/>
              </w:rPr>
              <w:t>☑</w:t>
            </w:r>
            <w:r>
              <w:rPr>
                <w:rFonts w:ascii="宋体" w:hAnsi="宋体"/>
                <w:kern w:val="0"/>
                <w:szCs w:val="24"/>
              </w:rPr>
              <w:t>其他(</w:t>
            </w:r>
            <w:r>
              <w:rPr>
                <w:rFonts w:ascii="宋体" w:hAnsi="宋体" w:hint="eastAsia"/>
                <w:kern w:val="0"/>
                <w:szCs w:val="24"/>
              </w:rPr>
              <w:t>线上会议、策略会</w:t>
            </w:r>
            <w:r>
              <w:rPr>
                <w:rFonts w:ascii="宋体" w:hAnsi="宋体"/>
                <w:kern w:val="0"/>
                <w:szCs w:val="24"/>
              </w:rPr>
              <w:t>)</w:t>
            </w:r>
          </w:p>
        </w:tc>
      </w:tr>
      <w:tr w:rsidR="005A0DED" w14:paraId="2338AE24" w14:textId="77777777" w:rsidTr="00D934FF">
        <w:trPr>
          <w:trHeight w:val="1102"/>
        </w:trPr>
        <w:tc>
          <w:tcPr>
            <w:tcW w:w="2427" w:type="dxa"/>
            <w:vAlign w:val="center"/>
          </w:tcPr>
          <w:p w14:paraId="6A5BC60C" w14:textId="77777777" w:rsidR="005A0DED" w:rsidRDefault="00531E7B">
            <w:pPr>
              <w:jc w:val="center"/>
              <w:rPr>
                <w:rFonts w:ascii="宋体" w:hAnsi="宋体"/>
                <w:b/>
                <w:bCs/>
                <w:szCs w:val="24"/>
              </w:rPr>
            </w:pPr>
            <w:r>
              <w:rPr>
                <w:rFonts w:ascii="宋体" w:hAnsi="宋体" w:hint="eastAsia"/>
                <w:b/>
                <w:bCs/>
                <w:szCs w:val="24"/>
              </w:rPr>
              <w:t>参与单位名称</w:t>
            </w:r>
          </w:p>
          <w:p w14:paraId="5DC99DA3" w14:textId="77777777" w:rsidR="005A0DED" w:rsidRDefault="00531E7B">
            <w:pPr>
              <w:jc w:val="center"/>
              <w:rPr>
                <w:rFonts w:ascii="宋体" w:hAnsi="宋体"/>
                <w:b/>
                <w:bCs/>
                <w:szCs w:val="24"/>
              </w:rPr>
            </w:pPr>
            <w:r>
              <w:rPr>
                <w:rFonts w:ascii="宋体" w:hAnsi="宋体" w:hint="eastAsia"/>
                <w:b/>
                <w:bCs/>
                <w:szCs w:val="24"/>
              </w:rPr>
              <w:t>及人员姓名</w:t>
            </w:r>
          </w:p>
        </w:tc>
        <w:tc>
          <w:tcPr>
            <w:tcW w:w="6081" w:type="dxa"/>
            <w:vAlign w:val="center"/>
          </w:tcPr>
          <w:p w14:paraId="1AB169E8" w14:textId="77777777" w:rsidR="005A0DED" w:rsidRDefault="00531E7B">
            <w:pPr>
              <w:spacing w:line="360" w:lineRule="auto"/>
              <w:jc w:val="left"/>
              <w:rPr>
                <w:rFonts w:ascii="宋体" w:hAnsi="宋体"/>
                <w:szCs w:val="24"/>
              </w:rPr>
            </w:pPr>
            <w:r>
              <w:rPr>
                <w:rFonts w:ascii="宋体" w:hAnsi="宋体" w:hint="eastAsia"/>
                <w:szCs w:val="24"/>
              </w:rPr>
              <w:t>中信证券策略会</w:t>
            </w:r>
          </w:p>
        </w:tc>
      </w:tr>
      <w:tr w:rsidR="005A0DED" w14:paraId="09CE8A6F" w14:textId="77777777">
        <w:trPr>
          <w:trHeight w:val="497"/>
        </w:trPr>
        <w:tc>
          <w:tcPr>
            <w:tcW w:w="2427" w:type="dxa"/>
            <w:vAlign w:val="center"/>
          </w:tcPr>
          <w:p w14:paraId="507D7225" w14:textId="77777777" w:rsidR="005A0DED" w:rsidRDefault="00531E7B">
            <w:pPr>
              <w:jc w:val="center"/>
              <w:rPr>
                <w:rFonts w:ascii="宋体" w:hAnsi="宋体"/>
                <w:b/>
                <w:bCs/>
                <w:szCs w:val="24"/>
              </w:rPr>
            </w:pPr>
            <w:r>
              <w:rPr>
                <w:rFonts w:ascii="宋体" w:hAnsi="宋体" w:hint="eastAsia"/>
                <w:b/>
                <w:bCs/>
                <w:szCs w:val="24"/>
              </w:rPr>
              <w:t>时间</w:t>
            </w:r>
          </w:p>
        </w:tc>
        <w:tc>
          <w:tcPr>
            <w:tcW w:w="6081" w:type="dxa"/>
            <w:vAlign w:val="center"/>
          </w:tcPr>
          <w:p w14:paraId="7790D1D3" w14:textId="77777777" w:rsidR="005A0DED" w:rsidRDefault="00531E7B">
            <w:pPr>
              <w:spacing w:line="360" w:lineRule="auto"/>
              <w:jc w:val="left"/>
              <w:rPr>
                <w:rFonts w:ascii="宋体" w:hAnsi="宋体"/>
                <w:szCs w:val="24"/>
              </w:rPr>
            </w:pPr>
            <w:r>
              <w:rPr>
                <w:rFonts w:ascii="宋体" w:hAnsi="宋体" w:hint="eastAsia"/>
                <w:szCs w:val="24"/>
              </w:rPr>
              <w:t>2026年</w:t>
            </w:r>
            <w:r>
              <w:rPr>
                <w:rFonts w:ascii="宋体" w:hAnsi="宋体"/>
                <w:szCs w:val="24"/>
              </w:rPr>
              <w:t>5</w:t>
            </w:r>
            <w:r>
              <w:rPr>
                <w:rFonts w:ascii="宋体" w:hAnsi="宋体" w:hint="eastAsia"/>
                <w:szCs w:val="24"/>
              </w:rPr>
              <w:t>月</w:t>
            </w:r>
            <w:r>
              <w:rPr>
                <w:rFonts w:ascii="宋体" w:hAnsi="宋体"/>
                <w:szCs w:val="24"/>
              </w:rPr>
              <w:t>7日</w:t>
            </w:r>
            <w:r>
              <w:rPr>
                <w:rFonts w:ascii="宋体" w:hAnsi="宋体" w:hint="eastAsia"/>
                <w:szCs w:val="24"/>
              </w:rPr>
              <w:t>-</w:t>
            </w:r>
            <w:r>
              <w:rPr>
                <w:rFonts w:ascii="宋体" w:hAnsi="宋体"/>
                <w:szCs w:val="24"/>
              </w:rPr>
              <w:t>5月8</w:t>
            </w:r>
            <w:r>
              <w:rPr>
                <w:rFonts w:ascii="宋体" w:hAnsi="宋体" w:hint="eastAsia"/>
                <w:szCs w:val="24"/>
              </w:rPr>
              <w:t>日</w:t>
            </w:r>
          </w:p>
        </w:tc>
      </w:tr>
      <w:tr w:rsidR="005A0DED" w14:paraId="2F501B07" w14:textId="77777777">
        <w:tc>
          <w:tcPr>
            <w:tcW w:w="2427" w:type="dxa"/>
            <w:vAlign w:val="center"/>
          </w:tcPr>
          <w:p w14:paraId="53A184B0" w14:textId="77777777" w:rsidR="005A0DED" w:rsidRDefault="00531E7B">
            <w:pPr>
              <w:jc w:val="center"/>
              <w:rPr>
                <w:rFonts w:ascii="宋体" w:hAnsi="宋体"/>
                <w:b/>
                <w:bCs/>
                <w:szCs w:val="24"/>
              </w:rPr>
            </w:pPr>
            <w:r>
              <w:rPr>
                <w:rFonts w:ascii="宋体" w:hAnsi="宋体" w:hint="eastAsia"/>
                <w:b/>
                <w:bCs/>
                <w:szCs w:val="24"/>
              </w:rPr>
              <w:t>地点</w:t>
            </w:r>
          </w:p>
        </w:tc>
        <w:tc>
          <w:tcPr>
            <w:tcW w:w="6081" w:type="dxa"/>
            <w:vAlign w:val="center"/>
          </w:tcPr>
          <w:p w14:paraId="766C2EE6" w14:textId="77777777" w:rsidR="005A0DED" w:rsidRDefault="00531E7B">
            <w:pPr>
              <w:spacing w:line="360" w:lineRule="auto"/>
              <w:jc w:val="left"/>
              <w:rPr>
                <w:rFonts w:ascii="宋体" w:hAnsi="宋体"/>
                <w:szCs w:val="24"/>
              </w:rPr>
            </w:pPr>
            <w:r>
              <w:rPr>
                <w:rFonts w:ascii="宋体" w:hAnsi="宋体" w:hint="eastAsia"/>
                <w:szCs w:val="24"/>
              </w:rPr>
              <w:t>券商策略会</w:t>
            </w:r>
          </w:p>
        </w:tc>
      </w:tr>
      <w:tr w:rsidR="005A0DED" w14:paraId="3AD04A84" w14:textId="77777777">
        <w:trPr>
          <w:trHeight w:val="1135"/>
        </w:trPr>
        <w:tc>
          <w:tcPr>
            <w:tcW w:w="2427" w:type="dxa"/>
            <w:vAlign w:val="center"/>
          </w:tcPr>
          <w:p w14:paraId="2F299D8E" w14:textId="77777777" w:rsidR="005A0DED" w:rsidRDefault="00531E7B">
            <w:pPr>
              <w:jc w:val="center"/>
              <w:rPr>
                <w:rFonts w:ascii="宋体" w:hAnsi="宋体"/>
                <w:b/>
                <w:bCs/>
                <w:szCs w:val="24"/>
              </w:rPr>
            </w:pPr>
            <w:r>
              <w:rPr>
                <w:rFonts w:ascii="宋体" w:hAnsi="宋体" w:hint="eastAsia"/>
                <w:b/>
                <w:bCs/>
                <w:szCs w:val="24"/>
              </w:rPr>
              <w:t>上市公司接待人员</w:t>
            </w:r>
          </w:p>
          <w:p w14:paraId="6A8E2B66" w14:textId="77777777" w:rsidR="005A0DED" w:rsidRDefault="00531E7B">
            <w:pPr>
              <w:jc w:val="center"/>
              <w:rPr>
                <w:rFonts w:ascii="宋体" w:hAnsi="宋体"/>
                <w:szCs w:val="24"/>
              </w:rPr>
            </w:pPr>
            <w:r>
              <w:rPr>
                <w:rFonts w:ascii="宋体" w:hAnsi="宋体" w:hint="eastAsia"/>
                <w:b/>
                <w:bCs/>
                <w:szCs w:val="24"/>
              </w:rPr>
              <w:t>姓名</w:t>
            </w:r>
          </w:p>
        </w:tc>
        <w:tc>
          <w:tcPr>
            <w:tcW w:w="6081" w:type="dxa"/>
            <w:vAlign w:val="center"/>
          </w:tcPr>
          <w:p w14:paraId="6B23C796" w14:textId="77777777" w:rsidR="005A0DED" w:rsidRDefault="00531E7B">
            <w:pPr>
              <w:spacing w:line="360" w:lineRule="auto"/>
              <w:jc w:val="left"/>
              <w:rPr>
                <w:rFonts w:ascii="宋体" w:hAnsi="宋体"/>
                <w:szCs w:val="24"/>
              </w:rPr>
            </w:pPr>
            <w:r>
              <w:rPr>
                <w:rFonts w:ascii="宋体" w:hAnsi="宋体" w:hint="eastAsia"/>
                <w:szCs w:val="24"/>
              </w:rPr>
              <w:t>董事会秘书：于杰</w:t>
            </w:r>
          </w:p>
          <w:p w14:paraId="56ACB609" w14:textId="77777777" w:rsidR="005A0DED" w:rsidRDefault="00531E7B">
            <w:pPr>
              <w:spacing w:line="360" w:lineRule="auto"/>
              <w:jc w:val="left"/>
              <w:rPr>
                <w:rFonts w:ascii="宋体" w:hAnsi="宋体"/>
                <w:szCs w:val="24"/>
              </w:rPr>
            </w:pPr>
            <w:r>
              <w:rPr>
                <w:rFonts w:ascii="宋体" w:hAnsi="宋体" w:hint="eastAsia"/>
                <w:szCs w:val="24"/>
              </w:rPr>
              <w:t>董事会办公室</w:t>
            </w:r>
            <w:r>
              <w:rPr>
                <w:rFonts w:ascii="宋体" w:hAnsi="宋体"/>
                <w:szCs w:val="24"/>
              </w:rPr>
              <w:t>总监：战世能</w:t>
            </w:r>
          </w:p>
        </w:tc>
      </w:tr>
      <w:tr w:rsidR="005A0DED" w14:paraId="5ED5758E" w14:textId="77777777">
        <w:tc>
          <w:tcPr>
            <w:tcW w:w="2427" w:type="dxa"/>
            <w:vAlign w:val="center"/>
          </w:tcPr>
          <w:p w14:paraId="63C77C39" w14:textId="77777777" w:rsidR="005A0DED" w:rsidRDefault="00531E7B">
            <w:pPr>
              <w:jc w:val="center"/>
              <w:rPr>
                <w:rFonts w:ascii="宋体" w:hAnsi="宋体"/>
                <w:b/>
                <w:bCs/>
                <w:szCs w:val="24"/>
              </w:rPr>
            </w:pPr>
            <w:r>
              <w:rPr>
                <w:rFonts w:ascii="宋体" w:hAnsi="宋体" w:hint="eastAsia"/>
                <w:b/>
                <w:bCs/>
                <w:szCs w:val="24"/>
              </w:rPr>
              <w:t>投资者关系活动主要内容介绍</w:t>
            </w:r>
          </w:p>
        </w:tc>
        <w:tc>
          <w:tcPr>
            <w:tcW w:w="6081" w:type="dxa"/>
            <w:vAlign w:val="center"/>
          </w:tcPr>
          <w:p w14:paraId="76F5817A" w14:textId="77777777" w:rsidR="005A0DED" w:rsidRDefault="00531E7B">
            <w:pPr>
              <w:spacing w:line="360" w:lineRule="auto"/>
              <w:ind w:firstLineChars="200" w:firstLine="482"/>
              <w:rPr>
                <w:rFonts w:ascii="宋体" w:hAnsi="宋体"/>
                <w:b/>
                <w:szCs w:val="24"/>
              </w:rPr>
            </w:pPr>
            <w:r>
              <w:rPr>
                <w:rFonts w:ascii="宋体" w:hAnsi="宋体" w:hint="eastAsia"/>
                <w:b/>
                <w:szCs w:val="24"/>
              </w:rPr>
              <w:t>1、请简单介绍一下公司主营业务、各业务板块占比情况以及相关客户情况？</w:t>
            </w:r>
          </w:p>
          <w:p w14:paraId="43751F4E" w14:textId="77777777" w:rsidR="005A0DED" w:rsidRDefault="00531E7B">
            <w:pPr>
              <w:spacing w:line="360" w:lineRule="auto"/>
              <w:ind w:firstLineChars="200" w:firstLine="480"/>
              <w:rPr>
                <w:rFonts w:ascii="宋体" w:hAnsi="宋体"/>
                <w:szCs w:val="24"/>
              </w:rPr>
            </w:pPr>
            <w:r>
              <w:rPr>
                <w:rFonts w:ascii="宋体" w:hAnsi="宋体" w:hint="eastAsia"/>
                <w:szCs w:val="24"/>
              </w:rPr>
              <w:t>答：公司主营电子封装材料，产品广泛应用于集成电路、智能终端、新能源、高端装备四大应用领域。其中集成电路产品包括：固晶系列产品（含固晶胶、固晶膜）、UV膜系列产品（含减薄膜、划片膜产品）、热界面材料（含导热垫片、导热凝胶、相变化材料、液态金属等）以及底部填充胶、AD胶等先进封装材料，主要客户包括国内主流芯片设计公司、封测企业以及组装厂；智能终端涉及产品众多，普遍应用于手机、耳机、Pad、笔电、智能手表、智能眼镜、车载电子、机器人等终端产品及相关领域，主要客户包括国内外头部智能终端品牌商以及相关</w:t>
            </w:r>
            <w:r>
              <w:rPr>
                <w:rFonts w:ascii="宋体" w:hAnsi="宋体" w:hint="eastAsia"/>
                <w:szCs w:val="24"/>
              </w:rPr>
              <w:lastRenderedPageBreak/>
              <w:t>代工厂、国内部分头部汽车品牌商以及相关供应链厂商等；新能源板块公司主要涉及锂电和光伏两部分业务，其中锂电主要涉及材料为应用于动力电池和储能电池电池包内部的结构导热材料，目前该业务公司处于行业领先地位，产品主要供给宁德时代、比亚迪、国轩、亿维等国内头部电池厂商，光伏业务主要产品为叠瓦导电胶、基于00B技术的UV胶以及少量其他光伏封装材料；高端装备产品主要应用于汽车轻量化的结构粘接、轨道交通、矿山机械等领域。</w:t>
            </w:r>
          </w:p>
          <w:p w14:paraId="7F3EC215" w14:textId="77777777" w:rsidR="005A0DED" w:rsidRDefault="00531E7B">
            <w:pPr>
              <w:spacing w:line="360" w:lineRule="auto"/>
              <w:ind w:firstLineChars="200" w:firstLine="480"/>
              <w:rPr>
                <w:rFonts w:ascii="宋体" w:hAnsi="宋体" w:cs="宋体"/>
                <w:kern w:val="0"/>
                <w:szCs w:val="24"/>
              </w:rPr>
            </w:pPr>
            <w:r>
              <w:rPr>
                <w:rFonts w:ascii="宋体" w:hAnsi="宋体" w:cs="宋体" w:hint="eastAsia"/>
                <w:kern w:val="0"/>
                <w:szCs w:val="24"/>
              </w:rPr>
              <w:t>根据2</w:t>
            </w:r>
            <w:r>
              <w:rPr>
                <w:rFonts w:ascii="宋体" w:hAnsi="宋体" w:cs="宋体"/>
                <w:kern w:val="0"/>
                <w:szCs w:val="24"/>
              </w:rPr>
              <w:t>025年度数据，公司</w:t>
            </w:r>
            <w:r>
              <w:rPr>
                <w:rFonts w:ascii="宋体" w:hAnsi="宋体" w:cs="宋体" w:hint="eastAsia"/>
                <w:kern w:val="0"/>
                <w:szCs w:val="24"/>
              </w:rPr>
              <w:t>各</w:t>
            </w:r>
            <w:r>
              <w:rPr>
                <w:rFonts w:ascii="宋体" w:hAnsi="宋体" w:cs="宋体"/>
                <w:kern w:val="0"/>
                <w:szCs w:val="24"/>
              </w:rPr>
              <w:t>业务</w:t>
            </w:r>
            <w:r>
              <w:rPr>
                <w:rFonts w:ascii="宋体" w:hAnsi="宋体" w:cs="宋体" w:hint="eastAsia"/>
                <w:kern w:val="0"/>
                <w:szCs w:val="24"/>
              </w:rPr>
              <w:t>板块均呈现</w:t>
            </w:r>
            <w:r>
              <w:rPr>
                <w:rFonts w:ascii="宋体" w:hAnsi="宋体" w:cs="宋体"/>
                <w:kern w:val="0"/>
                <w:szCs w:val="24"/>
              </w:rPr>
              <w:t>增长态势</w:t>
            </w:r>
            <w:r>
              <w:rPr>
                <w:rFonts w:ascii="宋体" w:hAnsi="宋体" w:cs="宋体" w:hint="eastAsia"/>
                <w:kern w:val="0"/>
                <w:szCs w:val="24"/>
              </w:rPr>
              <w:t>，其中集成电路板块占总收入的16.2%；智能终端板块占总收入的24.8%；新能源板块占总收入的52.3</w:t>
            </w:r>
            <w:r>
              <w:rPr>
                <w:rFonts w:ascii="宋体" w:hAnsi="宋体" w:cs="宋体"/>
                <w:kern w:val="0"/>
                <w:szCs w:val="24"/>
              </w:rPr>
              <w:t>%</w:t>
            </w:r>
            <w:r>
              <w:rPr>
                <w:rFonts w:ascii="宋体" w:hAnsi="宋体" w:cs="宋体" w:hint="eastAsia"/>
                <w:kern w:val="0"/>
                <w:szCs w:val="24"/>
              </w:rPr>
              <w:t>；高端装备板块占总收入的6.7%。从近两年以及未来发展趋势来看，集成电路和智能终端板块增速更为明显，业务占比呈明显提升态势，新能源板块占比将呈现下降的趋势，高端装备板块增速相对平稳。</w:t>
            </w:r>
          </w:p>
          <w:p w14:paraId="25A89C29" w14:textId="77777777" w:rsidR="005A0DED" w:rsidRDefault="00531E7B">
            <w:pPr>
              <w:spacing w:line="360" w:lineRule="auto"/>
              <w:ind w:firstLineChars="200" w:firstLine="482"/>
              <w:rPr>
                <w:rFonts w:ascii="宋体" w:hAnsi="宋体" w:cs="宋体"/>
                <w:bCs/>
                <w:kern w:val="0"/>
                <w:szCs w:val="24"/>
              </w:rPr>
            </w:pPr>
            <w:r>
              <w:rPr>
                <w:rFonts w:ascii="宋体" w:hAnsi="宋体" w:cs="宋体"/>
                <w:b/>
                <w:kern w:val="0"/>
                <w:szCs w:val="24"/>
              </w:rPr>
              <w:t>2</w:t>
            </w:r>
            <w:r>
              <w:rPr>
                <w:rFonts w:ascii="宋体" w:hAnsi="宋体" w:cs="宋体" w:hint="eastAsia"/>
                <w:b/>
                <w:kern w:val="0"/>
                <w:szCs w:val="24"/>
              </w:rPr>
              <w:t>、请具体介绍一下公司热界面材料业务情况？</w:t>
            </w:r>
          </w:p>
          <w:p w14:paraId="507BA689" w14:textId="77777777" w:rsidR="005A0DED" w:rsidRDefault="00531E7B">
            <w:pPr>
              <w:spacing w:line="360" w:lineRule="auto"/>
              <w:ind w:firstLineChars="200" w:firstLine="480"/>
              <w:rPr>
                <w:rFonts w:ascii="宋体" w:hAnsi="宋体" w:cs="宋体"/>
                <w:kern w:val="0"/>
                <w:szCs w:val="24"/>
              </w:rPr>
            </w:pPr>
            <w:r>
              <w:rPr>
                <w:rFonts w:ascii="宋体" w:hAnsi="宋体" w:cs="宋体" w:hint="eastAsia"/>
                <w:kern w:val="0"/>
                <w:szCs w:val="24"/>
              </w:rPr>
              <w:t>答：公司导热界面材料目前已经成为公司重要的支柱业务之一，在收入、利润方面均有较大的贡献。公司导热界面材料主要由深圳德邦界面、苏州泰吉诺两个子公司负责，两个子公司在产品应用定位上略有区别。深圳德邦界面产品广泛应用于消费电子、汽车电子、存储、通讯、新能源等领域，并在汽车电子、存储等高附加值领域持续突破；泰吉诺产品主要应用于服务器领域，同时也应用于消费电子、汽车电子、通讯等领域。</w:t>
            </w:r>
          </w:p>
          <w:p w14:paraId="32B0C736" w14:textId="77777777" w:rsidR="005A0DED" w:rsidRDefault="00531E7B">
            <w:pPr>
              <w:spacing w:line="360" w:lineRule="auto"/>
              <w:ind w:firstLineChars="200" w:firstLine="482"/>
              <w:rPr>
                <w:rFonts w:ascii="宋体" w:hAnsi="宋体" w:cs="宋体"/>
                <w:b/>
                <w:kern w:val="0"/>
                <w:szCs w:val="24"/>
              </w:rPr>
            </w:pPr>
            <w:r>
              <w:rPr>
                <w:rFonts w:ascii="宋体" w:hAnsi="宋体" w:cs="宋体"/>
                <w:b/>
                <w:kern w:val="0"/>
                <w:szCs w:val="24"/>
              </w:rPr>
              <w:t>3</w:t>
            </w:r>
            <w:r>
              <w:rPr>
                <w:rFonts w:ascii="宋体" w:hAnsi="宋体" w:cs="宋体" w:hint="eastAsia"/>
                <w:b/>
                <w:kern w:val="0"/>
                <w:szCs w:val="24"/>
              </w:rPr>
              <w:t>、请介绍一下泰吉诺产品的情况？</w:t>
            </w:r>
          </w:p>
          <w:p w14:paraId="42D73C9B" w14:textId="77777777" w:rsidR="005A0DED" w:rsidRDefault="00531E7B">
            <w:pPr>
              <w:spacing w:line="360" w:lineRule="auto"/>
              <w:ind w:firstLineChars="200" w:firstLine="480"/>
              <w:rPr>
                <w:rFonts w:ascii="宋体" w:hAnsi="宋体" w:cs="宋体"/>
                <w:kern w:val="0"/>
                <w:szCs w:val="24"/>
              </w:rPr>
            </w:pPr>
            <w:r>
              <w:rPr>
                <w:rFonts w:ascii="宋体" w:hAnsi="宋体" w:cs="宋体" w:hint="eastAsia"/>
                <w:kern w:val="0"/>
                <w:szCs w:val="24"/>
              </w:rPr>
              <w:t>泰吉诺主要产品包括高性能导热硅脂、导热凝胶、高导热凝胶垫片、相变材料及液态金属导热材料等，广泛应</w:t>
            </w:r>
            <w:r>
              <w:rPr>
                <w:rFonts w:ascii="宋体" w:hAnsi="宋体" w:cs="宋体" w:hint="eastAsia"/>
                <w:kern w:val="0"/>
                <w:szCs w:val="24"/>
              </w:rPr>
              <w:lastRenderedPageBreak/>
              <w:t>用于数据中心（AI服务器/GPU）、新能源汽车（电池/BMS/电控）、消费电子等领域。在AI领域，其高性能导热凝胶垫片、相变材料及液态金属材料，广泛应用于AI服务器、光模块、GPU/ASIC芯片的散热，可有效应对高热流密度，保障核心算力部件稳定运行与性能释放，是保障AI基础设施热管理的核心组成部分。</w:t>
            </w:r>
          </w:p>
          <w:p w14:paraId="563CE5EB" w14:textId="77777777" w:rsidR="005A0DED" w:rsidRDefault="00531E7B">
            <w:pPr>
              <w:spacing w:line="360" w:lineRule="auto"/>
              <w:ind w:firstLineChars="200" w:firstLine="482"/>
              <w:rPr>
                <w:rFonts w:ascii="宋体" w:hAnsi="宋体" w:cs="宋体"/>
                <w:b/>
                <w:kern w:val="0"/>
                <w:szCs w:val="24"/>
              </w:rPr>
            </w:pPr>
            <w:r>
              <w:rPr>
                <w:rFonts w:ascii="宋体" w:hAnsi="宋体" w:cs="宋体" w:hint="eastAsia"/>
                <w:b/>
                <w:kern w:val="0"/>
                <w:szCs w:val="24"/>
              </w:rPr>
              <w:t>4、公司液体金属产品的主要应用情况？</w:t>
            </w:r>
          </w:p>
          <w:p w14:paraId="794D3984" w14:textId="77777777" w:rsidR="005A0DED" w:rsidRDefault="00531E7B">
            <w:pPr>
              <w:spacing w:line="360" w:lineRule="auto"/>
              <w:ind w:firstLineChars="200" w:firstLine="480"/>
              <w:rPr>
                <w:rFonts w:ascii="宋体" w:hAnsi="宋体"/>
                <w:szCs w:val="21"/>
              </w:rPr>
            </w:pPr>
            <w:r>
              <w:rPr>
                <w:rFonts w:ascii="宋体" w:hAnsi="宋体" w:hint="eastAsia"/>
                <w:szCs w:val="21"/>
              </w:rPr>
              <w:t>答：液体金属材料是公司在导热界面材料领域布局的重要材料之一，具体产品包括：液态金属片和复合液态金属膏等。针对浸没式液冷服务器散热需求，公司已开发出适配特定环境的液态金属片产品，解决了传统硅脂、相变化材料在特定环境下的可靠性问题；在冷板式液冷应用中，针对千瓦级GPU/CPU等高功耗芯片面临的传统硅脂、相变材料导热瓶颈问题，公司已开发出复合液态金属膏作为升级替代方案；在消费电子领域中，公司液态金属材料可应用于高性能游戏本和游戏机散热系统，满足消费电子终端设备的高导热热管理需求。</w:t>
            </w:r>
          </w:p>
          <w:p w14:paraId="22A4724B" w14:textId="77777777" w:rsidR="005A0DED" w:rsidRDefault="00531E7B">
            <w:pPr>
              <w:spacing w:line="360" w:lineRule="auto"/>
              <w:ind w:firstLineChars="200" w:firstLine="482"/>
              <w:rPr>
                <w:rFonts w:ascii="宋体" w:hAnsi="宋体" w:cs="宋体"/>
                <w:b/>
                <w:kern w:val="0"/>
                <w:szCs w:val="24"/>
              </w:rPr>
            </w:pPr>
            <w:r>
              <w:rPr>
                <w:rFonts w:ascii="宋体" w:hAnsi="宋体" w:cs="宋体" w:hint="eastAsia"/>
                <w:b/>
                <w:kern w:val="0"/>
                <w:szCs w:val="24"/>
              </w:rPr>
              <w:t>5、请介绍一下公司液体金属产品在英伟达最新的Rubin架构中的应用？</w:t>
            </w:r>
          </w:p>
          <w:p w14:paraId="19C16C1C" w14:textId="46F71BAF" w:rsidR="005A0DED" w:rsidRDefault="00531E7B">
            <w:pPr>
              <w:spacing w:line="360" w:lineRule="auto"/>
              <w:ind w:firstLineChars="200" w:firstLine="480"/>
              <w:rPr>
                <w:rFonts w:ascii="宋体" w:hAnsi="宋体"/>
                <w:szCs w:val="21"/>
              </w:rPr>
            </w:pPr>
            <w:r>
              <w:rPr>
                <w:rFonts w:ascii="宋体" w:hAnsi="宋体" w:hint="eastAsia"/>
                <w:szCs w:val="21"/>
              </w:rPr>
              <w:t>答：公司尚不清楚英伟达Rubin架构是否确定采用液体金属导热方案，公司液体金属产品目前未在该客户有出货。公司会持续关注行业发展方向，关注AI领域技术升级带来的市场机会，持续为客户提供高可靠性解决方案。</w:t>
            </w:r>
            <w:bookmarkStart w:id="0" w:name="_GoBack"/>
            <w:bookmarkEnd w:id="0"/>
          </w:p>
          <w:p w14:paraId="2C5D1EE0" w14:textId="77777777" w:rsidR="005A0DED" w:rsidRDefault="00531E7B">
            <w:pPr>
              <w:widowControl/>
              <w:spacing w:line="360" w:lineRule="auto"/>
              <w:ind w:firstLineChars="200" w:firstLine="482"/>
              <w:rPr>
                <w:rFonts w:ascii="宋体" w:hAnsi="宋体"/>
                <w:b/>
                <w:szCs w:val="24"/>
              </w:rPr>
            </w:pPr>
            <w:r>
              <w:rPr>
                <w:rFonts w:ascii="宋体" w:hAnsi="宋体" w:hint="eastAsia"/>
                <w:b/>
                <w:szCs w:val="24"/>
              </w:rPr>
              <w:t>6、请介绍公司智能终端业务的整体情况，后续发展动力？</w:t>
            </w:r>
          </w:p>
          <w:p w14:paraId="0B7653C4" w14:textId="77777777" w:rsidR="005A0DED" w:rsidRDefault="00531E7B">
            <w:pPr>
              <w:widowControl/>
              <w:spacing w:line="360" w:lineRule="auto"/>
              <w:ind w:firstLineChars="200" w:firstLine="480"/>
              <w:rPr>
                <w:rFonts w:ascii="宋体" w:hAnsi="宋体"/>
                <w:szCs w:val="24"/>
              </w:rPr>
            </w:pPr>
            <w:r>
              <w:rPr>
                <w:rFonts w:ascii="宋体" w:hAnsi="宋体" w:hint="eastAsia"/>
                <w:szCs w:val="24"/>
              </w:rPr>
              <w:lastRenderedPageBreak/>
              <w:t>答：公司相关材料可广泛适配手机、耳机、智能手表、平板电脑、笔记本电脑、车载电子、平板显示等各类智能终端产品。</w:t>
            </w:r>
          </w:p>
          <w:p w14:paraId="55783841" w14:textId="77777777" w:rsidR="005A0DED" w:rsidRDefault="00531E7B">
            <w:pPr>
              <w:widowControl/>
              <w:spacing w:line="360" w:lineRule="auto"/>
              <w:ind w:firstLineChars="200" w:firstLine="480"/>
              <w:rPr>
                <w:rFonts w:ascii="宋体" w:hAnsi="宋体"/>
                <w:szCs w:val="24"/>
              </w:rPr>
            </w:pPr>
            <w:r>
              <w:rPr>
                <w:rFonts w:ascii="宋体" w:hAnsi="宋体" w:hint="eastAsia"/>
                <w:szCs w:val="24"/>
              </w:rPr>
              <w:t>目前公司在耳机端已形成稳固份额优势，尤其在TWS无线耳机领域表现亮眼，依托声学模组密封、结构粘接等环节的技术优势，已在国内外头部客户的供应链中占据较高市场份额，成为该细分领域的核心供应商之一；智能手机领域，以 LIPO 超窄边框屏幕封装技术为代表的全新应用场景持续落地突破，整体配套份额稳步提升；车载电子业务实现多品类批量导入、规模快速放量；偏光片相关应用拓展节奏加快，业务已进入快速增长通道。</w:t>
            </w:r>
          </w:p>
          <w:p w14:paraId="0012FC58" w14:textId="77777777" w:rsidR="005A0DED" w:rsidRDefault="00531E7B">
            <w:pPr>
              <w:widowControl/>
              <w:spacing w:line="360" w:lineRule="auto"/>
              <w:ind w:firstLineChars="200" w:firstLine="480"/>
              <w:rPr>
                <w:rFonts w:ascii="宋体" w:hAnsi="宋体"/>
                <w:szCs w:val="24"/>
              </w:rPr>
            </w:pPr>
            <w:r>
              <w:rPr>
                <w:rFonts w:ascii="宋体" w:hAnsi="宋体" w:hint="eastAsia"/>
                <w:szCs w:val="24"/>
              </w:rPr>
              <w:t>整体来看，产品核心竞争力持续强化、新兴应用场景不断突破、各终端品类市场份额稳步提升，是拉动公司智能终端业务持续稳健增长的核心驱动力。</w:t>
            </w:r>
          </w:p>
          <w:p w14:paraId="73677091" w14:textId="77777777" w:rsidR="005A0DED" w:rsidRDefault="00531E7B">
            <w:pPr>
              <w:widowControl/>
              <w:spacing w:line="360" w:lineRule="auto"/>
              <w:ind w:firstLineChars="200" w:firstLine="482"/>
              <w:rPr>
                <w:rFonts w:ascii="宋体" w:hAnsi="宋体"/>
                <w:b/>
                <w:szCs w:val="24"/>
              </w:rPr>
            </w:pPr>
            <w:r>
              <w:rPr>
                <w:rFonts w:ascii="宋体" w:hAnsi="宋体" w:hint="eastAsia"/>
                <w:b/>
                <w:szCs w:val="24"/>
              </w:rPr>
              <w:t>7、请介绍公司新能源板块业务的整体情况，近期原材料涨价对公司的影响？</w:t>
            </w:r>
          </w:p>
          <w:p w14:paraId="62565825" w14:textId="77777777" w:rsidR="005A0DED" w:rsidRDefault="00531E7B">
            <w:pPr>
              <w:spacing w:line="560" w:lineRule="exact"/>
              <w:ind w:firstLineChars="200" w:firstLine="480"/>
              <w:rPr>
                <w:rFonts w:ascii="宋体" w:hAnsi="宋体"/>
                <w:szCs w:val="24"/>
              </w:rPr>
            </w:pPr>
            <w:r>
              <w:rPr>
                <w:rFonts w:ascii="宋体" w:hAnsi="宋体" w:hint="eastAsia"/>
                <w:szCs w:val="24"/>
              </w:rPr>
              <w:t>答：随着下游新能源汽车产销稳步增长、储能行业加速普及渗透，公司新能源应用材料出货量保持高速增长，行业市场份额维持稳健水平。</w:t>
            </w:r>
          </w:p>
          <w:p w14:paraId="4CC03433" w14:textId="7FB2301B" w:rsidR="005A0DED" w:rsidRDefault="008A7FAA">
            <w:pPr>
              <w:spacing w:line="560" w:lineRule="exact"/>
              <w:ind w:firstLineChars="200" w:firstLine="480"/>
              <w:rPr>
                <w:rFonts w:ascii="宋体" w:hAnsi="宋体"/>
                <w:szCs w:val="24"/>
              </w:rPr>
            </w:pPr>
            <w:r w:rsidRPr="008A7FAA">
              <w:rPr>
                <w:rFonts w:ascii="宋体" w:hAnsi="宋体" w:hint="eastAsia"/>
                <w:szCs w:val="24"/>
              </w:rPr>
              <w:t>近期中东战争导致原油价格大幅上涨，受原油价格的影响，多元醇、异氰酸酯等公司新能源板块主要原材料价格也出现不同程度的上涨，原材料的涨价短期内会导致公司相关产品的成本有所上升，毛利有所下降，公司也在努力采取各种措施，开源节流，尽可能将影响降低到最小区间。</w:t>
            </w:r>
          </w:p>
          <w:p w14:paraId="049F794C" w14:textId="77777777" w:rsidR="005A0DED" w:rsidRDefault="00531E7B">
            <w:pPr>
              <w:spacing w:line="560" w:lineRule="exact"/>
              <w:ind w:firstLineChars="200" w:firstLine="482"/>
              <w:rPr>
                <w:rFonts w:ascii="宋体" w:hAnsi="宋体"/>
                <w:b/>
                <w:bCs/>
                <w:szCs w:val="24"/>
              </w:rPr>
            </w:pPr>
            <w:r>
              <w:rPr>
                <w:rFonts w:ascii="宋体" w:hAnsi="宋体" w:hint="eastAsia"/>
                <w:b/>
                <w:bCs/>
                <w:szCs w:val="24"/>
              </w:rPr>
              <w:t>8、请介绍一下公司叠瓦导电胶产品的应用及客户情</w:t>
            </w:r>
            <w:r>
              <w:rPr>
                <w:rFonts w:ascii="宋体" w:hAnsi="宋体" w:hint="eastAsia"/>
                <w:b/>
                <w:bCs/>
                <w:szCs w:val="24"/>
              </w:rPr>
              <w:lastRenderedPageBreak/>
              <w:t>况？</w:t>
            </w:r>
          </w:p>
          <w:p w14:paraId="74FD1A3E" w14:textId="77777777" w:rsidR="005A0DED" w:rsidRDefault="00531E7B">
            <w:pPr>
              <w:spacing w:line="560" w:lineRule="exact"/>
              <w:ind w:firstLineChars="200" w:firstLine="480"/>
              <w:rPr>
                <w:rFonts w:ascii="宋体" w:hAnsi="宋体"/>
                <w:szCs w:val="24"/>
              </w:rPr>
            </w:pPr>
            <w:r>
              <w:rPr>
                <w:rFonts w:ascii="宋体" w:hAnsi="宋体" w:hint="eastAsia"/>
                <w:szCs w:val="24"/>
              </w:rPr>
              <w:t>答：公司的光伏叠晶材料可以为光伏电池提供粘接、导电、降低电池片间应力等功效，是实现光伏叠晶封装工艺、实现高导电性能、高可靠性的关键材料之一。</w:t>
            </w:r>
          </w:p>
          <w:p w14:paraId="2CE4C139" w14:textId="77777777" w:rsidR="005A0DED" w:rsidRDefault="00531E7B">
            <w:pPr>
              <w:spacing w:line="560" w:lineRule="exact"/>
              <w:ind w:firstLineChars="200" w:firstLine="480"/>
              <w:rPr>
                <w:rFonts w:ascii="宋体" w:hAnsi="宋体"/>
                <w:szCs w:val="24"/>
              </w:rPr>
            </w:pPr>
            <w:r>
              <w:rPr>
                <w:rFonts w:ascii="宋体" w:hAnsi="宋体" w:hint="eastAsia"/>
                <w:szCs w:val="24"/>
              </w:rPr>
              <w:t>公司叠瓦导电胶是多年稳定出货的成熟产品，公司也一直是该产品的主要供应商。目前公司该产品主要供给北美客户，应用于高效屋顶光伏领域，并处于稳定增量的过程中，但其收入规模占公司整体收入比例较低。</w:t>
            </w:r>
          </w:p>
        </w:tc>
      </w:tr>
      <w:tr w:rsidR="005A0DED" w14:paraId="444002E4" w14:textId="77777777">
        <w:trPr>
          <w:trHeight w:val="573"/>
        </w:trPr>
        <w:tc>
          <w:tcPr>
            <w:tcW w:w="2427" w:type="dxa"/>
            <w:vAlign w:val="center"/>
          </w:tcPr>
          <w:p w14:paraId="3E0BBE39" w14:textId="77777777" w:rsidR="005A0DED" w:rsidRDefault="00531E7B">
            <w:pPr>
              <w:jc w:val="center"/>
              <w:rPr>
                <w:rFonts w:ascii="宋体" w:hAnsi="宋体"/>
                <w:b/>
                <w:bCs/>
                <w:szCs w:val="24"/>
              </w:rPr>
            </w:pPr>
            <w:r>
              <w:rPr>
                <w:rFonts w:ascii="宋体" w:hAnsi="宋体" w:hint="eastAsia"/>
                <w:b/>
                <w:bCs/>
                <w:szCs w:val="24"/>
              </w:rPr>
              <w:lastRenderedPageBreak/>
              <w:t>附件清单（如有）</w:t>
            </w:r>
          </w:p>
        </w:tc>
        <w:tc>
          <w:tcPr>
            <w:tcW w:w="6081" w:type="dxa"/>
            <w:vAlign w:val="center"/>
          </w:tcPr>
          <w:p w14:paraId="638D714A" w14:textId="77777777" w:rsidR="005A0DED" w:rsidRDefault="00531E7B">
            <w:pPr>
              <w:jc w:val="left"/>
              <w:rPr>
                <w:rFonts w:ascii="宋体" w:hAnsi="宋体"/>
                <w:szCs w:val="24"/>
              </w:rPr>
            </w:pPr>
            <w:r>
              <w:rPr>
                <w:rFonts w:ascii="宋体" w:hAnsi="宋体"/>
                <w:szCs w:val="24"/>
              </w:rPr>
              <w:t>无</w:t>
            </w:r>
          </w:p>
        </w:tc>
      </w:tr>
    </w:tbl>
    <w:p w14:paraId="66BBCAF4" w14:textId="77777777" w:rsidR="005A0DED" w:rsidRDefault="005A0DED">
      <w:pPr>
        <w:widowControl/>
        <w:spacing w:line="400" w:lineRule="exact"/>
        <w:jc w:val="left"/>
        <w:rPr>
          <w:rFonts w:ascii="宋体" w:hAnsi="宋体"/>
          <w:sz w:val="21"/>
          <w:szCs w:val="21"/>
        </w:rPr>
      </w:pPr>
    </w:p>
    <w:sectPr w:rsidR="005A0DED">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BE78C" w14:textId="77777777" w:rsidR="00D35013" w:rsidRDefault="00D35013"/>
  </w:endnote>
  <w:endnote w:type="continuationSeparator" w:id="0">
    <w:p w14:paraId="34A47CE5" w14:textId="77777777" w:rsidR="00D35013" w:rsidRDefault="00D35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1425C" w14:textId="77777777" w:rsidR="00D35013" w:rsidRDefault="00D35013"/>
  </w:footnote>
  <w:footnote w:type="continuationSeparator" w:id="0">
    <w:p w14:paraId="1156F9C3" w14:textId="77777777" w:rsidR="00D35013" w:rsidRDefault="00D3501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iZWRmYjIyZmVlODU4MjUwMmIyYmRjNTU0MjBlZGYifQ=="/>
  </w:docVars>
  <w:rsids>
    <w:rsidRoot w:val="00DC5E46"/>
    <w:rsid w:val="0000245C"/>
    <w:rsid w:val="00004B20"/>
    <w:rsid w:val="00011187"/>
    <w:rsid w:val="00017DD1"/>
    <w:rsid w:val="0002014A"/>
    <w:rsid w:val="00030DE9"/>
    <w:rsid w:val="0003154F"/>
    <w:rsid w:val="00032633"/>
    <w:rsid w:val="000415F4"/>
    <w:rsid w:val="00041C9D"/>
    <w:rsid w:val="0004467C"/>
    <w:rsid w:val="000459A9"/>
    <w:rsid w:val="00050C04"/>
    <w:rsid w:val="00056AB7"/>
    <w:rsid w:val="00067427"/>
    <w:rsid w:val="000704AF"/>
    <w:rsid w:val="00070D2B"/>
    <w:rsid w:val="00080818"/>
    <w:rsid w:val="00084870"/>
    <w:rsid w:val="00092107"/>
    <w:rsid w:val="000A12C5"/>
    <w:rsid w:val="000A2DB5"/>
    <w:rsid w:val="000A64A8"/>
    <w:rsid w:val="000B4324"/>
    <w:rsid w:val="000B61FC"/>
    <w:rsid w:val="000C53F3"/>
    <w:rsid w:val="000D2872"/>
    <w:rsid w:val="000E1009"/>
    <w:rsid w:val="000E4665"/>
    <w:rsid w:val="000E46ED"/>
    <w:rsid w:val="000F4C75"/>
    <w:rsid w:val="00100005"/>
    <w:rsid w:val="0010080C"/>
    <w:rsid w:val="00111ED8"/>
    <w:rsid w:val="0011359B"/>
    <w:rsid w:val="00115906"/>
    <w:rsid w:val="00117112"/>
    <w:rsid w:val="00122AAA"/>
    <w:rsid w:val="00122CA4"/>
    <w:rsid w:val="001259EE"/>
    <w:rsid w:val="001404DD"/>
    <w:rsid w:val="00140A1B"/>
    <w:rsid w:val="00146FB8"/>
    <w:rsid w:val="00157C01"/>
    <w:rsid w:val="001600CB"/>
    <w:rsid w:val="001609E9"/>
    <w:rsid w:val="00163CA5"/>
    <w:rsid w:val="00167014"/>
    <w:rsid w:val="00171B17"/>
    <w:rsid w:val="001743F1"/>
    <w:rsid w:val="001800F7"/>
    <w:rsid w:val="00180D5D"/>
    <w:rsid w:val="00183228"/>
    <w:rsid w:val="001837A2"/>
    <w:rsid w:val="001956C4"/>
    <w:rsid w:val="001A6640"/>
    <w:rsid w:val="001A774A"/>
    <w:rsid w:val="001C3AD2"/>
    <w:rsid w:val="001D04DD"/>
    <w:rsid w:val="001D2B9C"/>
    <w:rsid w:val="001D4053"/>
    <w:rsid w:val="001E1C23"/>
    <w:rsid w:val="001E1C6F"/>
    <w:rsid w:val="001E3B67"/>
    <w:rsid w:val="001E42FC"/>
    <w:rsid w:val="001E50AD"/>
    <w:rsid w:val="001F0F88"/>
    <w:rsid w:val="001F4458"/>
    <w:rsid w:val="001F6EF2"/>
    <w:rsid w:val="0020500F"/>
    <w:rsid w:val="0020687B"/>
    <w:rsid w:val="002075CC"/>
    <w:rsid w:val="00212C27"/>
    <w:rsid w:val="002143C9"/>
    <w:rsid w:val="00221631"/>
    <w:rsid w:val="00236E2E"/>
    <w:rsid w:val="00246207"/>
    <w:rsid w:val="00246EE0"/>
    <w:rsid w:val="00247FB5"/>
    <w:rsid w:val="0025376E"/>
    <w:rsid w:val="00253A35"/>
    <w:rsid w:val="00254DA5"/>
    <w:rsid w:val="00264304"/>
    <w:rsid w:val="00275016"/>
    <w:rsid w:val="00277618"/>
    <w:rsid w:val="00277AD7"/>
    <w:rsid w:val="00280FC0"/>
    <w:rsid w:val="0028324C"/>
    <w:rsid w:val="00283447"/>
    <w:rsid w:val="002A021D"/>
    <w:rsid w:val="002A3326"/>
    <w:rsid w:val="002B0BDB"/>
    <w:rsid w:val="002B3841"/>
    <w:rsid w:val="002B42E0"/>
    <w:rsid w:val="002B4498"/>
    <w:rsid w:val="002B79CA"/>
    <w:rsid w:val="002C388F"/>
    <w:rsid w:val="002D72FA"/>
    <w:rsid w:val="002E5264"/>
    <w:rsid w:val="002E5293"/>
    <w:rsid w:val="002F5525"/>
    <w:rsid w:val="002F7163"/>
    <w:rsid w:val="003017AE"/>
    <w:rsid w:val="00311DBB"/>
    <w:rsid w:val="00314871"/>
    <w:rsid w:val="003206FD"/>
    <w:rsid w:val="00324C44"/>
    <w:rsid w:val="00326C79"/>
    <w:rsid w:val="00327BCE"/>
    <w:rsid w:val="00334055"/>
    <w:rsid w:val="0033761C"/>
    <w:rsid w:val="00337A19"/>
    <w:rsid w:val="003423B7"/>
    <w:rsid w:val="00362F55"/>
    <w:rsid w:val="0036572D"/>
    <w:rsid w:val="00372B09"/>
    <w:rsid w:val="00393F39"/>
    <w:rsid w:val="0039540B"/>
    <w:rsid w:val="003A0BD1"/>
    <w:rsid w:val="003A3A46"/>
    <w:rsid w:val="003A6113"/>
    <w:rsid w:val="003B5598"/>
    <w:rsid w:val="003B7978"/>
    <w:rsid w:val="003C3B4D"/>
    <w:rsid w:val="003C3F99"/>
    <w:rsid w:val="003C53DB"/>
    <w:rsid w:val="003D1463"/>
    <w:rsid w:val="003E53CF"/>
    <w:rsid w:val="003E5D9C"/>
    <w:rsid w:val="003E610A"/>
    <w:rsid w:val="003F11AD"/>
    <w:rsid w:val="003F12C8"/>
    <w:rsid w:val="003F1E65"/>
    <w:rsid w:val="003F3C92"/>
    <w:rsid w:val="003F489C"/>
    <w:rsid w:val="00400E77"/>
    <w:rsid w:val="00403E58"/>
    <w:rsid w:val="004046D1"/>
    <w:rsid w:val="0040596A"/>
    <w:rsid w:val="00407C94"/>
    <w:rsid w:val="00412655"/>
    <w:rsid w:val="00427D88"/>
    <w:rsid w:val="00430DCC"/>
    <w:rsid w:val="00431E4C"/>
    <w:rsid w:val="00442451"/>
    <w:rsid w:val="0044314E"/>
    <w:rsid w:val="00451E2F"/>
    <w:rsid w:val="004538F4"/>
    <w:rsid w:val="00457653"/>
    <w:rsid w:val="0045786E"/>
    <w:rsid w:val="004638AF"/>
    <w:rsid w:val="00466861"/>
    <w:rsid w:val="004732F9"/>
    <w:rsid w:val="004754E9"/>
    <w:rsid w:val="00483884"/>
    <w:rsid w:val="00495DFF"/>
    <w:rsid w:val="004978E4"/>
    <w:rsid w:val="004A29B3"/>
    <w:rsid w:val="004B2A3F"/>
    <w:rsid w:val="004B4383"/>
    <w:rsid w:val="004C2778"/>
    <w:rsid w:val="004C634C"/>
    <w:rsid w:val="004C6F80"/>
    <w:rsid w:val="004D665E"/>
    <w:rsid w:val="004D7345"/>
    <w:rsid w:val="004E408D"/>
    <w:rsid w:val="004E40CA"/>
    <w:rsid w:val="004E7C20"/>
    <w:rsid w:val="00501FA7"/>
    <w:rsid w:val="00510BB1"/>
    <w:rsid w:val="00511935"/>
    <w:rsid w:val="00513BB5"/>
    <w:rsid w:val="005146E3"/>
    <w:rsid w:val="00524BE4"/>
    <w:rsid w:val="00531E7B"/>
    <w:rsid w:val="00536442"/>
    <w:rsid w:val="005400CA"/>
    <w:rsid w:val="00541D8C"/>
    <w:rsid w:val="00543700"/>
    <w:rsid w:val="00555A3F"/>
    <w:rsid w:val="00557D76"/>
    <w:rsid w:val="005673FA"/>
    <w:rsid w:val="0057267D"/>
    <w:rsid w:val="00572766"/>
    <w:rsid w:val="005727E9"/>
    <w:rsid w:val="00590BA6"/>
    <w:rsid w:val="005A0DED"/>
    <w:rsid w:val="005A2448"/>
    <w:rsid w:val="005A4140"/>
    <w:rsid w:val="005A4181"/>
    <w:rsid w:val="005A6293"/>
    <w:rsid w:val="005A6B74"/>
    <w:rsid w:val="005B065D"/>
    <w:rsid w:val="005B3225"/>
    <w:rsid w:val="005C2212"/>
    <w:rsid w:val="005D05C3"/>
    <w:rsid w:val="005D117F"/>
    <w:rsid w:val="005D4012"/>
    <w:rsid w:val="005E2365"/>
    <w:rsid w:val="005F54BB"/>
    <w:rsid w:val="005F6B7E"/>
    <w:rsid w:val="006002AD"/>
    <w:rsid w:val="006043C4"/>
    <w:rsid w:val="0060633C"/>
    <w:rsid w:val="006076A7"/>
    <w:rsid w:val="00610BC3"/>
    <w:rsid w:val="006237F6"/>
    <w:rsid w:val="00630CCF"/>
    <w:rsid w:val="00650074"/>
    <w:rsid w:val="0065282C"/>
    <w:rsid w:val="0065311E"/>
    <w:rsid w:val="0065397E"/>
    <w:rsid w:val="0066055E"/>
    <w:rsid w:val="00672825"/>
    <w:rsid w:val="00680153"/>
    <w:rsid w:val="006806DF"/>
    <w:rsid w:val="00694B4A"/>
    <w:rsid w:val="006B1ED8"/>
    <w:rsid w:val="006B6D59"/>
    <w:rsid w:val="006D1F99"/>
    <w:rsid w:val="006D3624"/>
    <w:rsid w:val="006E5D09"/>
    <w:rsid w:val="006E62D9"/>
    <w:rsid w:val="006E7FC6"/>
    <w:rsid w:val="006F07B6"/>
    <w:rsid w:val="00700618"/>
    <w:rsid w:val="007050EB"/>
    <w:rsid w:val="00707CA5"/>
    <w:rsid w:val="0071704A"/>
    <w:rsid w:val="00720173"/>
    <w:rsid w:val="00723D9F"/>
    <w:rsid w:val="007338F3"/>
    <w:rsid w:val="00733DCD"/>
    <w:rsid w:val="00746099"/>
    <w:rsid w:val="00747DA6"/>
    <w:rsid w:val="00755204"/>
    <w:rsid w:val="00762A69"/>
    <w:rsid w:val="00765421"/>
    <w:rsid w:val="00773E29"/>
    <w:rsid w:val="007804CA"/>
    <w:rsid w:val="0078434B"/>
    <w:rsid w:val="007846B6"/>
    <w:rsid w:val="007856B2"/>
    <w:rsid w:val="00786B2D"/>
    <w:rsid w:val="007A05A2"/>
    <w:rsid w:val="007A50F1"/>
    <w:rsid w:val="007A5737"/>
    <w:rsid w:val="007B05B5"/>
    <w:rsid w:val="007B1298"/>
    <w:rsid w:val="007B369A"/>
    <w:rsid w:val="007B3D2A"/>
    <w:rsid w:val="007B710B"/>
    <w:rsid w:val="007C067E"/>
    <w:rsid w:val="007C4D3C"/>
    <w:rsid w:val="007C7562"/>
    <w:rsid w:val="007D04EE"/>
    <w:rsid w:val="007D6811"/>
    <w:rsid w:val="007D69ED"/>
    <w:rsid w:val="007F03D8"/>
    <w:rsid w:val="007F0F7C"/>
    <w:rsid w:val="007F2945"/>
    <w:rsid w:val="007F3B4C"/>
    <w:rsid w:val="007F6A1C"/>
    <w:rsid w:val="00803B60"/>
    <w:rsid w:val="00807C02"/>
    <w:rsid w:val="00810BF8"/>
    <w:rsid w:val="00816335"/>
    <w:rsid w:val="00816AF5"/>
    <w:rsid w:val="00821BFA"/>
    <w:rsid w:val="00833E29"/>
    <w:rsid w:val="00836733"/>
    <w:rsid w:val="00840D62"/>
    <w:rsid w:val="008429FC"/>
    <w:rsid w:val="0084424D"/>
    <w:rsid w:val="008479DD"/>
    <w:rsid w:val="00853EBC"/>
    <w:rsid w:val="008617EF"/>
    <w:rsid w:val="008764D9"/>
    <w:rsid w:val="00880942"/>
    <w:rsid w:val="0088594A"/>
    <w:rsid w:val="00885F37"/>
    <w:rsid w:val="00887109"/>
    <w:rsid w:val="00890DE9"/>
    <w:rsid w:val="00893D52"/>
    <w:rsid w:val="008A4E65"/>
    <w:rsid w:val="008A7FAA"/>
    <w:rsid w:val="008C3DFE"/>
    <w:rsid w:val="008C4831"/>
    <w:rsid w:val="008C76CF"/>
    <w:rsid w:val="008D0588"/>
    <w:rsid w:val="008D1E97"/>
    <w:rsid w:val="008E3D93"/>
    <w:rsid w:val="008E50D5"/>
    <w:rsid w:val="008E6760"/>
    <w:rsid w:val="008F3119"/>
    <w:rsid w:val="008F3E89"/>
    <w:rsid w:val="008F4C39"/>
    <w:rsid w:val="008F5F0B"/>
    <w:rsid w:val="0090553B"/>
    <w:rsid w:val="00905A85"/>
    <w:rsid w:val="009121C4"/>
    <w:rsid w:val="00915D33"/>
    <w:rsid w:val="0091640A"/>
    <w:rsid w:val="009178B8"/>
    <w:rsid w:val="00920B5D"/>
    <w:rsid w:val="00922283"/>
    <w:rsid w:val="00924C3F"/>
    <w:rsid w:val="0094154D"/>
    <w:rsid w:val="00943F9D"/>
    <w:rsid w:val="00944897"/>
    <w:rsid w:val="00951801"/>
    <w:rsid w:val="00961F4F"/>
    <w:rsid w:val="00970B27"/>
    <w:rsid w:val="00972096"/>
    <w:rsid w:val="00975C93"/>
    <w:rsid w:val="00976FA4"/>
    <w:rsid w:val="00980FB2"/>
    <w:rsid w:val="0098123D"/>
    <w:rsid w:val="00981263"/>
    <w:rsid w:val="009962D9"/>
    <w:rsid w:val="009A041B"/>
    <w:rsid w:val="009A5352"/>
    <w:rsid w:val="009B4447"/>
    <w:rsid w:val="009B51C4"/>
    <w:rsid w:val="009B7399"/>
    <w:rsid w:val="009C2F44"/>
    <w:rsid w:val="009D458C"/>
    <w:rsid w:val="009D6930"/>
    <w:rsid w:val="009D7279"/>
    <w:rsid w:val="009E68FD"/>
    <w:rsid w:val="009E6B11"/>
    <w:rsid w:val="009F4679"/>
    <w:rsid w:val="00A019D7"/>
    <w:rsid w:val="00A030B7"/>
    <w:rsid w:val="00A05635"/>
    <w:rsid w:val="00A25D3E"/>
    <w:rsid w:val="00A300B7"/>
    <w:rsid w:val="00A30C0D"/>
    <w:rsid w:val="00A341BA"/>
    <w:rsid w:val="00A346B4"/>
    <w:rsid w:val="00A37212"/>
    <w:rsid w:val="00A40315"/>
    <w:rsid w:val="00A47E1A"/>
    <w:rsid w:val="00A54A9D"/>
    <w:rsid w:val="00A61C4B"/>
    <w:rsid w:val="00A650D4"/>
    <w:rsid w:val="00A6696C"/>
    <w:rsid w:val="00A756C7"/>
    <w:rsid w:val="00A96E43"/>
    <w:rsid w:val="00A96FBF"/>
    <w:rsid w:val="00AA397C"/>
    <w:rsid w:val="00AB2F1C"/>
    <w:rsid w:val="00AB7F58"/>
    <w:rsid w:val="00AC30A9"/>
    <w:rsid w:val="00AC7BCF"/>
    <w:rsid w:val="00AD5AE6"/>
    <w:rsid w:val="00AE1F47"/>
    <w:rsid w:val="00AE55B7"/>
    <w:rsid w:val="00AF6290"/>
    <w:rsid w:val="00B048C0"/>
    <w:rsid w:val="00B06539"/>
    <w:rsid w:val="00B06729"/>
    <w:rsid w:val="00B1056C"/>
    <w:rsid w:val="00B11CAB"/>
    <w:rsid w:val="00B17112"/>
    <w:rsid w:val="00B3354B"/>
    <w:rsid w:val="00B37FBC"/>
    <w:rsid w:val="00B525B3"/>
    <w:rsid w:val="00B52BCB"/>
    <w:rsid w:val="00B538BF"/>
    <w:rsid w:val="00B53939"/>
    <w:rsid w:val="00B57F52"/>
    <w:rsid w:val="00B71EE6"/>
    <w:rsid w:val="00B726B4"/>
    <w:rsid w:val="00B7490A"/>
    <w:rsid w:val="00B85999"/>
    <w:rsid w:val="00B91897"/>
    <w:rsid w:val="00B92BAA"/>
    <w:rsid w:val="00B948CE"/>
    <w:rsid w:val="00B961B2"/>
    <w:rsid w:val="00BA17B7"/>
    <w:rsid w:val="00BA203C"/>
    <w:rsid w:val="00BA2215"/>
    <w:rsid w:val="00BA392A"/>
    <w:rsid w:val="00BA50A3"/>
    <w:rsid w:val="00BB0FFA"/>
    <w:rsid w:val="00BB5044"/>
    <w:rsid w:val="00BB6B73"/>
    <w:rsid w:val="00BC0C3C"/>
    <w:rsid w:val="00BD218F"/>
    <w:rsid w:val="00BD7448"/>
    <w:rsid w:val="00BE7616"/>
    <w:rsid w:val="00C00D3C"/>
    <w:rsid w:val="00C023C4"/>
    <w:rsid w:val="00C04CCE"/>
    <w:rsid w:val="00C11531"/>
    <w:rsid w:val="00C12BF8"/>
    <w:rsid w:val="00C12C69"/>
    <w:rsid w:val="00C16397"/>
    <w:rsid w:val="00C20410"/>
    <w:rsid w:val="00C365F3"/>
    <w:rsid w:val="00C44FD4"/>
    <w:rsid w:val="00C47246"/>
    <w:rsid w:val="00C74459"/>
    <w:rsid w:val="00C776DB"/>
    <w:rsid w:val="00C77D1C"/>
    <w:rsid w:val="00C836BA"/>
    <w:rsid w:val="00C86907"/>
    <w:rsid w:val="00CB0968"/>
    <w:rsid w:val="00CB77BD"/>
    <w:rsid w:val="00CC034E"/>
    <w:rsid w:val="00CD45D6"/>
    <w:rsid w:val="00CE7464"/>
    <w:rsid w:val="00CF1FC3"/>
    <w:rsid w:val="00CF36F6"/>
    <w:rsid w:val="00CF52F5"/>
    <w:rsid w:val="00CF630C"/>
    <w:rsid w:val="00D06643"/>
    <w:rsid w:val="00D06D92"/>
    <w:rsid w:val="00D0795C"/>
    <w:rsid w:val="00D1166B"/>
    <w:rsid w:val="00D160E9"/>
    <w:rsid w:val="00D22F4D"/>
    <w:rsid w:val="00D35013"/>
    <w:rsid w:val="00D45316"/>
    <w:rsid w:val="00D46D99"/>
    <w:rsid w:val="00D5719E"/>
    <w:rsid w:val="00D60FAC"/>
    <w:rsid w:val="00D62C6C"/>
    <w:rsid w:val="00D735A7"/>
    <w:rsid w:val="00D86718"/>
    <w:rsid w:val="00D92D8C"/>
    <w:rsid w:val="00D934FF"/>
    <w:rsid w:val="00D94377"/>
    <w:rsid w:val="00DA105B"/>
    <w:rsid w:val="00DA4BC3"/>
    <w:rsid w:val="00DB1118"/>
    <w:rsid w:val="00DB18E5"/>
    <w:rsid w:val="00DB1E4C"/>
    <w:rsid w:val="00DB75D6"/>
    <w:rsid w:val="00DC0644"/>
    <w:rsid w:val="00DC2492"/>
    <w:rsid w:val="00DC3D6F"/>
    <w:rsid w:val="00DC4F83"/>
    <w:rsid w:val="00DC5E46"/>
    <w:rsid w:val="00DC7554"/>
    <w:rsid w:val="00DD341F"/>
    <w:rsid w:val="00DD40ED"/>
    <w:rsid w:val="00DD6319"/>
    <w:rsid w:val="00DD6CF1"/>
    <w:rsid w:val="00DE03D2"/>
    <w:rsid w:val="00DE661B"/>
    <w:rsid w:val="00DE6D51"/>
    <w:rsid w:val="00E02B40"/>
    <w:rsid w:val="00E11069"/>
    <w:rsid w:val="00E15B56"/>
    <w:rsid w:val="00E2026D"/>
    <w:rsid w:val="00E21205"/>
    <w:rsid w:val="00E24839"/>
    <w:rsid w:val="00E4612B"/>
    <w:rsid w:val="00E50D30"/>
    <w:rsid w:val="00E52781"/>
    <w:rsid w:val="00E60EDC"/>
    <w:rsid w:val="00E62E4C"/>
    <w:rsid w:val="00E64F59"/>
    <w:rsid w:val="00E6658D"/>
    <w:rsid w:val="00E74D0A"/>
    <w:rsid w:val="00E87EFF"/>
    <w:rsid w:val="00E9000F"/>
    <w:rsid w:val="00E9322E"/>
    <w:rsid w:val="00E974BA"/>
    <w:rsid w:val="00E97BE6"/>
    <w:rsid w:val="00EA1995"/>
    <w:rsid w:val="00EB4E5E"/>
    <w:rsid w:val="00EC4054"/>
    <w:rsid w:val="00ED398C"/>
    <w:rsid w:val="00ED5004"/>
    <w:rsid w:val="00ED730A"/>
    <w:rsid w:val="00EE580C"/>
    <w:rsid w:val="00EF05D2"/>
    <w:rsid w:val="00EF1FB2"/>
    <w:rsid w:val="00F05EA7"/>
    <w:rsid w:val="00F065A0"/>
    <w:rsid w:val="00F069D4"/>
    <w:rsid w:val="00F175D5"/>
    <w:rsid w:val="00F21084"/>
    <w:rsid w:val="00F21DD1"/>
    <w:rsid w:val="00F44795"/>
    <w:rsid w:val="00F50D2D"/>
    <w:rsid w:val="00F51164"/>
    <w:rsid w:val="00F52347"/>
    <w:rsid w:val="00F55F1C"/>
    <w:rsid w:val="00F56FC4"/>
    <w:rsid w:val="00F70319"/>
    <w:rsid w:val="00F70DF1"/>
    <w:rsid w:val="00F72331"/>
    <w:rsid w:val="00F72D1C"/>
    <w:rsid w:val="00F77606"/>
    <w:rsid w:val="00F9128E"/>
    <w:rsid w:val="00F97D3A"/>
    <w:rsid w:val="00FA5CD0"/>
    <w:rsid w:val="00FB5A55"/>
    <w:rsid w:val="00FC1F32"/>
    <w:rsid w:val="00FC7A5F"/>
    <w:rsid w:val="00FD0551"/>
    <w:rsid w:val="00FD107F"/>
    <w:rsid w:val="00FD6D21"/>
    <w:rsid w:val="00FF13E7"/>
    <w:rsid w:val="00FF2283"/>
    <w:rsid w:val="00FF4C3C"/>
    <w:rsid w:val="03880939"/>
    <w:rsid w:val="0A90012D"/>
    <w:rsid w:val="0BD40F69"/>
    <w:rsid w:val="11997D58"/>
    <w:rsid w:val="15EB0834"/>
    <w:rsid w:val="19453EDB"/>
    <w:rsid w:val="19BC0A7B"/>
    <w:rsid w:val="28470706"/>
    <w:rsid w:val="2A2C6AAC"/>
    <w:rsid w:val="2A846B58"/>
    <w:rsid w:val="2EE30245"/>
    <w:rsid w:val="32EB1476"/>
    <w:rsid w:val="337E5A61"/>
    <w:rsid w:val="35E13004"/>
    <w:rsid w:val="3A695D27"/>
    <w:rsid w:val="405344B3"/>
    <w:rsid w:val="46C11EA8"/>
    <w:rsid w:val="48CB3C89"/>
    <w:rsid w:val="4EAB2E20"/>
    <w:rsid w:val="5485656A"/>
    <w:rsid w:val="572E1597"/>
    <w:rsid w:val="5D4F6922"/>
    <w:rsid w:val="5E5023B7"/>
    <w:rsid w:val="609B00D0"/>
    <w:rsid w:val="62B27774"/>
    <w:rsid w:val="645F71E6"/>
    <w:rsid w:val="6D8B4CCE"/>
    <w:rsid w:val="6FFB6486"/>
    <w:rsid w:val="76A2279B"/>
    <w:rsid w:val="797804D9"/>
    <w:rsid w:val="7C9B4CD8"/>
    <w:rsid w:val="7F2D7B49"/>
    <w:rsid w:val="7F61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06958"/>
  <w15:docId w15:val="{B241B82B-83ED-4571-9D02-76FEEE12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w:basedOn w:val="a"/>
    <w:qFormat/>
    <w:pPr>
      <w:spacing w:before="180" w:after="18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Cs w:val="24"/>
    </w:rPr>
  </w:style>
  <w:style w:type="paragraph" w:styleId="a9">
    <w:name w:val="annotation subject"/>
    <w:basedOn w:val="a3"/>
    <w:next w:val="a3"/>
    <w:link w:val="Char3"/>
    <w:uiPriority w:val="99"/>
    <w:semiHidden/>
    <w:unhideWhenUsed/>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rPr>
      <w:sz w:val="21"/>
      <w:szCs w:val="21"/>
    </w:rPr>
  </w:style>
  <w:style w:type="character" w:customStyle="1" w:styleId="Char0">
    <w:name w:val="批注框文本 Char"/>
    <w:basedOn w:val="a0"/>
    <w:link w:val="a5"/>
    <w:uiPriority w:val="99"/>
    <w:semiHidden/>
    <w:qFormat/>
    <w:rPr>
      <w:rFonts w:ascii="Times New Roman" w:eastAsia="宋体" w:hAnsi="Times New Roman"/>
      <w:sz w:val="18"/>
      <w:szCs w:val="18"/>
    </w:rPr>
  </w:style>
  <w:style w:type="character" w:customStyle="1" w:styleId="Char2">
    <w:name w:val="页眉 Char"/>
    <w:basedOn w:val="a0"/>
    <w:link w:val="a7"/>
    <w:uiPriority w:val="99"/>
    <w:qFormat/>
    <w:rPr>
      <w:rFonts w:ascii="Times New Roman" w:eastAsia="宋体" w:hAnsi="Times New Roman"/>
      <w:sz w:val="18"/>
      <w:szCs w:val="18"/>
    </w:rPr>
  </w:style>
  <w:style w:type="character" w:customStyle="1" w:styleId="Char1">
    <w:name w:val="页脚 Char"/>
    <w:basedOn w:val="a0"/>
    <w:link w:val="a6"/>
    <w:uiPriority w:val="99"/>
    <w:qFormat/>
    <w:rPr>
      <w:rFonts w:ascii="Times New Roman" w:eastAsia="宋体" w:hAnsi="Times New Roman"/>
      <w:sz w:val="18"/>
      <w:szCs w:val="18"/>
    </w:rPr>
  </w:style>
  <w:style w:type="paragraph" w:styleId="ad">
    <w:name w:val="List Paragraph"/>
    <w:basedOn w:val="a"/>
    <w:autoRedefine/>
    <w:uiPriority w:val="34"/>
    <w:qFormat/>
    <w:pPr>
      <w:ind w:firstLineChars="200" w:firstLine="420"/>
    </w:pPr>
    <w:rPr>
      <w:rFonts w:asciiTheme="minorHAnsi" w:eastAsiaTheme="minorEastAsia" w:hAnsiTheme="minorHAnsi"/>
      <w:sz w:val="21"/>
    </w:rPr>
  </w:style>
  <w:style w:type="character" w:customStyle="1" w:styleId="insert-data">
    <w:name w:val="insert-data"/>
    <w:basedOn w:val="a0"/>
    <w:autoRedefine/>
    <w:qFormat/>
  </w:style>
  <w:style w:type="paragraph" w:styleId="ae">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
    <w:name w:val="批注文字 Char"/>
    <w:basedOn w:val="a0"/>
    <w:link w:val="a3"/>
    <w:uiPriority w:val="99"/>
    <w:semiHidden/>
    <w:rPr>
      <w:rFonts w:cstheme="minorBidi"/>
      <w:kern w:val="2"/>
      <w:sz w:val="24"/>
      <w:szCs w:val="22"/>
    </w:rPr>
  </w:style>
  <w:style w:type="character" w:customStyle="1" w:styleId="Char3">
    <w:name w:val="批注主题 Char"/>
    <w:basedOn w:val="Char"/>
    <w:link w:val="a9"/>
    <w:uiPriority w:val="99"/>
    <w:semiHidden/>
    <w:rPr>
      <w:rFonts w:cstheme="minorBidi"/>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F1C5-AB99-425B-B93F-1E784BE9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378</Words>
  <Characters>2158</Characters>
  <Application>Microsoft Office Word</Application>
  <DocSecurity>0</DocSecurity>
  <Lines>17</Lines>
  <Paragraphs>5</Paragraphs>
  <ScaleCrop>false</ScaleCrop>
  <Company>P R C</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孙红美</cp:lastModifiedBy>
  <cp:revision>13</cp:revision>
  <cp:lastPrinted>2026-05-12T05:09:00Z</cp:lastPrinted>
  <dcterms:created xsi:type="dcterms:W3CDTF">2026-03-02T10:19:00Z</dcterms:created>
  <dcterms:modified xsi:type="dcterms:W3CDTF">2026-05-12T05:14:00Z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D71120DF6AA6491090CBF4C96B0D6F90_13</vt:lpwstr>
  </property>
  <property fmtid="{D5CDD505-2E9C-101B-9397-08002B2CF9AE}" pid="4" name="KSOTemplateDocerSaveRecord">
    <vt:lpwstr>eyJoZGlkIjoiMDU1NWFlMDEyZWY1YzZmMjQ5Njg3MTFmMTY5MDA4NjYiLCJ1c2VySWQiOiI0MjY0MTI2MDgifQ==</vt:lpwstr>
  </property>
</Properties>
</file>