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3FB" w:rsidRDefault="00D77453">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7543FB" w:rsidRDefault="007543FB"/>
    <w:p w:rsidR="007543FB" w:rsidRDefault="007543FB"/>
    <w:p w:rsidR="007543FB" w:rsidRDefault="007543FB"/>
    <w:p w:rsidR="007543FB" w:rsidRDefault="007543FB"/>
    <w:p w:rsidR="007543FB" w:rsidRDefault="007543FB"/>
    <w:p w:rsidR="007543FB" w:rsidRDefault="007543FB"/>
    <w:p w:rsidR="007543FB" w:rsidRDefault="007543FB"/>
    <w:p w:rsidR="007543FB" w:rsidRDefault="007543FB"/>
    <w:p w:rsidR="007543FB" w:rsidRDefault="00D77453">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7543FB" w:rsidRDefault="00D77453">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7543FB" w:rsidRDefault="00D77453">
      <w:pPr>
        <w:autoSpaceDE w:val="0"/>
        <w:autoSpaceDN w:val="0"/>
        <w:adjustRightInd w:val="0"/>
        <w:spacing w:beforeLines="50" w:before="156" w:afterLines="50" w:after="156" w:line="720" w:lineRule="exact"/>
        <w:ind w:rightChars="-24" w:right="-50"/>
        <w:jc w:val="center"/>
        <w:rPr>
          <w:rFonts w:eastAsia="黑体"/>
          <w:color w:val="000000"/>
          <w:sz w:val="44"/>
          <w:szCs w:val="34"/>
        </w:rPr>
      </w:pPr>
      <w:r>
        <w:rPr>
          <w:rFonts w:eastAsia="黑体" w:hint="eastAsia"/>
          <w:color w:val="000000"/>
          <w:sz w:val="44"/>
          <w:szCs w:val="34"/>
        </w:rPr>
        <w:t>（</w:t>
      </w:r>
      <w:proofErr w:type="gramStart"/>
      <w:r>
        <w:rPr>
          <w:rFonts w:eastAsia="黑体" w:hint="eastAsia"/>
          <w:color w:val="000000"/>
          <w:sz w:val="44"/>
          <w:szCs w:val="34"/>
        </w:rPr>
        <w:t>十五五</w:t>
      </w:r>
      <w:proofErr w:type="gramEnd"/>
      <w:r>
        <w:rPr>
          <w:rFonts w:eastAsia="黑体" w:hint="eastAsia"/>
          <w:color w:val="000000"/>
          <w:sz w:val="44"/>
          <w:szCs w:val="34"/>
        </w:rPr>
        <w:t>·</w:t>
      </w:r>
      <w:proofErr w:type="gramStart"/>
      <w:r>
        <w:rPr>
          <w:rFonts w:eastAsia="黑体" w:hint="eastAsia"/>
          <w:color w:val="000000"/>
          <w:sz w:val="44"/>
          <w:szCs w:val="34"/>
        </w:rPr>
        <w:t>科创惠民</w:t>
      </w:r>
      <w:proofErr w:type="gramEnd"/>
      <w:r>
        <w:rPr>
          <w:rFonts w:eastAsia="黑体" w:hint="eastAsia"/>
          <w:color w:val="000000"/>
          <w:sz w:val="44"/>
          <w:szCs w:val="34"/>
        </w:rPr>
        <w:t>——</w:t>
      </w:r>
      <w:proofErr w:type="gramStart"/>
      <w:r>
        <w:rPr>
          <w:rFonts w:eastAsia="黑体" w:hint="eastAsia"/>
          <w:color w:val="000000"/>
          <w:sz w:val="44"/>
          <w:szCs w:val="34"/>
        </w:rPr>
        <w:t>科创板企业</w:t>
      </w:r>
      <w:proofErr w:type="gramEnd"/>
      <w:r>
        <w:rPr>
          <w:rFonts w:eastAsia="黑体" w:hint="eastAsia"/>
          <w:color w:val="000000"/>
          <w:sz w:val="44"/>
          <w:szCs w:val="34"/>
        </w:rPr>
        <w:t>成果转化与民生赋能之</w:t>
      </w:r>
      <w:r>
        <w:rPr>
          <w:rFonts w:eastAsia="黑体" w:hint="eastAsia"/>
          <w:color w:val="000000"/>
          <w:sz w:val="44"/>
          <w:szCs w:val="34"/>
        </w:rPr>
        <w:t>2025</w:t>
      </w:r>
      <w:r>
        <w:rPr>
          <w:rFonts w:eastAsia="黑体" w:hint="eastAsia"/>
          <w:color w:val="000000"/>
          <w:sz w:val="44"/>
          <w:szCs w:val="34"/>
        </w:rPr>
        <w:t>年度生物制品行业集体业绩说明会暨</w:t>
      </w:r>
      <w:r>
        <w:rPr>
          <w:rFonts w:eastAsia="黑体" w:hint="eastAsia"/>
          <w:color w:val="000000"/>
          <w:sz w:val="44"/>
          <w:szCs w:val="34"/>
        </w:rPr>
        <w:t>2026</w:t>
      </w:r>
      <w:r>
        <w:rPr>
          <w:rFonts w:eastAsia="黑体" w:hint="eastAsia"/>
          <w:color w:val="000000"/>
          <w:sz w:val="44"/>
          <w:szCs w:val="34"/>
        </w:rPr>
        <w:t>年第一季度业绩说明会）</w:t>
      </w:r>
    </w:p>
    <w:p w:rsidR="007543FB" w:rsidRDefault="007543FB"/>
    <w:p w:rsidR="007543FB" w:rsidRDefault="007543FB"/>
    <w:p w:rsidR="007543FB" w:rsidRDefault="00D77453">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7543FB" w:rsidRDefault="007543FB">
      <w:pPr>
        <w:jc w:val="center"/>
      </w:pPr>
    </w:p>
    <w:p w:rsidR="007543FB" w:rsidRDefault="007543FB">
      <w:pPr>
        <w:autoSpaceDE w:val="0"/>
        <w:autoSpaceDN w:val="0"/>
        <w:adjustRightInd w:val="0"/>
        <w:rPr>
          <w:rFonts w:ascii="宋体" w:hAnsi="宋体" w:cs="黑体"/>
          <w:b/>
          <w:color w:val="000000"/>
          <w:kern w:val="0"/>
          <w:sz w:val="24"/>
        </w:rPr>
      </w:pPr>
    </w:p>
    <w:p w:rsidR="007543FB" w:rsidRDefault="007543FB">
      <w:pPr>
        <w:autoSpaceDE w:val="0"/>
        <w:autoSpaceDN w:val="0"/>
        <w:adjustRightInd w:val="0"/>
        <w:rPr>
          <w:rFonts w:ascii="宋体" w:hAnsi="宋体" w:cs="黑体"/>
          <w:b/>
          <w:color w:val="000000"/>
          <w:kern w:val="0"/>
          <w:sz w:val="24"/>
        </w:rPr>
      </w:pPr>
    </w:p>
    <w:p w:rsidR="007543FB" w:rsidRDefault="007543FB">
      <w:pPr>
        <w:rPr>
          <w:rFonts w:ascii="黑体" w:eastAsia="黑体" w:cs="黑体"/>
          <w:sz w:val="32"/>
          <w:szCs w:val="28"/>
        </w:rPr>
      </w:pPr>
    </w:p>
    <w:p w:rsidR="007543FB" w:rsidRDefault="007543FB">
      <w:pPr>
        <w:rPr>
          <w:rFonts w:ascii="黑体" w:eastAsia="黑体" w:cs="黑体"/>
          <w:sz w:val="32"/>
          <w:szCs w:val="28"/>
        </w:rPr>
      </w:pPr>
    </w:p>
    <w:p w:rsidR="007543FB" w:rsidRDefault="007543FB">
      <w:pPr>
        <w:rPr>
          <w:rFonts w:ascii="黑体" w:eastAsia="黑体" w:cs="黑体"/>
          <w:sz w:val="32"/>
          <w:szCs w:val="28"/>
        </w:rPr>
      </w:pPr>
    </w:p>
    <w:p w:rsidR="007543FB" w:rsidRDefault="007543FB">
      <w:pPr>
        <w:rPr>
          <w:rFonts w:ascii="黑体" w:eastAsia="黑体" w:cs="黑体"/>
          <w:sz w:val="32"/>
          <w:szCs w:val="28"/>
        </w:rPr>
      </w:pPr>
    </w:p>
    <w:p w:rsidR="007543FB" w:rsidRDefault="007543FB">
      <w:pPr>
        <w:rPr>
          <w:rFonts w:ascii="黑体" w:eastAsia="黑体" w:cs="黑体"/>
          <w:sz w:val="32"/>
          <w:szCs w:val="28"/>
        </w:rPr>
      </w:pPr>
    </w:p>
    <w:p w:rsidR="007543FB" w:rsidRDefault="00D77453">
      <w:pPr>
        <w:widowControl/>
        <w:jc w:val="left"/>
        <w:rPr>
          <w:rFonts w:ascii="黑体" w:eastAsia="黑体" w:cs="黑体"/>
          <w:sz w:val="32"/>
          <w:szCs w:val="28"/>
        </w:rPr>
      </w:pPr>
      <w:r>
        <w:rPr>
          <w:rFonts w:ascii="黑体" w:eastAsia="黑体" w:cs="黑体"/>
          <w:sz w:val="32"/>
          <w:szCs w:val="28"/>
        </w:rPr>
        <w:br w:type="page"/>
      </w:r>
    </w:p>
    <w:p w:rsidR="007543FB" w:rsidRDefault="00D77453">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7543FB" w:rsidRDefault="00D77453">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0"/>
      </w:tblGrid>
      <w:tr w:rsidR="007543FB">
        <w:trPr>
          <w:trHeight w:val="1474"/>
          <w:jc w:val="center"/>
        </w:trPr>
        <w:tc>
          <w:tcPr>
            <w:tcW w:w="1193" w:type="pct"/>
            <w:vAlign w:val="center"/>
          </w:tcPr>
          <w:p w:rsidR="007543FB" w:rsidRDefault="00D77453">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07" w:type="pct"/>
            <w:vAlign w:val="center"/>
          </w:tcPr>
          <w:p w:rsidR="007543FB" w:rsidRDefault="00D77453">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□公司现场接待     □电话接待</w:t>
            </w:r>
          </w:p>
          <w:p w:rsidR="007543FB" w:rsidRDefault="00D77453">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7543FB" w:rsidRDefault="00D77453">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Pr>
                <w:rFonts w:ascii="宋体" w:hAnsi="Calibri" w:cs="宋体" w:hint="eastAsia"/>
                <w:color w:val="000000"/>
                <w:kern w:val="0"/>
                <w:sz w:val="24"/>
              </w:rPr>
              <w:t>定期报告说明会   □重要公告说明会</w:t>
            </w:r>
          </w:p>
        </w:tc>
      </w:tr>
      <w:tr w:rsidR="007543FB">
        <w:trPr>
          <w:trHeight w:val="567"/>
          <w:jc w:val="center"/>
        </w:trPr>
        <w:tc>
          <w:tcPr>
            <w:tcW w:w="1193" w:type="pct"/>
            <w:vAlign w:val="center"/>
          </w:tcPr>
          <w:p w:rsidR="007543FB" w:rsidRDefault="00D77453">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07" w:type="pct"/>
            <w:vAlign w:val="center"/>
          </w:tcPr>
          <w:p w:rsidR="007543FB" w:rsidRDefault="00D77453">
            <w:pPr>
              <w:autoSpaceDE w:val="0"/>
              <w:autoSpaceDN w:val="0"/>
              <w:adjustRightInd w:val="0"/>
              <w:rPr>
                <w:color w:val="000000"/>
                <w:kern w:val="0"/>
                <w:sz w:val="24"/>
              </w:rPr>
            </w:pPr>
            <w:r>
              <w:rPr>
                <w:rFonts w:hint="eastAsia"/>
                <w:color w:val="000000"/>
                <w:kern w:val="0"/>
                <w:sz w:val="24"/>
              </w:rPr>
              <w:t>全体投资者均可通过网络互动的方式参与本次说明会</w:t>
            </w:r>
          </w:p>
        </w:tc>
      </w:tr>
      <w:tr w:rsidR="007543FB">
        <w:trPr>
          <w:trHeight w:val="567"/>
          <w:jc w:val="center"/>
        </w:trPr>
        <w:tc>
          <w:tcPr>
            <w:tcW w:w="1193" w:type="pct"/>
            <w:vAlign w:val="center"/>
          </w:tcPr>
          <w:p w:rsidR="007543FB" w:rsidRDefault="00D77453">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07" w:type="pct"/>
            <w:vAlign w:val="center"/>
          </w:tcPr>
          <w:p w:rsidR="007543FB" w:rsidRDefault="00D77453">
            <w:pPr>
              <w:autoSpaceDE w:val="0"/>
              <w:autoSpaceDN w:val="0"/>
              <w:adjustRightInd w:val="0"/>
              <w:rPr>
                <w:color w:val="000000"/>
                <w:kern w:val="0"/>
                <w:sz w:val="24"/>
              </w:rPr>
            </w:pPr>
            <w:r>
              <w:rPr>
                <w:rFonts w:hint="eastAsia"/>
                <w:kern w:val="0"/>
                <w:sz w:val="24"/>
              </w:rPr>
              <w:t>2026</w:t>
            </w:r>
            <w:r>
              <w:rPr>
                <w:rFonts w:hint="eastAsia"/>
                <w:kern w:val="0"/>
                <w:sz w:val="24"/>
              </w:rPr>
              <w:t>年</w:t>
            </w:r>
            <w:r>
              <w:rPr>
                <w:rFonts w:hint="eastAsia"/>
                <w:kern w:val="0"/>
                <w:sz w:val="24"/>
              </w:rPr>
              <w:t>5</w:t>
            </w:r>
            <w:r>
              <w:rPr>
                <w:rFonts w:hint="eastAsia"/>
                <w:kern w:val="0"/>
                <w:sz w:val="24"/>
              </w:rPr>
              <w:t>月</w:t>
            </w:r>
            <w:r>
              <w:rPr>
                <w:rFonts w:hint="eastAsia"/>
                <w:kern w:val="0"/>
                <w:sz w:val="24"/>
              </w:rPr>
              <w:t>13</w:t>
            </w:r>
            <w:r>
              <w:rPr>
                <w:rFonts w:hint="eastAsia"/>
                <w:kern w:val="0"/>
                <w:sz w:val="24"/>
              </w:rPr>
              <w:t>日</w:t>
            </w:r>
            <w:r>
              <w:rPr>
                <w:rFonts w:hint="eastAsia"/>
                <w:kern w:val="0"/>
                <w:sz w:val="24"/>
              </w:rPr>
              <w:t xml:space="preserve"> 15:</w:t>
            </w:r>
            <w:r>
              <w:rPr>
                <w:kern w:val="0"/>
                <w:sz w:val="24"/>
              </w:rPr>
              <w:t>00-1</w:t>
            </w:r>
            <w:r>
              <w:rPr>
                <w:rFonts w:hint="eastAsia"/>
                <w:kern w:val="0"/>
                <w:sz w:val="24"/>
              </w:rPr>
              <w:t>7:</w:t>
            </w:r>
            <w:r>
              <w:rPr>
                <w:kern w:val="0"/>
                <w:sz w:val="24"/>
              </w:rPr>
              <w:t>00</w:t>
            </w:r>
          </w:p>
        </w:tc>
      </w:tr>
      <w:tr w:rsidR="007543FB">
        <w:trPr>
          <w:trHeight w:val="567"/>
          <w:jc w:val="center"/>
        </w:trPr>
        <w:tc>
          <w:tcPr>
            <w:tcW w:w="1193" w:type="pct"/>
            <w:vAlign w:val="center"/>
          </w:tcPr>
          <w:p w:rsidR="007543FB" w:rsidRDefault="00D77453">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07" w:type="pct"/>
            <w:vAlign w:val="center"/>
          </w:tcPr>
          <w:p w:rsidR="007543FB" w:rsidRDefault="00D77453">
            <w:pPr>
              <w:autoSpaceDE w:val="0"/>
              <w:autoSpaceDN w:val="0"/>
              <w:adjustRightInd w:val="0"/>
              <w:rPr>
                <w:color w:val="000000"/>
                <w:kern w:val="0"/>
                <w:sz w:val="24"/>
              </w:rPr>
            </w:pPr>
            <w:proofErr w:type="gramStart"/>
            <w:r>
              <w:rPr>
                <w:color w:val="000000"/>
                <w:kern w:val="0"/>
                <w:sz w:val="24"/>
              </w:rPr>
              <w:t>上证路演</w:t>
            </w:r>
            <w:proofErr w:type="gramEnd"/>
            <w:r>
              <w:rPr>
                <w:color w:val="000000"/>
                <w:kern w:val="0"/>
                <w:sz w:val="24"/>
              </w:rPr>
              <w:t>中心（</w:t>
            </w:r>
            <w:r>
              <w:rPr>
                <w:color w:val="000000"/>
                <w:kern w:val="0"/>
                <w:sz w:val="24"/>
              </w:rPr>
              <w:t>http</w:t>
            </w:r>
            <w:r>
              <w:rPr>
                <w:rFonts w:hint="eastAsia"/>
                <w:color w:val="000000"/>
                <w:kern w:val="0"/>
                <w:sz w:val="24"/>
              </w:rPr>
              <w:t>s</w:t>
            </w:r>
            <w:r>
              <w:rPr>
                <w:color w:val="000000"/>
                <w:kern w:val="0"/>
                <w:sz w:val="24"/>
              </w:rPr>
              <w:t>://roadshow.sseinfo.com</w:t>
            </w:r>
            <w:r>
              <w:rPr>
                <w:color w:val="000000"/>
                <w:kern w:val="0"/>
                <w:sz w:val="24"/>
              </w:rPr>
              <w:t>）网络互动</w:t>
            </w:r>
          </w:p>
        </w:tc>
      </w:tr>
      <w:tr w:rsidR="007543FB">
        <w:trPr>
          <w:trHeight w:val="1531"/>
          <w:jc w:val="center"/>
        </w:trPr>
        <w:tc>
          <w:tcPr>
            <w:tcW w:w="1193" w:type="pct"/>
            <w:vAlign w:val="center"/>
          </w:tcPr>
          <w:p w:rsidR="007543FB" w:rsidRDefault="00D77453">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807" w:type="pct"/>
            <w:vAlign w:val="center"/>
          </w:tcPr>
          <w:p w:rsidR="007543FB" w:rsidRDefault="00D77453">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7543FB" w:rsidRDefault="00D77453">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proofErr w:type="gramStart"/>
            <w:r>
              <w:rPr>
                <w:rFonts w:hint="eastAsia"/>
                <w:shd w:val="clear" w:color="auto" w:fill="auto"/>
              </w:rPr>
              <w:t>杨毅玲女士</w:t>
            </w:r>
            <w:proofErr w:type="gramEnd"/>
          </w:p>
          <w:p w:rsidR="007543FB" w:rsidRDefault="00D77453">
            <w:pPr>
              <w:pStyle w:val="af5"/>
              <w:ind w:firstLineChars="0" w:firstLine="0"/>
              <w:rPr>
                <w:shd w:val="clear" w:color="auto" w:fill="auto"/>
              </w:rPr>
            </w:pPr>
            <w:r>
              <w:rPr>
                <w:rFonts w:hint="eastAsia"/>
                <w:shd w:val="clear" w:color="auto" w:fill="auto"/>
              </w:rPr>
              <w:t>独立董事</w:t>
            </w:r>
            <w:r>
              <w:rPr>
                <w:rFonts w:hint="eastAsia"/>
                <w:shd w:val="clear" w:color="auto" w:fill="auto"/>
              </w:rPr>
              <w:t xml:space="preserve"> </w:t>
            </w:r>
            <w:r>
              <w:rPr>
                <w:shd w:val="clear" w:color="auto" w:fill="auto"/>
              </w:rPr>
              <w:t xml:space="preserve">  </w:t>
            </w:r>
            <w:r>
              <w:rPr>
                <w:color w:val="000000" w:themeColor="text1"/>
                <w:szCs w:val="30"/>
              </w:rPr>
              <w:t>刘圻</w:t>
            </w:r>
            <w:r>
              <w:rPr>
                <w:rFonts w:hint="eastAsia"/>
                <w:shd w:val="clear" w:color="auto" w:fill="auto"/>
              </w:rPr>
              <w:t>先生</w:t>
            </w:r>
          </w:p>
        </w:tc>
      </w:tr>
      <w:tr w:rsidR="007543FB" w:rsidTr="00AF4ECD">
        <w:trPr>
          <w:trHeight w:val="6794"/>
          <w:jc w:val="center"/>
        </w:trPr>
        <w:tc>
          <w:tcPr>
            <w:tcW w:w="1193" w:type="pct"/>
            <w:vAlign w:val="center"/>
          </w:tcPr>
          <w:p w:rsidR="007543FB" w:rsidRDefault="00D77453">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807" w:type="pct"/>
            <w:vAlign w:val="center"/>
          </w:tcPr>
          <w:p w:rsidR="00F36861" w:rsidRDefault="00F36861" w:rsidP="00F36861">
            <w:pPr>
              <w:pStyle w:val="af5"/>
              <w:spacing w:beforeLines="50" w:before="156" w:afterLines="50" w:after="156"/>
              <w:ind w:firstLine="482"/>
              <w:rPr>
                <w:b/>
                <w:szCs w:val="24"/>
              </w:rPr>
            </w:pPr>
            <w:r>
              <w:rPr>
                <w:rFonts w:ascii="宋体" w:hAnsi="宋体" w:hint="eastAsia"/>
                <w:b/>
              </w:rPr>
              <w:t>一、</w:t>
            </w:r>
            <w:r>
              <w:rPr>
                <w:rFonts w:hint="eastAsia"/>
                <w:b/>
              </w:rPr>
              <w:t>2025</w:t>
            </w:r>
            <w:r>
              <w:rPr>
                <w:rFonts w:ascii="宋体" w:hAnsi="宋体" w:hint="eastAsia"/>
                <w:b/>
              </w:rPr>
              <w:t>年度市值管理制度执行情况说明</w:t>
            </w:r>
          </w:p>
          <w:p w:rsidR="00F36861" w:rsidRDefault="00F36861" w:rsidP="00F36861">
            <w:pPr>
              <w:widowControl/>
              <w:spacing w:line="460" w:lineRule="exact"/>
              <w:ind w:firstLineChars="200" w:firstLine="480"/>
            </w:pPr>
            <w:r>
              <w:rPr>
                <w:rFonts w:ascii="宋体" w:hAnsi="宋体" w:hint="eastAsia"/>
                <w:kern w:val="0"/>
                <w:sz w:val="24"/>
              </w:rPr>
              <w:t>为持续提升公司投资价值，进一步规范市值管理活动，维护公司、投资者及其他利益相关者的合法权益，公司严格落实监管要求，结合实际情况，于</w:t>
            </w:r>
            <w:r>
              <w:rPr>
                <w:kern w:val="0"/>
                <w:sz w:val="24"/>
              </w:rPr>
              <w:t>2025</w:t>
            </w:r>
            <w:r>
              <w:rPr>
                <w:rFonts w:ascii="宋体" w:hAnsi="宋体"/>
                <w:kern w:val="0"/>
                <w:sz w:val="24"/>
              </w:rPr>
              <w:t>年</w:t>
            </w:r>
            <w:r>
              <w:rPr>
                <w:kern w:val="0"/>
                <w:sz w:val="24"/>
              </w:rPr>
              <w:t>3</w:t>
            </w:r>
            <w:r>
              <w:rPr>
                <w:rFonts w:ascii="宋体" w:hAnsi="宋体"/>
                <w:kern w:val="0"/>
                <w:sz w:val="24"/>
              </w:rPr>
              <w:t>月</w:t>
            </w:r>
            <w:r>
              <w:rPr>
                <w:kern w:val="0"/>
                <w:sz w:val="24"/>
              </w:rPr>
              <w:t>27</w:t>
            </w:r>
            <w:r>
              <w:rPr>
                <w:rFonts w:ascii="宋体" w:hAnsi="宋体" w:hint="eastAsia"/>
                <w:kern w:val="0"/>
                <w:sz w:val="24"/>
              </w:rPr>
              <w:t>日制定《市值管理制度》，并在报告期内完成修订完善，为公司开展市值管理工作筑牢制度基础。</w:t>
            </w:r>
          </w:p>
          <w:p w:rsidR="00F36861" w:rsidRDefault="00F36861" w:rsidP="00F36861">
            <w:pPr>
              <w:widowControl/>
              <w:spacing w:line="460" w:lineRule="exact"/>
              <w:ind w:firstLineChars="200" w:firstLine="480"/>
            </w:pPr>
            <w:r>
              <w:rPr>
                <w:kern w:val="0"/>
                <w:sz w:val="24"/>
              </w:rPr>
              <w:t>2025</w:t>
            </w:r>
            <w:r>
              <w:rPr>
                <w:rFonts w:ascii="宋体" w:hAnsi="宋体" w:hint="eastAsia"/>
                <w:kern w:val="0"/>
                <w:sz w:val="24"/>
              </w:rPr>
              <w:t>年度，公司坚持以主业发展为根本、规范治理为支撑、价值传递为纽带、股东回报为落脚点的市值管理理念，聚焦主营业务高质量发展，统筹做好信息披露、投资者关系管理、现金分红、股权激励等各项工作，推动公司市值合理反映内在价值与成长潜力。</w:t>
            </w:r>
          </w:p>
          <w:p w:rsidR="00F36861" w:rsidRDefault="002C6EA5" w:rsidP="00F36861">
            <w:pPr>
              <w:widowControl/>
              <w:spacing w:line="460" w:lineRule="exact"/>
              <w:ind w:firstLineChars="200" w:firstLine="482"/>
              <w:rPr>
                <w:b/>
                <w:bCs/>
              </w:rPr>
            </w:pPr>
            <w:r>
              <w:rPr>
                <w:rFonts w:ascii="宋体" w:hAnsi="宋体" w:hint="eastAsia"/>
                <w:b/>
                <w:bCs/>
                <w:kern w:val="0"/>
                <w:sz w:val="24"/>
              </w:rPr>
              <w:t>（一）</w:t>
            </w:r>
            <w:r w:rsidR="00F36861">
              <w:rPr>
                <w:rFonts w:ascii="宋体" w:hAnsi="宋体" w:hint="eastAsia"/>
                <w:b/>
                <w:bCs/>
                <w:kern w:val="0"/>
                <w:sz w:val="24"/>
              </w:rPr>
              <w:t>精耕经营提质，夯实主业发展根基</w:t>
            </w:r>
          </w:p>
          <w:p w:rsidR="00F36861" w:rsidRDefault="00F36861" w:rsidP="00F36861">
            <w:pPr>
              <w:widowControl/>
              <w:spacing w:line="460" w:lineRule="exact"/>
              <w:ind w:firstLineChars="200" w:firstLine="480"/>
            </w:pPr>
            <w:r>
              <w:rPr>
                <w:kern w:val="0"/>
                <w:sz w:val="24"/>
              </w:rPr>
              <w:t>2025</w:t>
            </w:r>
            <w:r>
              <w:rPr>
                <w:rFonts w:ascii="宋体" w:hAnsi="宋体"/>
                <w:kern w:val="0"/>
                <w:sz w:val="24"/>
              </w:rPr>
              <w:t>年度，</w:t>
            </w:r>
            <w:r>
              <w:rPr>
                <w:rFonts w:ascii="宋体" w:hAnsi="宋体" w:hint="eastAsia"/>
                <w:kern w:val="0"/>
                <w:sz w:val="24"/>
              </w:rPr>
              <w:t>公司聚焦免疫和代谢领域，以临床价值为导向，持续优化资源配置，提升核心竞争力。公司核心产品派格宾新增适应症获批，成为全球首个以临床治愈为治疗终点的药物；自主研发的长效生长激素“益佩生”获批上市并纳入国家</w:t>
            </w:r>
            <w:proofErr w:type="gramStart"/>
            <w:r>
              <w:rPr>
                <w:rFonts w:ascii="宋体" w:hAnsi="宋体" w:hint="eastAsia"/>
                <w:kern w:val="0"/>
                <w:sz w:val="24"/>
              </w:rPr>
              <w:t>医</w:t>
            </w:r>
            <w:proofErr w:type="gramEnd"/>
            <w:r>
              <w:rPr>
                <w:rFonts w:ascii="宋体" w:hAnsi="宋体" w:hint="eastAsia"/>
                <w:kern w:val="0"/>
                <w:sz w:val="24"/>
              </w:rPr>
              <w:t>保目录，开启公司双轮驱动发展新格</w:t>
            </w:r>
            <w:r>
              <w:rPr>
                <w:rFonts w:ascii="宋体" w:hAnsi="宋体" w:hint="eastAsia"/>
                <w:kern w:val="0"/>
                <w:sz w:val="24"/>
              </w:rPr>
              <w:lastRenderedPageBreak/>
              <w:t>局。此外，公司完成对九</w:t>
            </w:r>
            <w:r>
              <w:rPr>
                <w:rFonts w:ascii="宋体" w:hAnsi="宋体"/>
                <w:kern w:val="0"/>
                <w:sz w:val="24"/>
              </w:rPr>
              <w:t>天生物（</w:t>
            </w:r>
            <w:r>
              <w:rPr>
                <w:kern w:val="0"/>
                <w:sz w:val="24"/>
              </w:rPr>
              <w:t>Skyline Therapeutics Limited</w:t>
            </w:r>
            <w:r>
              <w:rPr>
                <w:rFonts w:ascii="宋体" w:hAnsi="宋体"/>
                <w:kern w:val="0"/>
                <w:sz w:val="24"/>
              </w:rPr>
              <w:t>）的收购</w:t>
            </w:r>
            <w:r>
              <w:rPr>
                <w:rFonts w:ascii="宋体" w:hAnsi="宋体" w:hint="eastAsia"/>
                <w:kern w:val="0"/>
                <w:sz w:val="24"/>
              </w:rPr>
              <w:t>，布局基因治疗前沿技术。公司持续加大研发投入，搭建覆盖蛋白质、抗体、核酸、基因治疗等多元技术平台，丰富研发管线，持续增强长期价值创造能力。</w:t>
            </w:r>
          </w:p>
          <w:p w:rsidR="00F36861" w:rsidRDefault="002C6EA5" w:rsidP="00F36861">
            <w:pPr>
              <w:widowControl/>
              <w:spacing w:line="460" w:lineRule="exact"/>
              <w:ind w:firstLineChars="200" w:firstLine="482"/>
              <w:rPr>
                <w:b/>
                <w:bCs/>
              </w:rPr>
            </w:pPr>
            <w:r>
              <w:rPr>
                <w:rFonts w:ascii="宋体" w:hAnsi="宋体" w:hint="eastAsia"/>
                <w:b/>
                <w:bCs/>
                <w:kern w:val="0"/>
                <w:sz w:val="24"/>
              </w:rPr>
              <w:t>（二）</w:t>
            </w:r>
            <w:r w:rsidR="00F36861">
              <w:rPr>
                <w:rFonts w:ascii="宋体" w:hAnsi="宋体" w:hint="eastAsia"/>
                <w:b/>
                <w:bCs/>
                <w:kern w:val="0"/>
                <w:sz w:val="24"/>
              </w:rPr>
              <w:t>强化信息披露，筑牢规范运作根基</w:t>
            </w:r>
          </w:p>
          <w:p w:rsidR="00F36861" w:rsidRDefault="00F36861" w:rsidP="00F36861">
            <w:pPr>
              <w:widowControl/>
              <w:spacing w:line="460" w:lineRule="exact"/>
              <w:ind w:firstLineChars="200" w:firstLine="480"/>
            </w:pPr>
            <w:r>
              <w:rPr>
                <w:kern w:val="0"/>
                <w:sz w:val="24"/>
              </w:rPr>
              <w:t>2025</w:t>
            </w:r>
            <w:r>
              <w:rPr>
                <w:rFonts w:ascii="宋体" w:hAnsi="宋体"/>
                <w:kern w:val="0"/>
                <w:sz w:val="24"/>
              </w:rPr>
              <w:t>年度</w:t>
            </w:r>
            <w:r>
              <w:rPr>
                <w:rFonts w:ascii="宋体" w:hAnsi="宋体" w:hint="eastAsia"/>
                <w:kern w:val="0"/>
                <w:sz w:val="24"/>
              </w:rPr>
              <w:t>，公司始终秉持真实、准确、完整、及时、公平的信息披露原则，不断优化信息披露、重大信息内部报告等流程，加强内幕信息管理，主动增加自愿性信息披露，持续提升信息披露透明度，助力投资者深入了解公司发展状况，以便更全面、合理地判断公司价值。同时，公司依据监管规则并结合自身实际，系统修订并完善了《公司章程》《股东会议事规则》《董事会议事规则》等核心治理制度，健全合</w:t>
            </w:r>
            <w:proofErr w:type="gramStart"/>
            <w:r>
              <w:rPr>
                <w:rFonts w:ascii="宋体" w:hAnsi="宋体" w:hint="eastAsia"/>
                <w:kern w:val="0"/>
                <w:sz w:val="24"/>
              </w:rPr>
              <w:t>规风控</w:t>
            </w:r>
            <w:proofErr w:type="gramEnd"/>
            <w:r>
              <w:rPr>
                <w:rFonts w:ascii="宋体" w:hAnsi="宋体" w:hint="eastAsia"/>
                <w:kern w:val="0"/>
                <w:sz w:val="24"/>
              </w:rPr>
              <w:t>体系，确保市值管理各项举措在规范的治理框架下有效落地。</w:t>
            </w:r>
          </w:p>
          <w:p w:rsidR="00F36861" w:rsidRDefault="00F36861" w:rsidP="00F36861">
            <w:pPr>
              <w:widowControl/>
              <w:spacing w:line="460" w:lineRule="exact"/>
              <w:ind w:firstLineChars="200" w:firstLine="480"/>
            </w:pPr>
            <w:r>
              <w:rPr>
                <w:rFonts w:ascii="宋体" w:hAnsi="宋体" w:hint="eastAsia"/>
                <w:kern w:val="0"/>
                <w:sz w:val="24"/>
              </w:rPr>
              <w:t>通过协同推进信息披露质量提升与内部治理机制完善，公司持续增强资本市场对公司的价值认同，推动内在价值与市场价值实现良性互动与协同增长。</w:t>
            </w:r>
          </w:p>
          <w:p w:rsidR="00F36861" w:rsidRDefault="002F4DCD" w:rsidP="00F36861">
            <w:pPr>
              <w:widowControl/>
              <w:spacing w:line="460" w:lineRule="exact"/>
              <w:ind w:firstLineChars="200" w:firstLine="482"/>
              <w:rPr>
                <w:b/>
                <w:bCs/>
              </w:rPr>
            </w:pPr>
            <w:r>
              <w:rPr>
                <w:rFonts w:ascii="宋体" w:hAnsi="宋体" w:hint="eastAsia"/>
                <w:b/>
                <w:bCs/>
                <w:kern w:val="0"/>
                <w:sz w:val="24"/>
              </w:rPr>
              <w:t>（</w:t>
            </w:r>
            <w:r>
              <w:rPr>
                <w:rFonts w:ascii="宋体" w:hAnsi="宋体" w:hint="eastAsia"/>
                <w:b/>
                <w:bCs/>
                <w:kern w:val="0"/>
                <w:sz w:val="24"/>
              </w:rPr>
              <w:t>三</w:t>
            </w:r>
            <w:r>
              <w:rPr>
                <w:rFonts w:ascii="宋体" w:hAnsi="宋体" w:hint="eastAsia"/>
                <w:b/>
                <w:bCs/>
                <w:kern w:val="0"/>
                <w:sz w:val="24"/>
              </w:rPr>
              <w:t>）</w:t>
            </w:r>
            <w:r w:rsidR="00F36861">
              <w:rPr>
                <w:rFonts w:ascii="宋体" w:hAnsi="宋体" w:hint="eastAsia"/>
                <w:b/>
                <w:bCs/>
                <w:kern w:val="0"/>
                <w:sz w:val="24"/>
              </w:rPr>
              <w:t>深化投资者沟通，传递公司价值</w:t>
            </w:r>
          </w:p>
          <w:p w:rsidR="00F36861" w:rsidRDefault="00F36861" w:rsidP="00F36861">
            <w:pPr>
              <w:widowControl/>
              <w:spacing w:line="460" w:lineRule="exact"/>
              <w:ind w:firstLineChars="200" w:firstLine="480"/>
            </w:pPr>
            <w:r>
              <w:rPr>
                <w:kern w:val="0"/>
                <w:sz w:val="24"/>
              </w:rPr>
              <w:t>2025</w:t>
            </w:r>
            <w:r>
              <w:rPr>
                <w:rFonts w:ascii="宋体" w:hAnsi="宋体"/>
                <w:kern w:val="0"/>
                <w:sz w:val="24"/>
              </w:rPr>
              <w:t>年</w:t>
            </w:r>
            <w:r>
              <w:rPr>
                <w:rFonts w:ascii="宋体" w:hAnsi="宋体" w:hint="eastAsia"/>
                <w:kern w:val="0"/>
                <w:sz w:val="24"/>
              </w:rPr>
              <w:t>度，公司通过股东会、业绩说明会、现场调研、投资者专线、投资者邮箱、</w:t>
            </w:r>
            <w:r>
              <w:rPr>
                <w:rFonts w:ascii="宋体" w:hAnsi="宋体"/>
                <w:kern w:val="0"/>
                <w:sz w:val="24"/>
              </w:rPr>
              <w:t>上证</w:t>
            </w:r>
            <w:r>
              <w:rPr>
                <w:kern w:val="0"/>
                <w:sz w:val="24"/>
              </w:rPr>
              <w:t>e</w:t>
            </w:r>
            <w:r>
              <w:rPr>
                <w:rFonts w:ascii="宋体" w:hAnsi="宋体"/>
                <w:kern w:val="0"/>
                <w:sz w:val="24"/>
              </w:rPr>
              <w:t>互</w:t>
            </w:r>
            <w:r>
              <w:rPr>
                <w:rFonts w:ascii="宋体" w:hAnsi="宋体" w:hint="eastAsia"/>
                <w:kern w:val="0"/>
                <w:sz w:val="24"/>
              </w:rPr>
              <w:t>动等多元渠道，与投资者保持双向沟通，认真倾听并及时回应投资者关切，客观传递公司价值，构建多元、高效、透明的投资者沟通体系。</w:t>
            </w:r>
          </w:p>
          <w:p w:rsidR="00F36861" w:rsidRDefault="002F4DCD" w:rsidP="00F36861">
            <w:pPr>
              <w:widowControl/>
              <w:spacing w:line="460" w:lineRule="exact"/>
              <w:ind w:firstLineChars="200" w:firstLine="482"/>
              <w:rPr>
                <w:b/>
                <w:bCs/>
              </w:rPr>
            </w:pPr>
            <w:r>
              <w:rPr>
                <w:rFonts w:ascii="宋体" w:hAnsi="宋体" w:hint="eastAsia"/>
                <w:b/>
                <w:bCs/>
                <w:kern w:val="0"/>
                <w:sz w:val="24"/>
              </w:rPr>
              <w:t>（四）</w:t>
            </w:r>
            <w:r w:rsidR="00F36861">
              <w:rPr>
                <w:rFonts w:ascii="宋体" w:hAnsi="宋体" w:hint="eastAsia"/>
                <w:b/>
                <w:bCs/>
                <w:kern w:val="0"/>
                <w:sz w:val="24"/>
              </w:rPr>
              <w:t>恪守回报承诺，健全长效激励机制</w:t>
            </w:r>
          </w:p>
          <w:p w:rsidR="00F36861" w:rsidRDefault="00F36861" w:rsidP="00F36861">
            <w:pPr>
              <w:widowControl/>
              <w:spacing w:line="460" w:lineRule="exact"/>
              <w:ind w:firstLineChars="200" w:firstLine="480"/>
            </w:pPr>
            <w:r>
              <w:rPr>
                <w:rFonts w:ascii="宋体" w:hAnsi="宋体" w:hint="eastAsia"/>
                <w:kern w:val="0"/>
                <w:sz w:val="24"/>
              </w:rPr>
              <w:t>公司始终牢固树立“以投资者为本”的理念，通过持续稳定的现金分红和不断完善的长效激励机制，切实提升投资者获得感。</w:t>
            </w:r>
          </w:p>
          <w:p w:rsidR="00F36861" w:rsidRDefault="00F36861" w:rsidP="00F36861">
            <w:pPr>
              <w:widowControl/>
              <w:spacing w:line="460" w:lineRule="exact"/>
              <w:ind w:firstLineChars="200" w:firstLine="480"/>
            </w:pPr>
            <w:r>
              <w:rPr>
                <w:rFonts w:ascii="宋体" w:hAnsi="宋体" w:hint="eastAsia"/>
                <w:kern w:val="0"/>
                <w:sz w:val="24"/>
              </w:rPr>
              <w:t>在现金分红方面，公司坚持与投资者共享发展成果。</w:t>
            </w:r>
            <w:r>
              <w:rPr>
                <w:kern w:val="0"/>
                <w:sz w:val="24"/>
              </w:rPr>
              <w:t>2019</w:t>
            </w:r>
            <w:r>
              <w:rPr>
                <w:rFonts w:ascii="宋体" w:hAnsi="宋体"/>
                <w:kern w:val="0"/>
                <w:sz w:val="24"/>
              </w:rPr>
              <w:t>年度至</w:t>
            </w:r>
            <w:r>
              <w:rPr>
                <w:kern w:val="0"/>
                <w:sz w:val="24"/>
              </w:rPr>
              <w:t>2024</w:t>
            </w:r>
            <w:r>
              <w:rPr>
                <w:rFonts w:ascii="宋体" w:hAnsi="宋体"/>
                <w:kern w:val="0"/>
                <w:sz w:val="24"/>
              </w:rPr>
              <w:t>年度，现金分红累计总额达</w:t>
            </w:r>
            <w:r>
              <w:rPr>
                <w:kern w:val="0"/>
                <w:sz w:val="24"/>
              </w:rPr>
              <w:t>5.76</w:t>
            </w:r>
            <w:r>
              <w:rPr>
                <w:rFonts w:ascii="宋体" w:hAnsi="宋体"/>
                <w:kern w:val="0"/>
                <w:sz w:val="24"/>
              </w:rPr>
              <w:t>亿元</w:t>
            </w:r>
            <w:r>
              <w:rPr>
                <w:rFonts w:ascii="宋体" w:hAnsi="宋体" w:hint="eastAsia"/>
                <w:kern w:val="0"/>
                <w:sz w:val="24"/>
              </w:rPr>
              <w:t>，已超过首发募集资金总额，实现了股东回报的稳步提升，增强投资者信心。</w:t>
            </w:r>
          </w:p>
          <w:p w:rsidR="00F36861" w:rsidRDefault="00F36861" w:rsidP="00F36861">
            <w:pPr>
              <w:widowControl/>
              <w:spacing w:line="460" w:lineRule="exact"/>
              <w:ind w:firstLineChars="200" w:firstLine="480"/>
            </w:pPr>
            <w:r>
              <w:rPr>
                <w:rFonts w:ascii="宋体" w:hAnsi="宋体" w:hint="eastAsia"/>
                <w:kern w:val="0"/>
                <w:sz w:val="24"/>
              </w:rPr>
              <w:lastRenderedPageBreak/>
              <w:t>在股权激励方面，公司着力构建风险共担、成果共享的长效激励机</w:t>
            </w:r>
            <w:r>
              <w:rPr>
                <w:rFonts w:ascii="宋体" w:hAnsi="宋体"/>
                <w:kern w:val="0"/>
                <w:sz w:val="24"/>
              </w:rPr>
              <w:t>制。</w:t>
            </w:r>
            <w:r>
              <w:rPr>
                <w:kern w:val="0"/>
                <w:sz w:val="24"/>
              </w:rPr>
              <w:t>2025</w:t>
            </w:r>
            <w:r>
              <w:rPr>
                <w:rFonts w:ascii="宋体" w:hAnsi="宋体"/>
                <w:kern w:val="0"/>
                <w:sz w:val="24"/>
              </w:rPr>
              <w:t>年度，公司顺利完成了</w:t>
            </w:r>
            <w:r>
              <w:rPr>
                <w:kern w:val="0"/>
                <w:sz w:val="24"/>
              </w:rPr>
              <w:t>2024</w:t>
            </w:r>
            <w:r>
              <w:rPr>
                <w:rFonts w:ascii="宋体" w:hAnsi="宋体"/>
                <w:kern w:val="0"/>
                <w:sz w:val="24"/>
              </w:rPr>
              <w:t>年</w:t>
            </w:r>
            <w:r>
              <w:rPr>
                <w:rFonts w:ascii="宋体" w:hAnsi="宋体" w:hint="eastAsia"/>
                <w:kern w:val="0"/>
                <w:sz w:val="24"/>
              </w:rPr>
              <w:t>限制性股票激励计划首次授予归属及预留部分授予等相关工作，充分调动了核心员工的积极性与创造力，为市值长期增长提供内生动力。</w:t>
            </w:r>
          </w:p>
          <w:p w:rsidR="00F36861" w:rsidRDefault="00F36861" w:rsidP="00F36861">
            <w:pPr>
              <w:widowControl/>
              <w:spacing w:line="460" w:lineRule="exact"/>
              <w:ind w:firstLineChars="200" w:firstLine="480"/>
            </w:pPr>
            <w:r>
              <w:rPr>
                <w:rFonts w:ascii="宋体" w:hAnsi="宋体" w:hint="eastAsia"/>
                <w:kern w:val="0"/>
                <w:sz w:val="24"/>
              </w:rPr>
              <w:t>未来，公司将继续严格按照《市值管理制度》的要求，持续、规范地开展市值管理工作，不断提升内在价值与资本市场价值，以稳健发展回报广大投资者的信任与支持。</w:t>
            </w:r>
          </w:p>
          <w:p w:rsidR="00F36861" w:rsidRDefault="00F36861" w:rsidP="00F36861">
            <w:pPr>
              <w:pStyle w:val="af5"/>
              <w:spacing w:beforeLines="50" w:before="156" w:afterLines="50" w:after="156"/>
              <w:ind w:firstLine="482"/>
              <w:rPr>
                <w:b/>
              </w:rPr>
            </w:pPr>
            <w:r>
              <w:rPr>
                <w:rFonts w:ascii="宋体" w:hAnsi="宋体" w:hint="eastAsia"/>
                <w:b/>
              </w:rPr>
              <w:t>二、投资者文字互动环节</w:t>
            </w:r>
          </w:p>
          <w:p w:rsidR="007543FB" w:rsidRDefault="00417E7A">
            <w:pPr>
              <w:pStyle w:val="af5"/>
              <w:spacing w:beforeLines="50" w:before="156" w:afterLines="50" w:after="156"/>
              <w:ind w:firstLine="482"/>
              <w:rPr>
                <w:rStyle w:val="af"/>
                <w:rFonts w:ascii="宋体" w:hAnsi="宋体" w:cs="宋体"/>
                <w:color w:val="000000" w:themeColor="text1"/>
                <w:szCs w:val="24"/>
              </w:rPr>
            </w:pPr>
            <w:r>
              <w:rPr>
                <w:rFonts w:hint="eastAsia"/>
                <w:b/>
                <w:color w:val="000000" w:themeColor="text1"/>
                <w:szCs w:val="24"/>
                <w:shd w:val="clear" w:color="auto" w:fill="auto"/>
              </w:rPr>
              <w:t>（一）</w:t>
            </w:r>
            <w:r w:rsidR="00D77453">
              <w:rPr>
                <w:rFonts w:hint="eastAsia"/>
                <w:b/>
                <w:color w:val="000000" w:themeColor="text1"/>
                <w:szCs w:val="24"/>
                <w:shd w:val="clear" w:color="auto" w:fill="auto"/>
              </w:rPr>
              <w:t>技术创新和产业升级方面有哪些举措</w:t>
            </w:r>
            <w:r w:rsidR="00D77453">
              <w:rPr>
                <w:rStyle w:val="af"/>
                <w:rFonts w:ascii="宋体" w:hAnsi="宋体" w:cs="宋体" w:hint="eastAsia"/>
                <w:color w:val="000000" w:themeColor="text1"/>
                <w:szCs w:val="24"/>
              </w:rPr>
              <w:t>？</w:t>
            </w:r>
          </w:p>
          <w:p w:rsidR="007543FB" w:rsidRDefault="00D77453">
            <w:pPr>
              <w:pStyle w:val="af5"/>
              <w:spacing w:beforeLines="50" w:before="156" w:afterLines="50" w:after="156"/>
              <w:ind w:firstLine="480"/>
              <w:rPr>
                <w:rFonts w:eastAsiaTheme="minorEastAsia"/>
                <w:b/>
                <w:color w:val="000000" w:themeColor="text1"/>
                <w:szCs w:val="24"/>
                <w:shd w:val="clear" w:color="auto" w:fill="auto"/>
              </w:rPr>
            </w:pPr>
            <w:r>
              <w:rPr>
                <w:rStyle w:val="af"/>
                <w:rFonts w:ascii="宋体" w:hAnsi="宋体" w:cs="宋体" w:hint="eastAsia"/>
                <w:b w:val="0"/>
                <w:bCs/>
                <w:color w:val="000000" w:themeColor="text1"/>
                <w:szCs w:val="24"/>
              </w:rPr>
              <w:t>答：公司聚焦免疫与代谢领域，持续构建并完善核心技术平台，整合前沿科技资源，推动多平台技术协同创新，为各</w:t>
            </w:r>
            <w:proofErr w:type="gramStart"/>
            <w:r>
              <w:rPr>
                <w:rStyle w:val="af"/>
                <w:rFonts w:ascii="宋体" w:hAnsi="宋体" w:cs="宋体" w:hint="eastAsia"/>
                <w:b w:val="0"/>
                <w:bCs/>
                <w:color w:val="000000" w:themeColor="text1"/>
                <w:szCs w:val="24"/>
              </w:rPr>
              <w:t>类创新</w:t>
            </w:r>
            <w:proofErr w:type="gramEnd"/>
            <w:r>
              <w:rPr>
                <w:rStyle w:val="af"/>
                <w:rFonts w:ascii="宋体" w:hAnsi="宋体" w:cs="宋体" w:hint="eastAsia"/>
                <w:b w:val="0"/>
                <w:bCs/>
                <w:color w:val="000000" w:themeColor="text1"/>
                <w:szCs w:val="24"/>
              </w:rPr>
              <w:t>药物研发筑牢基础。目前，公司已</w:t>
            </w:r>
            <w:r w:rsidRPr="0072595A">
              <w:rPr>
                <w:rStyle w:val="af"/>
                <w:b w:val="0"/>
                <w:bCs/>
                <w:color w:val="000000" w:themeColor="text1"/>
                <w:szCs w:val="24"/>
              </w:rPr>
              <w:t>构建</w:t>
            </w:r>
            <w:r w:rsidRPr="0072595A">
              <w:rPr>
                <w:rStyle w:val="af"/>
                <w:b w:val="0"/>
                <w:bCs/>
                <w:color w:val="000000" w:themeColor="text1"/>
                <w:szCs w:val="24"/>
              </w:rPr>
              <w:t>5</w:t>
            </w:r>
            <w:r>
              <w:rPr>
                <w:rStyle w:val="af"/>
                <w:rFonts w:ascii="宋体" w:hAnsi="宋体" w:cs="宋体" w:hint="eastAsia"/>
                <w:b w:val="0"/>
                <w:bCs/>
                <w:color w:val="000000" w:themeColor="text1"/>
                <w:szCs w:val="24"/>
              </w:rPr>
              <w:t>个核心平台技术，拥有多个表达平台和多个克隆构建储备；同时，围绕免疫和代谢领域，公司正</w:t>
            </w:r>
            <w:r w:rsidRPr="0072595A">
              <w:rPr>
                <w:rStyle w:val="af"/>
                <w:b w:val="0"/>
                <w:bCs/>
                <w:color w:val="000000" w:themeColor="text1"/>
                <w:szCs w:val="24"/>
              </w:rPr>
              <w:t>在对</w:t>
            </w:r>
            <w:r w:rsidRPr="0072595A">
              <w:rPr>
                <w:rStyle w:val="af"/>
                <w:b w:val="0"/>
                <w:bCs/>
                <w:color w:val="000000" w:themeColor="text1"/>
                <w:szCs w:val="24"/>
              </w:rPr>
              <w:t>mRNA</w:t>
            </w:r>
            <w:r w:rsidRPr="0072595A">
              <w:rPr>
                <w:rStyle w:val="af"/>
                <w:b w:val="0"/>
                <w:bCs/>
                <w:color w:val="000000" w:themeColor="text1"/>
                <w:szCs w:val="24"/>
              </w:rPr>
              <w:t>、</w:t>
            </w:r>
            <w:r>
              <w:rPr>
                <w:rStyle w:val="af"/>
                <w:rFonts w:ascii="宋体" w:hAnsi="宋体" w:cs="宋体" w:hint="eastAsia"/>
                <w:b w:val="0"/>
                <w:bCs/>
                <w:color w:val="000000" w:themeColor="text1"/>
                <w:szCs w:val="24"/>
              </w:rPr>
              <w:t>基因疗法、小核酸药物、抗体药物等相关平台技术进行深度开发，为各</w:t>
            </w:r>
            <w:proofErr w:type="gramStart"/>
            <w:r>
              <w:rPr>
                <w:rStyle w:val="af"/>
                <w:rFonts w:ascii="宋体" w:hAnsi="宋体" w:cs="宋体" w:hint="eastAsia"/>
                <w:b w:val="0"/>
                <w:bCs/>
                <w:color w:val="000000" w:themeColor="text1"/>
                <w:szCs w:val="24"/>
              </w:rPr>
              <w:t>类创新</w:t>
            </w:r>
            <w:proofErr w:type="gramEnd"/>
            <w:r>
              <w:rPr>
                <w:rStyle w:val="af"/>
                <w:rFonts w:ascii="宋体" w:hAnsi="宋体" w:cs="宋体" w:hint="eastAsia"/>
                <w:b w:val="0"/>
                <w:bCs/>
                <w:color w:val="000000" w:themeColor="text1"/>
                <w:szCs w:val="24"/>
              </w:rPr>
              <w:t>药物的研发打下坚实的技术基础。</w:t>
            </w:r>
          </w:p>
          <w:p w:rsidR="007543FB" w:rsidRDefault="00417E7A">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w:t>
            </w:r>
            <w:r>
              <w:rPr>
                <w:rFonts w:hint="eastAsia"/>
                <w:b/>
                <w:color w:val="000000" w:themeColor="text1"/>
                <w:szCs w:val="24"/>
                <w:shd w:val="clear" w:color="auto" w:fill="auto"/>
              </w:rPr>
              <w:t>二</w:t>
            </w:r>
            <w:r>
              <w:rPr>
                <w:rFonts w:hint="eastAsia"/>
                <w:b/>
                <w:color w:val="000000" w:themeColor="text1"/>
                <w:szCs w:val="24"/>
                <w:shd w:val="clear" w:color="auto" w:fill="auto"/>
              </w:rPr>
              <w:t>）</w:t>
            </w:r>
            <w:r w:rsidR="00D77453">
              <w:rPr>
                <w:rFonts w:hint="eastAsia"/>
                <w:b/>
                <w:color w:val="000000" w:themeColor="text1"/>
                <w:szCs w:val="24"/>
                <w:shd w:val="clear" w:color="auto" w:fill="auto"/>
              </w:rPr>
              <w:t>公司如何根据自身优势和市场需求来制定和实施这些发展目标？</w:t>
            </w:r>
          </w:p>
          <w:p w:rsidR="007543FB" w:rsidRDefault="00D77453">
            <w:pPr>
              <w:pStyle w:val="af5"/>
              <w:ind w:firstLine="480"/>
              <w:rPr>
                <w:color w:val="000000" w:themeColor="text1"/>
                <w:szCs w:val="24"/>
                <w:shd w:val="clear" w:color="auto" w:fill="auto"/>
              </w:rPr>
            </w:pPr>
            <w:r>
              <w:rPr>
                <w:rFonts w:hint="eastAsia"/>
                <w:color w:val="000000" w:themeColor="text1"/>
                <w:szCs w:val="24"/>
                <w:shd w:val="clear" w:color="auto" w:fill="auto"/>
              </w:rPr>
              <w:t>答：公司将继续立足自身在长效蛋白药物领域及乙肝临床治愈领域优势，以临床需求为导向，围绕做好经营基本面、保持乙肝临床治愈领先地位、聚焦免疫与代谢丰富产品线三方面制定公司发展目标。在经营层面，综合考虑宏观经济形势、行业发展状况、公司经营现状以及未来发展规划等因素，设定合理、科学的股权激励业绩考核目标并推进各项业务，为股东创造稳定回报；在乙肝临床治愈领域，持续巩固派格宾在乙肝临床治愈领域的优势地位，同时进行多维度、全方位的慢性乙肝领域创新药物研发布局，致力于成为慢乙肝临床治愈全球领导者；在免疫与代</w:t>
            </w:r>
            <w:r>
              <w:rPr>
                <w:rFonts w:hint="eastAsia"/>
                <w:color w:val="000000" w:themeColor="text1"/>
                <w:szCs w:val="24"/>
                <w:shd w:val="clear" w:color="auto" w:fill="auto"/>
              </w:rPr>
              <w:lastRenderedPageBreak/>
              <w:t>谢领域，依托公司成熟的研发平台，持续推进新靶点、新机制药物研发，稳步丰富产品矩阵，确保发展目标有序落地、长期成长路径清晰可行。</w:t>
            </w:r>
          </w:p>
          <w:p w:rsidR="007543FB" w:rsidRDefault="00D77453">
            <w:pPr>
              <w:pStyle w:val="af5"/>
              <w:ind w:firstLine="480"/>
              <w:rPr>
                <w:color w:val="000000" w:themeColor="text1"/>
                <w:szCs w:val="28"/>
                <w:lang w:bidi="ar"/>
              </w:rPr>
            </w:pPr>
            <w:r>
              <w:rPr>
                <w:rFonts w:hint="eastAsia"/>
                <w:color w:val="000000" w:themeColor="text1"/>
                <w:szCs w:val="24"/>
                <w:shd w:val="clear" w:color="auto" w:fill="auto"/>
              </w:rPr>
              <w:t>同时，公司将基于对细胞因子长期深入的基础科学及与疾病相关影响的深刻理解，结合核心产品派格宾、</w:t>
            </w:r>
            <w:proofErr w:type="gramStart"/>
            <w:r>
              <w:rPr>
                <w:rFonts w:hint="eastAsia"/>
                <w:color w:val="000000" w:themeColor="text1"/>
                <w:szCs w:val="24"/>
                <w:shd w:val="clear" w:color="auto" w:fill="auto"/>
              </w:rPr>
              <w:t>益佩生</w:t>
            </w:r>
            <w:proofErr w:type="gramEnd"/>
            <w:r>
              <w:rPr>
                <w:rFonts w:hint="eastAsia"/>
                <w:color w:val="000000" w:themeColor="text1"/>
                <w:szCs w:val="24"/>
                <w:shd w:val="clear" w:color="auto" w:fill="auto"/>
              </w:rPr>
              <w:t>、珮金在免疫、代谢及干细胞动员和释放的系统生物学作用，持续探索系统干预对免疫代谢相关疾病尤其是衰老相关疾病控制和转归的影响。</w:t>
            </w:r>
          </w:p>
          <w:p w:rsidR="007543FB" w:rsidRDefault="00417E7A">
            <w:pPr>
              <w:pStyle w:val="af5"/>
              <w:spacing w:beforeLines="50" w:before="156" w:afterLines="50" w:after="156"/>
              <w:ind w:firstLine="482"/>
              <w:rPr>
                <w:b/>
                <w:szCs w:val="24"/>
                <w:shd w:val="clear" w:color="auto" w:fill="auto"/>
              </w:rPr>
            </w:pPr>
            <w:r>
              <w:rPr>
                <w:rFonts w:hint="eastAsia"/>
                <w:b/>
                <w:color w:val="000000" w:themeColor="text1"/>
                <w:szCs w:val="24"/>
                <w:shd w:val="clear" w:color="auto" w:fill="auto"/>
              </w:rPr>
              <w:t>（</w:t>
            </w:r>
            <w:r>
              <w:rPr>
                <w:rFonts w:hint="eastAsia"/>
                <w:b/>
                <w:color w:val="000000" w:themeColor="text1"/>
                <w:szCs w:val="24"/>
                <w:shd w:val="clear" w:color="auto" w:fill="auto"/>
              </w:rPr>
              <w:t>三</w:t>
            </w:r>
            <w:bookmarkStart w:id="0" w:name="_GoBack"/>
            <w:bookmarkEnd w:id="0"/>
            <w:r>
              <w:rPr>
                <w:rFonts w:hint="eastAsia"/>
                <w:b/>
                <w:color w:val="000000" w:themeColor="text1"/>
                <w:szCs w:val="24"/>
                <w:shd w:val="clear" w:color="auto" w:fill="auto"/>
              </w:rPr>
              <w:t>）</w:t>
            </w:r>
            <w:r w:rsidR="00D77453">
              <w:rPr>
                <w:rFonts w:hint="eastAsia"/>
                <w:b/>
                <w:szCs w:val="24"/>
                <w:shd w:val="clear" w:color="auto" w:fill="auto"/>
              </w:rPr>
              <w:t>展望</w:t>
            </w:r>
            <w:r w:rsidR="00D77453">
              <w:rPr>
                <w:rFonts w:hint="eastAsia"/>
                <w:b/>
                <w:szCs w:val="24"/>
                <w:shd w:val="clear" w:color="auto" w:fill="auto"/>
              </w:rPr>
              <w:t>2026</w:t>
            </w:r>
            <w:r w:rsidR="00D77453">
              <w:rPr>
                <w:rFonts w:hint="eastAsia"/>
                <w:b/>
                <w:szCs w:val="24"/>
                <w:shd w:val="clear" w:color="auto" w:fill="auto"/>
              </w:rPr>
              <w:t>年，公司认为最主要的增长驱动力是什么？是否有新业务或新产品能成为重要的利润增长点？</w:t>
            </w:r>
          </w:p>
          <w:p w:rsidR="007543FB" w:rsidRDefault="00D77453" w:rsidP="00AF4ECD">
            <w:pPr>
              <w:pStyle w:val="af5"/>
              <w:spacing w:afterLines="50" w:after="156"/>
              <w:ind w:firstLine="480"/>
              <w:rPr>
                <w:szCs w:val="24"/>
                <w:shd w:val="clear" w:color="auto" w:fill="auto"/>
              </w:rPr>
            </w:pPr>
            <w:r>
              <w:rPr>
                <w:rFonts w:hint="eastAsia"/>
                <w:szCs w:val="24"/>
                <w:shd w:val="clear" w:color="auto" w:fill="auto"/>
              </w:rPr>
              <w:t>答：</w:t>
            </w:r>
            <w:r>
              <w:rPr>
                <w:rFonts w:hint="eastAsia"/>
                <w:szCs w:val="24"/>
                <w:shd w:val="clear" w:color="auto" w:fill="auto"/>
              </w:rPr>
              <w:t>2026</w:t>
            </w:r>
            <w:r>
              <w:rPr>
                <w:rFonts w:hint="eastAsia"/>
                <w:szCs w:val="24"/>
                <w:shd w:val="clear" w:color="auto" w:fill="auto"/>
              </w:rPr>
              <w:t>年，公司增长驱动力主要源自核心产品派格</w:t>
            </w:r>
            <w:proofErr w:type="gramStart"/>
            <w:r>
              <w:rPr>
                <w:rFonts w:hint="eastAsia"/>
                <w:szCs w:val="24"/>
                <w:shd w:val="clear" w:color="auto" w:fill="auto"/>
              </w:rPr>
              <w:t>宾持续</w:t>
            </w:r>
            <w:proofErr w:type="gramEnd"/>
            <w:r>
              <w:rPr>
                <w:rFonts w:hint="eastAsia"/>
                <w:szCs w:val="24"/>
                <w:shd w:val="clear" w:color="auto" w:fill="auto"/>
              </w:rPr>
              <w:t>稳健增长，以及长效生长激素</w:t>
            </w:r>
            <w:proofErr w:type="gramStart"/>
            <w:r>
              <w:rPr>
                <w:rFonts w:hint="eastAsia"/>
                <w:szCs w:val="24"/>
                <w:shd w:val="clear" w:color="auto" w:fill="auto"/>
              </w:rPr>
              <w:t>益佩生纳入</w:t>
            </w:r>
            <w:proofErr w:type="gramEnd"/>
            <w:r>
              <w:rPr>
                <w:rFonts w:hint="eastAsia"/>
                <w:szCs w:val="24"/>
                <w:shd w:val="clear" w:color="auto" w:fill="auto"/>
              </w:rPr>
              <w:t>医保后快速放量，具体为：派</w:t>
            </w:r>
            <w:proofErr w:type="gramStart"/>
            <w:r>
              <w:rPr>
                <w:rFonts w:hint="eastAsia"/>
                <w:szCs w:val="24"/>
                <w:shd w:val="clear" w:color="auto" w:fill="auto"/>
              </w:rPr>
              <w:t>格宾现已</w:t>
            </w:r>
            <w:proofErr w:type="gramEnd"/>
            <w:r>
              <w:rPr>
                <w:rFonts w:hint="eastAsia"/>
                <w:szCs w:val="24"/>
                <w:shd w:val="clear" w:color="auto" w:fill="auto"/>
              </w:rPr>
              <w:t>成为慢性乙肝临床治愈的重要基石药物，随着慢性乙肝临床治愈理念不断普及、慢性乙肝抗病毒治疗率的不断提高，以及临床治愈方案的持续优化和其他创新机制药物联合方案的不断探索，派格宾渗透率有望继续提升；</w:t>
            </w:r>
            <w:proofErr w:type="gramStart"/>
            <w:r>
              <w:rPr>
                <w:rFonts w:hint="eastAsia"/>
                <w:szCs w:val="24"/>
                <w:shd w:val="clear" w:color="auto" w:fill="auto"/>
              </w:rPr>
              <w:t>益佩生</w:t>
            </w:r>
            <w:proofErr w:type="gramEnd"/>
            <w:r>
              <w:rPr>
                <w:rFonts w:hint="eastAsia"/>
                <w:szCs w:val="24"/>
                <w:shd w:val="clear" w:color="auto" w:fill="auto"/>
              </w:rPr>
              <w:t>凭借在疗效、安全性、使用便利性等方面的差异</w:t>
            </w:r>
            <w:proofErr w:type="gramStart"/>
            <w:r>
              <w:rPr>
                <w:rFonts w:hint="eastAsia"/>
                <w:szCs w:val="24"/>
                <w:shd w:val="clear" w:color="auto" w:fill="auto"/>
              </w:rPr>
              <w:t>化创</w:t>
            </w:r>
            <w:proofErr w:type="gramEnd"/>
            <w:r>
              <w:rPr>
                <w:rFonts w:hint="eastAsia"/>
                <w:szCs w:val="24"/>
                <w:shd w:val="clear" w:color="auto" w:fill="auto"/>
              </w:rPr>
              <w:t>新优势，未来将成为公司重要增长点。同时，公司现有的创新管线也将为中长期持续增长提供有力支撑。</w:t>
            </w:r>
          </w:p>
        </w:tc>
      </w:tr>
      <w:tr w:rsidR="007543FB">
        <w:trPr>
          <w:trHeight w:val="2041"/>
          <w:jc w:val="center"/>
        </w:trPr>
        <w:tc>
          <w:tcPr>
            <w:tcW w:w="1193" w:type="pct"/>
            <w:vAlign w:val="center"/>
          </w:tcPr>
          <w:p w:rsidR="007543FB" w:rsidRDefault="00D77453">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807" w:type="pct"/>
            <w:vAlign w:val="center"/>
          </w:tcPr>
          <w:p w:rsidR="007543FB" w:rsidRDefault="00D77453">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7543FB">
        <w:trPr>
          <w:trHeight w:val="567"/>
          <w:jc w:val="center"/>
        </w:trPr>
        <w:tc>
          <w:tcPr>
            <w:tcW w:w="1193" w:type="pct"/>
            <w:vAlign w:val="center"/>
          </w:tcPr>
          <w:p w:rsidR="007543FB" w:rsidRDefault="00D77453">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807" w:type="pct"/>
            <w:vAlign w:val="center"/>
          </w:tcPr>
          <w:p w:rsidR="007543FB" w:rsidRDefault="00D77453">
            <w:pPr>
              <w:jc w:val="left"/>
              <w:rPr>
                <w:rFonts w:ascii="宋体" w:hAnsi="宋体" w:cs="黑体"/>
                <w:color w:val="000000"/>
                <w:kern w:val="0"/>
                <w:sz w:val="24"/>
              </w:rPr>
            </w:pPr>
            <w:r>
              <w:rPr>
                <w:rFonts w:ascii="宋体" w:hAnsi="宋体" w:cs="黑体" w:hint="eastAsia"/>
                <w:color w:val="000000"/>
                <w:kern w:val="0"/>
                <w:sz w:val="24"/>
              </w:rPr>
              <w:t>无</w:t>
            </w:r>
          </w:p>
        </w:tc>
      </w:tr>
      <w:tr w:rsidR="007543FB">
        <w:trPr>
          <w:trHeight w:val="567"/>
          <w:jc w:val="center"/>
        </w:trPr>
        <w:tc>
          <w:tcPr>
            <w:tcW w:w="1193" w:type="pct"/>
            <w:vAlign w:val="center"/>
          </w:tcPr>
          <w:p w:rsidR="007543FB" w:rsidRDefault="00D77453">
            <w:pPr>
              <w:autoSpaceDE w:val="0"/>
              <w:autoSpaceDN w:val="0"/>
              <w:adjustRightInd w:val="0"/>
              <w:jc w:val="center"/>
              <w:rPr>
                <w:color w:val="000000"/>
                <w:kern w:val="0"/>
                <w:sz w:val="24"/>
              </w:rPr>
            </w:pPr>
            <w:r>
              <w:rPr>
                <w:rFonts w:hint="eastAsia"/>
                <w:color w:val="000000"/>
                <w:kern w:val="0"/>
                <w:sz w:val="24"/>
              </w:rPr>
              <w:t>日期</w:t>
            </w:r>
          </w:p>
        </w:tc>
        <w:tc>
          <w:tcPr>
            <w:tcW w:w="3807" w:type="pct"/>
            <w:vAlign w:val="center"/>
          </w:tcPr>
          <w:p w:rsidR="007543FB" w:rsidRDefault="00D77453">
            <w:pPr>
              <w:autoSpaceDE w:val="0"/>
              <w:autoSpaceDN w:val="0"/>
              <w:adjustRightInd w:val="0"/>
              <w:rPr>
                <w:color w:val="000000"/>
                <w:kern w:val="0"/>
                <w:sz w:val="24"/>
              </w:rPr>
            </w:pPr>
            <w:r>
              <w:rPr>
                <w:rFonts w:hint="eastAsia"/>
                <w:kern w:val="0"/>
                <w:sz w:val="24"/>
              </w:rPr>
              <w:t>2026</w:t>
            </w:r>
            <w:r>
              <w:rPr>
                <w:rFonts w:hint="eastAsia"/>
                <w:kern w:val="0"/>
                <w:sz w:val="24"/>
              </w:rPr>
              <w:t>年</w:t>
            </w:r>
            <w:r>
              <w:rPr>
                <w:rFonts w:hint="eastAsia"/>
                <w:kern w:val="0"/>
                <w:sz w:val="24"/>
              </w:rPr>
              <w:t>5</w:t>
            </w:r>
            <w:r>
              <w:rPr>
                <w:rFonts w:hint="eastAsia"/>
                <w:kern w:val="0"/>
                <w:sz w:val="24"/>
              </w:rPr>
              <w:t>月</w:t>
            </w:r>
            <w:r>
              <w:rPr>
                <w:rFonts w:hint="eastAsia"/>
                <w:kern w:val="0"/>
                <w:sz w:val="24"/>
              </w:rPr>
              <w:t>13</w:t>
            </w:r>
            <w:r>
              <w:rPr>
                <w:rFonts w:hint="eastAsia"/>
                <w:kern w:val="0"/>
                <w:sz w:val="24"/>
              </w:rPr>
              <w:t>日</w:t>
            </w:r>
          </w:p>
        </w:tc>
      </w:tr>
    </w:tbl>
    <w:p w:rsidR="007543FB" w:rsidRDefault="007543FB">
      <w:pPr>
        <w:rPr>
          <w:rFonts w:ascii="黑体" w:eastAsia="黑体" w:cs="黑体"/>
          <w:color w:val="000000"/>
          <w:kern w:val="0"/>
          <w:sz w:val="28"/>
          <w:szCs w:val="28"/>
        </w:rPr>
      </w:pPr>
    </w:p>
    <w:sectPr w:rsidR="007543FB">
      <w:footerReference w:type="default" r:id="rId9"/>
      <w:headerReference w:type="first" r:id="rId10"/>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85" w:rsidRDefault="00241F85">
      <w:r>
        <w:separator/>
      </w:r>
    </w:p>
  </w:endnote>
  <w:endnote w:type="continuationSeparator" w:id="0">
    <w:p w:rsidR="00241F85" w:rsidRDefault="0024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7543FB" w:rsidRDefault="00D77453">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85" w:rsidRDefault="00241F85">
      <w:r>
        <w:separator/>
      </w:r>
    </w:p>
  </w:footnote>
  <w:footnote w:type="continuationSeparator" w:id="0">
    <w:p w:rsidR="00241F85" w:rsidRDefault="0024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FB" w:rsidRDefault="007543FB">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48D"/>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05F"/>
    <w:rsid w:val="000B4BA6"/>
    <w:rsid w:val="000C128B"/>
    <w:rsid w:val="000C26F6"/>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A5B22"/>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7F33"/>
    <w:rsid w:val="00241F85"/>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2B9B"/>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C6EA5"/>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1EB7"/>
    <w:rsid w:val="002F21F9"/>
    <w:rsid w:val="002F3FB4"/>
    <w:rsid w:val="002F4DCD"/>
    <w:rsid w:val="002F5B35"/>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2BD"/>
    <w:rsid w:val="003C5B56"/>
    <w:rsid w:val="003D089D"/>
    <w:rsid w:val="003D0A0D"/>
    <w:rsid w:val="003D1771"/>
    <w:rsid w:val="003D571B"/>
    <w:rsid w:val="003D5D16"/>
    <w:rsid w:val="003D6191"/>
    <w:rsid w:val="003D67F2"/>
    <w:rsid w:val="003D7BBB"/>
    <w:rsid w:val="003E5DEA"/>
    <w:rsid w:val="003E7443"/>
    <w:rsid w:val="003F35EE"/>
    <w:rsid w:val="003F6281"/>
    <w:rsid w:val="003F651B"/>
    <w:rsid w:val="00405028"/>
    <w:rsid w:val="00405A84"/>
    <w:rsid w:val="004169A2"/>
    <w:rsid w:val="00416AA1"/>
    <w:rsid w:val="0041710A"/>
    <w:rsid w:val="00417E7A"/>
    <w:rsid w:val="004233CD"/>
    <w:rsid w:val="00430DD0"/>
    <w:rsid w:val="00433274"/>
    <w:rsid w:val="00434A39"/>
    <w:rsid w:val="00434E51"/>
    <w:rsid w:val="00441212"/>
    <w:rsid w:val="00441CC4"/>
    <w:rsid w:val="00442C6B"/>
    <w:rsid w:val="004437D2"/>
    <w:rsid w:val="00445B7B"/>
    <w:rsid w:val="00447B27"/>
    <w:rsid w:val="00456023"/>
    <w:rsid w:val="00460FE1"/>
    <w:rsid w:val="0046300F"/>
    <w:rsid w:val="00466DB7"/>
    <w:rsid w:val="00467D0F"/>
    <w:rsid w:val="00471C62"/>
    <w:rsid w:val="004725BF"/>
    <w:rsid w:val="0047771C"/>
    <w:rsid w:val="0048081E"/>
    <w:rsid w:val="004825D1"/>
    <w:rsid w:val="00487103"/>
    <w:rsid w:val="00487BE4"/>
    <w:rsid w:val="00495FA1"/>
    <w:rsid w:val="00496F37"/>
    <w:rsid w:val="00496FAA"/>
    <w:rsid w:val="0049713B"/>
    <w:rsid w:val="004A0D66"/>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D66"/>
    <w:rsid w:val="00523FCE"/>
    <w:rsid w:val="00524345"/>
    <w:rsid w:val="005245A8"/>
    <w:rsid w:val="00524F23"/>
    <w:rsid w:val="00531482"/>
    <w:rsid w:val="005332EC"/>
    <w:rsid w:val="00533765"/>
    <w:rsid w:val="005427CD"/>
    <w:rsid w:val="005440D6"/>
    <w:rsid w:val="00544C9B"/>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2EC"/>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95A11"/>
    <w:rsid w:val="006A6ADD"/>
    <w:rsid w:val="006A7E87"/>
    <w:rsid w:val="006B0B15"/>
    <w:rsid w:val="006B3051"/>
    <w:rsid w:val="006C0103"/>
    <w:rsid w:val="006C17FF"/>
    <w:rsid w:val="006C39CB"/>
    <w:rsid w:val="006C4DD9"/>
    <w:rsid w:val="006C5094"/>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595A"/>
    <w:rsid w:val="007264CB"/>
    <w:rsid w:val="00730D84"/>
    <w:rsid w:val="00731507"/>
    <w:rsid w:val="00737C74"/>
    <w:rsid w:val="00737EFF"/>
    <w:rsid w:val="00742C75"/>
    <w:rsid w:val="00745302"/>
    <w:rsid w:val="007466D0"/>
    <w:rsid w:val="00746751"/>
    <w:rsid w:val="007523A6"/>
    <w:rsid w:val="00753B77"/>
    <w:rsid w:val="007543FB"/>
    <w:rsid w:val="00757953"/>
    <w:rsid w:val="007579D2"/>
    <w:rsid w:val="00757E25"/>
    <w:rsid w:val="00761692"/>
    <w:rsid w:val="00764742"/>
    <w:rsid w:val="00764C22"/>
    <w:rsid w:val="0076525C"/>
    <w:rsid w:val="007667BE"/>
    <w:rsid w:val="00772C51"/>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7F678D"/>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496"/>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19F1"/>
    <w:rsid w:val="00AD294C"/>
    <w:rsid w:val="00AD2B70"/>
    <w:rsid w:val="00AE038D"/>
    <w:rsid w:val="00AE2C8E"/>
    <w:rsid w:val="00AE35EF"/>
    <w:rsid w:val="00AE699F"/>
    <w:rsid w:val="00AF0792"/>
    <w:rsid w:val="00AF2564"/>
    <w:rsid w:val="00AF395D"/>
    <w:rsid w:val="00AF4EC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A7380"/>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1166"/>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0DDE"/>
    <w:rsid w:val="00C611D2"/>
    <w:rsid w:val="00C612C6"/>
    <w:rsid w:val="00C664D6"/>
    <w:rsid w:val="00C7019F"/>
    <w:rsid w:val="00C7371C"/>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45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E82"/>
    <w:rsid w:val="00E12F79"/>
    <w:rsid w:val="00E13009"/>
    <w:rsid w:val="00E17E84"/>
    <w:rsid w:val="00E2483C"/>
    <w:rsid w:val="00E25A6E"/>
    <w:rsid w:val="00E2638A"/>
    <w:rsid w:val="00E2717F"/>
    <w:rsid w:val="00E31546"/>
    <w:rsid w:val="00E32E31"/>
    <w:rsid w:val="00E3346D"/>
    <w:rsid w:val="00E339F8"/>
    <w:rsid w:val="00E3568A"/>
    <w:rsid w:val="00E36D3C"/>
    <w:rsid w:val="00E37151"/>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02AB"/>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36861"/>
    <w:rsid w:val="00F40B8C"/>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93009E1"/>
    <w:rsid w:val="0E433D8F"/>
    <w:rsid w:val="1C5D665B"/>
    <w:rsid w:val="1CBD53FA"/>
    <w:rsid w:val="1FDE283D"/>
    <w:rsid w:val="23C8760C"/>
    <w:rsid w:val="2DFFACD4"/>
    <w:rsid w:val="2E6B73DF"/>
    <w:rsid w:val="2FE5083E"/>
    <w:rsid w:val="39B22528"/>
    <w:rsid w:val="3AC91A82"/>
    <w:rsid w:val="3D9787ED"/>
    <w:rsid w:val="3EA30D63"/>
    <w:rsid w:val="3EFE5DB0"/>
    <w:rsid w:val="3FF49A49"/>
    <w:rsid w:val="3FF77CA5"/>
    <w:rsid w:val="3FFB46EC"/>
    <w:rsid w:val="3FFF8DDB"/>
    <w:rsid w:val="3FFFA9F3"/>
    <w:rsid w:val="438B1486"/>
    <w:rsid w:val="44FECC3D"/>
    <w:rsid w:val="451C1DA9"/>
    <w:rsid w:val="4767199D"/>
    <w:rsid w:val="48FFD267"/>
    <w:rsid w:val="4AAF17C9"/>
    <w:rsid w:val="4CB55BC5"/>
    <w:rsid w:val="4D75CE6C"/>
    <w:rsid w:val="4EF7B269"/>
    <w:rsid w:val="4F7A8BDA"/>
    <w:rsid w:val="53294C00"/>
    <w:rsid w:val="53570872"/>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B620E"/>
  <w15:docId w15:val="{B3DA2A7F-8060-4AC8-9BC4-4E3996E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50558">
      <w:bodyDiv w:val="1"/>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f9c243a8-2784-4c84-ac63-929952e2feec</errorID>
      <errorWord>其它</errorWord>
      <group>L1_Word</group>
      <groupName>字词问题</groupName>
      <ability>L2_Alias</ability>
      <abilityName>也作/曾用词</abilityName>
      <candidateList>
        <item>其他</item>
      </candidateList>
      <explain>词汇[其它]为不规范表述或旧称，其规范书面表述为[其他]。</explain>
      <paraID> F5B3F9D</paraID>
      <start>1</start>
      <end>3</end>
      <status>unmodified</status>
      <modifiedWord/>
      <trackRevisions>false</trackRevisions>
    </reviewItem>
    <reviewItem>
      <errorID>19cd9f85-419d-45e0-9112-28c407e5f2e7</errorID>
      <errorWord>的</errorWord>
      <group>L1_Word</group>
      <groupName>字词问题</groupName>
      <ability>L2_DDD</ability>
      <abilityName>的地得用法</abilityName>
      <candidateList>
        <item>得</item>
      </candidateList>
      <explain>“得”常用在动词或形容词后面，表示动作结果、程度或状态评价。</explain>
      <paraID>3ABC7CC7</paraID>
      <start>23</start>
      <end>24</end>
      <status>unmodified</status>
      <modifiedWord/>
      <trackRevisions>false</trackRevisions>
    </reviewItem>
    <reviewItem>
      <errorID>c72571b2-67c0-418a-9908-46d4ea546a6a</errorID>
      <errorWord>性</errorWord>
      <group>L1_Word</group>
      <groupName>字词问题</groupName>
      <ability>L2_Typo</ability>
      <abilityName>字词错误</abilityName>
      <candidateList>
        <item>性上</item>
      </candidateList>
      <explain/>
      <paraID> D39971B</paraID>
      <start>196</start>
      <end>197</end>
      <status>unmodified</status>
      <modifiedWord/>
      <trackRevisions>false</trackRevisions>
    </reviewItem>
    <reviewItem>
      <errorID>8e58ee03-326d-4d97-ac27-6cf01e2a9841</errorID>
      <errorWord>正</errorWord>
      <group>L1_Word</group>
      <groupName>字词问题</groupName>
      <ability>L2_Typo</ability>
      <abilityName>字词错误</abilityName>
      <candidateList>
        <item>正在</item>
      </candidateList>
      <explain/>
      <paraID>3B47FB7D</paraID>
      <start>209</start>
      <end>210</end>
      <status>unmodified</status>
      <modifiedWord/>
      <trackRevisions>false</trackRevisions>
    </reviewItem>
    <reviewItem>
      <errorID>d3ec4da9-75a4-41c6-aeeb-a3d54e15e46d</errorID>
      <errorWord>能</errorWord>
      <group>L1_Word</group>
      <groupName>字词问题</groupName>
      <ability>L2_Typo</ability>
      <abilityName>字词错误</abilityName>
      <candidateList>
        <item>能够</item>
      </candidateList>
      <explain/>
      <paraID>3B47FB7D</paraID>
      <start>320</start>
      <end>321</end>
      <status>unmodified</status>
      <modifiedWord/>
      <trackRevisions>false</trackRevisions>
    </reviewItem>
    <reviewItem>
      <errorID>e904f908-2970-4f79-9344-417d956394ff</errorID>
      <errorWord>做出</errorWord>
      <group>L1_Word</group>
      <groupName>字词问题</groupName>
      <ability>L2_Typo</ability>
      <abilityName>字词错误</abilityName>
      <candidateList>
        <item>作出</item>
      </candidateList>
      <explain/>
      <paraID>3B47FB7D</paraID>
      <start>403</start>
      <end>405</end>
      <status>unmodified</status>
      <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96F56BE-BE51-483A-A082-61804B6189C9}">
  <ds:schemaRefs>
    <ds:schemaRef ds:uri="http://schemas.wps.cn/vas-ai-hub/contract-review"/>
  </ds:schemaRefs>
</ds:datastoreItem>
</file>

<file path=customXml/itemProps2.xml><?xml version="1.0" encoding="utf-8"?>
<ds:datastoreItem xmlns:ds="http://schemas.openxmlformats.org/officeDocument/2006/customXml" ds:itemID="{81C8F63D-4C6F-40E9-950A-C3D5FADF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417</Words>
  <Characters>2379</Characters>
  <Application>Microsoft Office Word</Application>
  <DocSecurity>0</DocSecurity>
  <Lines>19</Lines>
  <Paragraphs>5</Paragraphs>
  <ScaleCrop>false</ScaleCrop>
  <Company>微软中国</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DB</cp:lastModifiedBy>
  <cp:revision>71</cp:revision>
  <dcterms:created xsi:type="dcterms:W3CDTF">2024-05-26T01:26:00Z</dcterms:created>
  <dcterms:modified xsi:type="dcterms:W3CDTF">2026-05-13T10:16:00Z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500F2EC35D494D75935ACF1E1CEBC495_13</vt:lpwstr>
  </property>
</Properties>
</file>