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9B3D" w14:textId="276357FC" w:rsidR="00C10223" w:rsidRDefault="00000000">
      <w:pPr>
        <w:jc w:val="distribute"/>
        <w:rPr>
          <w:rFonts w:ascii="宋体" w:eastAsia="宋体" w:hAnsi="宋体" w:cs="Times New Roman" w:hint="eastAsia"/>
          <w:sz w:val="24"/>
          <w:szCs w:val="28"/>
        </w:rPr>
      </w:pPr>
      <w:r>
        <w:rPr>
          <w:rFonts w:ascii="宋体" w:eastAsia="宋体" w:hAnsi="宋体" w:cs="Times New Roman"/>
          <w:sz w:val="24"/>
          <w:szCs w:val="28"/>
        </w:rPr>
        <w:t>证券代码：688076                                  证券简称：</w:t>
      </w:r>
      <w:r w:rsidR="006E4184">
        <w:rPr>
          <w:rFonts w:ascii="宋体" w:eastAsia="宋体" w:hAnsi="宋体" w:cs="Times New Roman" w:hint="eastAsia"/>
          <w:sz w:val="24"/>
          <w:szCs w:val="28"/>
        </w:rPr>
        <w:t>ST</w:t>
      </w:r>
      <w:r>
        <w:rPr>
          <w:rFonts w:ascii="宋体" w:eastAsia="宋体" w:hAnsi="宋体" w:cs="Times New Roman"/>
          <w:sz w:val="24"/>
          <w:szCs w:val="28"/>
        </w:rPr>
        <w:t>诺泰</w:t>
      </w:r>
    </w:p>
    <w:p w14:paraId="67419EAF" w14:textId="77777777" w:rsidR="00C10223" w:rsidRDefault="00C10223">
      <w:pPr>
        <w:rPr>
          <w:rFonts w:ascii="宋体" w:eastAsia="宋体" w:hAnsi="宋体" w:cs="Times New Roman" w:hint="eastAsia"/>
          <w:sz w:val="24"/>
          <w:szCs w:val="28"/>
        </w:rPr>
      </w:pPr>
    </w:p>
    <w:p w14:paraId="1C554655" w14:textId="77777777" w:rsidR="00C10223" w:rsidRDefault="00000000">
      <w:pPr>
        <w:jc w:val="center"/>
        <w:rPr>
          <w:rFonts w:ascii="宋体" w:eastAsia="宋体" w:hAnsi="宋体" w:cs="Times New Roman" w:hint="eastAsia"/>
          <w:b/>
          <w:bCs/>
          <w:sz w:val="32"/>
          <w:szCs w:val="36"/>
        </w:rPr>
      </w:pPr>
      <w:r>
        <w:rPr>
          <w:rFonts w:ascii="宋体" w:eastAsia="宋体" w:hAnsi="宋体" w:cs="Times New Roman"/>
          <w:b/>
          <w:bCs/>
          <w:sz w:val="32"/>
          <w:szCs w:val="36"/>
        </w:rPr>
        <w:t>江苏诺泰澳赛诺生物制药股份有限公司</w:t>
      </w:r>
    </w:p>
    <w:p w14:paraId="0E77F62F" w14:textId="77777777" w:rsidR="00C10223" w:rsidRDefault="00000000">
      <w:pPr>
        <w:jc w:val="center"/>
        <w:rPr>
          <w:rFonts w:ascii="宋体" w:eastAsia="宋体" w:hAnsi="宋体" w:cs="Times New Roman" w:hint="eastAsia"/>
          <w:b/>
          <w:bCs/>
          <w:sz w:val="32"/>
          <w:szCs w:val="36"/>
        </w:rPr>
      </w:pPr>
      <w:r>
        <w:rPr>
          <w:rFonts w:ascii="宋体" w:eastAsia="宋体" w:hAnsi="宋体" w:cs="Times New Roman"/>
          <w:b/>
          <w:bCs/>
          <w:sz w:val="32"/>
          <w:szCs w:val="36"/>
        </w:rPr>
        <w:t>投资者关系活动记录表</w:t>
      </w:r>
    </w:p>
    <w:p w14:paraId="2B2C319B" w14:textId="3E1AE73E" w:rsidR="00C10223" w:rsidRDefault="00000000">
      <w:pPr>
        <w:jc w:val="right"/>
        <w:rPr>
          <w:rFonts w:ascii="宋体" w:eastAsia="宋体" w:hAnsi="宋体" w:cs="Times New Roman" w:hint="eastAsia"/>
          <w:sz w:val="24"/>
          <w:szCs w:val="28"/>
        </w:rPr>
      </w:pPr>
      <w:r>
        <w:rPr>
          <w:rFonts w:ascii="宋体" w:eastAsia="宋体" w:hAnsi="宋体" w:cs="Times New Roman"/>
          <w:sz w:val="24"/>
          <w:szCs w:val="28"/>
        </w:rPr>
        <w:t>编号：202</w:t>
      </w:r>
      <w:r w:rsidR="00D6475F">
        <w:rPr>
          <w:rFonts w:ascii="宋体" w:eastAsia="宋体" w:hAnsi="宋体" w:cs="Times New Roman" w:hint="eastAsia"/>
          <w:sz w:val="24"/>
          <w:szCs w:val="28"/>
        </w:rPr>
        <w:t>6</w:t>
      </w:r>
      <w:r>
        <w:rPr>
          <w:rFonts w:ascii="宋体" w:eastAsia="宋体" w:hAnsi="宋体" w:cs="Times New Roman"/>
          <w:sz w:val="24"/>
          <w:szCs w:val="28"/>
        </w:rPr>
        <w:t>-00</w:t>
      </w:r>
      <w:r w:rsidR="00D6475F">
        <w:rPr>
          <w:rFonts w:ascii="宋体" w:eastAsia="宋体" w:hAnsi="宋体" w:cs="Times New Roman" w:hint="eastAsia"/>
          <w:sz w:val="24"/>
          <w:szCs w:val="28"/>
        </w:rPr>
        <w:t>1</w:t>
      </w:r>
    </w:p>
    <w:tbl>
      <w:tblPr>
        <w:tblStyle w:val="ae"/>
        <w:tblW w:w="8897" w:type="dxa"/>
        <w:tblLook w:val="04A0" w:firstRow="1" w:lastRow="0" w:firstColumn="1" w:lastColumn="0" w:noHBand="0" w:noVBand="1"/>
      </w:tblPr>
      <w:tblGrid>
        <w:gridCol w:w="1951"/>
        <w:gridCol w:w="2095"/>
        <w:gridCol w:w="2238"/>
        <w:gridCol w:w="2613"/>
      </w:tblGrid>
      <w:tr w:rsidR="00C10223" w14:paraId="673F603F" w14:textId="77777777">
        <w:trPr>
          <w:trHeight w:val="567"/>
        </w:trPr>
        <w:tc>
          <w:tcPr>
            <w:tcW w:w="1951" w:type="dxa"/>
            <w:vMerge w:val="restart"/>
            <w:vAlign w:val="center"/>
          </w:tcPr>
          <w:p w14:paraId="5977DA8D"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投资者关系活动类别</w:t>
            </w:r>
          </w:p>
        </w:tc>
        <w:tc>
          <w:tcPr>
            <w:tcW w:w="2095" w:type="dxa"/>
            <w:tcBorders>
              <w:bottom w:val="nil"/>
              <w:right w:val="nil"/>
            </w:tcBorders>
            <w:vAlign w:val="center"/>
          </w:tcPr>
          <w:p w14:paraId="66084BDB"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 xml:space="preserve">特定对象调研 </w:t>
            </w:r>
          </w:p>
        </w:tc>
        <w:tc>
          <w:tcPr>
            <w:tcW w:w="2238" w:type="dxa"/>
            <w:tcBorders>
              <w:left w:val="nil"/>
              <w:bottom w:val="nil"/>
              <w:right w:val="nil"/>
            </w:tcBorders>
            <w:vAlign w:val="center"/>
          </w:tcPr>
          <w:p w14:paraId="6752FB54"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分析师会议</w:t>
            </w:r>
          </w:p>
        </w:tc>
        <w:tc>
          <w:tcPr>
            <w:tcW w:w="2613" w:type="dxa"/>
            <w:tcBorders>
              <w:left w:val="nil"/>
              <w:bottom w:val="nil"/>
            </w:tcBorders>
            <w:vAlign w:val="center"/>
          </w:tcPr>
          <w:p w14:paraId="7580BF7F"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媒体采访</w:t>
            </w:r>
          </w:p>
        </w:tc>
      </w:tr>
      <w:tr w:rsidR="00C10223" w14:paraId="3D8A61C4" w14:textId="77777777">
        <w:trPr>
          <w:trHeight w:val="567"/>
        </w:trPr>
        <w:tc>
          <w:tcPr>
            <w:tcW w:w="1951" w:type="dxa"/>
            <w:vMerge/>
            <w:vAlign w:val="center"/>
          </w:tcPr>
          <w:p w14:paraId="055C4D7F" w14:textId="77777777" w:rsidR="00C10223" w:rsidRDefault="00C10223">
            <w:pPr>
              <w:spacing w:line="360" w:lineRule="auto"/>
              <w:jc w:val="center"/>
              <w:rPr>
                <w:rFonts w:ascii="宋体" w:eastAsia="宋体" w:hAnsi="宋体" w:cs="Times New Roman" w:hint="eastAsia"/>
                <w:sz w:val="24"/>
                <w:szCs w:val="28"/>
              </w:rPr>
            </w:pPr>
          </w:p>
        </w:tc>
        <w:tc>
          <w:tcPr>
            <w:tcW w:w="2095" w:type="dxa"/>
            <w:tcBorders>
              <w:top w:val="nil"/>
              <w:bottom w:val="nil"/>
              <w:right w:val="nil"/>
            </w:tcBorders>
            <w:vAlign w:val="center"/>
          </w:tcPr>
          <w:p w14:paraId="4115B73C" w14:textId="77777777" w:rsidR="00C10223" w:rsidRDefault="00000000">
            <w:pPr>
              <w:pStyle w:val="af1"/>
              <w:numPr>
                <w:ilvl w:val="0"/>
                <w:numId w:val="2"/>
              </w:numPr>
              <w:spacing w:line="360" w:lineRule="auto"/>
              <w:ind w:firstLineChars="0"/>
              <w:jc w:val="left"/>
              <w:rPr>
                <w:rFonts w:ascii="宋体" w:eastAsia="宋体" w:hAnsi="宋体" w:cs="Times New Roman" w:hint="eastAsia"/>
                <w:sz w:val="24"/>
                <w:szCs w:val="28"/>
              </w:rPr>
            </w:pPr>
            <w:r>
              <w:rPr>
                <w:rFonts w:ascii="宋体" w:eastAsia="宋体" w:hAnsi="宋体" w:cs="Times New Roman"/>
                <w:sz w:val="24"/>
                <w:szCs w:val="28"/>
              </w:rPr>
              <w:t>业绩说明会</w:t>
            </w:r>
          </w:p>
        </w:tc>
        <w:tc>
          <w:tcPr>
            <w:tcW w:w="2238" w:type="dxa"/>
            <w:tcBorders>
              <w:top w:val="nil"/>
              <w:left w:val="nil"/>
              <w:bottom w:val="nil"/>
              <w:right w:val="nil"/>
            </w:tcBorders>
            <w:vAlign w:val="center"/>
          </w:tcPr>
          <w:p w14:paraId="7923582D"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新闻发布会</w:t>
            </w:r>
          </w:p>
        </w:tc>
        <w:tc>
          <w:tcPr>
            <w:tcW w:w="2613" w:type="dxa"/>
            <w:tcBorders>
              <w:top w:val="nil"/>
              <w:left w:val="nil"/>
              <w:bottom w:val="nil"/>
            </w:tcBorders>
            <w:vAlign w:val="center"/>
          </w:tcPr>
          <w:p w14:paraId="5BFABF51"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路演活动</w:t>
            </w:r>
          </w:p>
        </w:tc>
      </w:tr>
      <w:tr w:rsidR="00C10223" w14:paraId="51177A59" w14:textId="77777777">
        <w:trPr>
          <w:trHeight w:val="567"/>
        </w:trPr>
        <w:tc>
          <w:tcPr>
            <w:tcW w:w="1951" w:type="dxa"/>
            <w:vMerge/>
            <w:vAlign w:val="center"/>
          </w:tcPr>
          <w:p w14:paraId="00D55FCB" w14:textId="77777777" w:rsidR="00C10223" w:rsidRDefault="00C10223">
            <w:pPr>
              <w:spacing w:line="360" w:lineRule="auto"/>
              <w:jc w:val="center"/>
              <w:rPr>
                <w:rFonts w:ascii="宋体" w:eastAsia="宋体" w:hAnsi="宋体" w:cs="Times New Roman" w:hint="eastAsia"/>
                <w:sz w:val="24"/>
                <w:szCs w:val="28"/>
              </w:rPr>
            </w:pPr>
          </w:p>
        </w:tc>
        <w:tc>
          <w:tcPr>
            <w:tcW w:w="2095" w:type="dxa"/>
            <w:tcBorders>
              <w:top w:val="nil"/>
              <w:right w:val="nil"/>
            </w:tcBorders>
            <w:vAlign w:val="center"/>
          </w:tcPr>
          <w:p w14:paraId="14C89C15" w14:textId="77777777" w:rsidR="00C10223" w:rsidRDefault="00000000">
            <w:pPr>
              <w:pStyle w:val="af1"/>
              <w:numPr>
                <w:ilvl w:val="0"/>
                <w:numId w:val="3"/>
              </w:numPr>
              <w:spacing w:line="360" w:lineRule="auto"/>
              <w:ind w:firstLineChars="0"/>
              <w:jc w:val="left"/>
              <w:rPr>
                <w:rFonts w:ascii="宋体" w:eastAsia="宋体" w:hAnsi="宋体" w:cs="Times New Roman" w:hint="eastAsia"/>
                <w:sz w:val="24"/>
                <w:szCs w:val="28"/>
              </w:rPr>
            </w:pPr>
            <w:r>
              <w:rPr>
                <w:rFonts w:ascii="宋体" w:eastAsia="宋体" w:hAnsi="宋体" w:cs="Times New Roman"/>
                <w:sz w:val="24"/>
                <w:szCs w:val="28"/>
              </w:rPr>
              <w:t>现场参观</w:t>
            </w:r>
          </w:p>
        </w:tc>
        <w:tc>
          <w:tcPr>
            <w:tcW w:w="2238" w:type="dxa"/>
            <w:tcBorders>
              <w:top w:val="nil"/>
              <w:left w:val="nil"/>
              <w:right w:val="nil"/>
            </w:tcBorders>
            <w:vAlign w:val="center"/>
          </w:tcPr>
          <w:p w14:paraId="6F1880FB" w14:textId="77777777" w:rsidR="00C10223"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其他</w:t>
            </w:r>
          </w:p>
        </w:tc>
        <w:tc>
          <w:tcPr>
            <w:tcW w:w="2613" w:type="dxa"/>
            <w:tcBorders>
              <w:top w:val="nil"/>
              <w:left w:val="nil"/>
            </w:tcBorders>
            <w:vAlign w:val="center"/>
          </w:tcPr>
          <w:p w14:paraId="1A192119" w14:textId="77777777" w:rsidR="00C10223" w:rsidRDefault="00C10223">
            <w:pPr>
              <w:spacing w:line="360" w:lineRule="auto"/>
              <w:jc w:val="left"/>
              <w:rPr>
                <w:rFonts w:ascii="宋体" w:eastAsia="宋体" w:hAnsi="宋体" w:cs="Times New Roman" w:hint="eastAsia"/>
                <w:sz w:val="24"/>
                <w:szCs w:val="28"/>
              </w:rPr>
            </w:pPr>
          </w:p>
        </w:tc>
      </w:tr>
      <w:tr w:rsidR="00C10223" w14:paraId="01E0EF41" w14:textId="77777777">
        <w:trPr>
          <w:trHeight w:val="567"/>
        </w:trPr>
        <w:tc>
          <w:tcPr>
            <w:tcW w:w="1951" w:type="dxa"/>
            <w:vAlign w:val="center"/>
          </w:tcPr>
          <w:p w14:paraId="0CBD8000"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参与单位名称及人员姓名</w:t>
            </w:r>
          </w:p>
        </w:tc>
        <w:tc>
          <w:tcPr>
            <w:tcW w:w="6946" w:type="dxa"/>
            <w:gridSpan w:val="3"/>
            <w:vAlign w:val="center"/>
          </w:tcPr>
          <w:p w14:paraId="239ABA11" w14:textId="77777777" w:rsidR="00C10223"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网上投资者</w:t>
            </w:r>
          </w:p>
        </w:tc>
      </w:tr>
      <w:tr w:rsidR="00C10223" w14:paraId="1D96C6AD" w14:textId="77777777">
        <w:trPr>
          <w:trHeight w:val="567"/>
        </w:trPr>
        <w:tc>
          <w:tcPr>
            <w:tcW w:w="1951" w:type="dxa"/>
            <w:vAlign w:val="center"/>
          </w:tcPr>
          <w:p w14:paraId="59F780F1"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hint="eastAsia"/>
                <w:sz w:val="24"/>
                <w:szCs w:val="28"/>
              </w:rPr>
              <w:t>时间</w:t>
            </w:r>
          </w:p>
        </w:tc>
        <w:tc>
          <w:tcPr>
            <w:tcW w:w="6946" w:type="dxa"/>
            <w:gridSpan w:val="3"/>
            <w:vAlign w:val="center"/>
          </w:tcPr>
          <w:p w14:paraId="071A78BE" w14:textId="52E929A1" w:rsidR="00C10223" w:rsidRDefault="00000000">
            <w:pPr>
              <w:spacing w:line="360" w:lineRule="auto"/>
              <w:rPr>
                <w:rFonts w:ascii="宋体" w:eastAsia="宋体" w:hAnsi="宋体" w:cs="Times New Roman" w:hint="eastAsia"/>
                <w:sz w:val="24"/>
                <w:szCs w:val="28"/>
              </w:rPr>
            </w:pPr>
            <w:r>
              <w:rPr>
                <w:rFonts w:ascii="宋体" w:eastAsia="宋体" w:hAnsi="宋体" w:cs="Times New Roman"/>
                <w:sz w:val="24"/>
                <w:szCs w:val="28"/>
              </w:rPr>
              <w:t>202</w:t>
            </w:r>
            <w:r w:rsidR="006E4184">
              <w:rPr>
                <w:rFonts w:ascii="宋体" w:eastAsia="宋体" w:hAnsi="宋体" w:cs="Times New Roman" w:hint="eastAsia"/>
                <w:sz w:val="24"/>
                <w:szCs w:val="28"/>
              </w:rPr>
              <w:t>6</w:t>
            </w:r>
            <w:r>
              <w:rPr>
                <w:rFonts w:ascii="宋体" w:eastAsia="宋体" w:hAnsi="宋体" w:cs="Times New Roman"/>
                <w:sz w:val="24"/>
                <w:szCs w:val="28"/>
              </w:rPr>
              <w:t>年5月</w:t>
            </w:r>
            <w:r w:rsidR="006E4184">
              <w:rPr>
                <w:rFonts w:ascii="宋体" w:eastAsia="宋体" w:hAnsi="宋体" w:cs="Times New Roman" w:hint="eastAsia"/>
                <w:sz w:val="24"/>
                <w:szCs w:val="28"/>
              </w:rPr>
              <w:t>13</w:t>
            </w:r>
            <w:r>
              <w:rPr>
                <w:rFonts w:ascii="宋体" w:eastAsia="宋体" w:hAnsi="宋体" w:cs="Times New Roman"/>
                <w:sz w:val="24"/>
                <w:szCs w:val="28"/>
              </w:rPr>
              <w:t>日</w:t>
            </w:r>
            <w:r>
              <w:rPr>
                <w:rFonts w:ascii="宋体" w:eastAsia="宋体" w:hAnsi="宋体" w:cs="Times New Roman" w:hint="eastAsia"/>
                <w:sz w:val="24"/>
                <w:szCs w:val="28"/>
              </w:rPr>
              <w:t>1</w:t>
            </w:r>
            <w:r w:rsidR="006E4184">
              <w:rPr>
                <w:rFonts w:ascii="宋体" w:eastAsia="宋体" w:hAnsi="宋体" w:cs="Times New Roman" w:hint="eastAsia"/>
                <w:sz w:val="24"/>
                <w:szCs w:val="28"/>
              </w:rPr>
              <w:t>5</w:t>
            </w:r>
            <w:r>
              <w:rPr>
                <w:rFonts w:ascii="宋体" w:eastAsia="宋体" w:hAnsi="宋体" w:cs="Times New Roman" w:hint="eastAsia"/>
                <w:sz w:val="24"/>
                <w:szCs w:val="28"/>
              </w:rPr>
              <w:t>:00-1</w:t>
            </w:r>
            <w:r w:rsidR="006E4184">
              <w:rPr>
                <w:rFonts w:ascii="宋体" w:eastAsia="宋体" w:hAnsi="宋体" w:cs="Times New Roman" w:hint="eastAsia"/>
                <w:sz w:val="24"/>
                <w:szCs w:val="28"/>
              </w:rPr>
              <w:t>6</w:t>
            </w:r>
            <w:r>
              <w:rPr>
                <w:rFonts w:ascii="宋体" w:eastAsia="宋体" w:hAnsi="宋体" w:cs="Times New Roman" w:hint="eastAsia"/>
                <w:sz w:val="24"/>
                <w:szCs w:val="28"/>
              </w:rPr>
              <w:t>:</w:t>
            </w:r>
            <w:r>
              <w:rPr>
                <w:rFonts w:ascii="宋体" w:eastAsia="宋体" w:hAnsi="宋体" w:cs="Times New Roman"/>
                <w:sz w:val="24"/>
                <w:szCs w:val="28"/>
              </w:rPr>
              <w:t>0</w:t>
            </w:r>
            <w:r>
              <w:rPr>
                <w:rFonts w:ascii="宋体" w:eastAsia="宋体" w:hAnsi="宋体" w:cs="Times New Roman" w:hint="eastAsia"/>
                <w:sz w:val="24"/>
                <w:szCs w:val="28"/>
              </w:rPr>
              <w:t>0</w:t>
            </w:r>
          </w:p>
        </w:tc>
      </w:tr>
      <w:tr w:rsidR="00C10223" w14:paraId="3AC0A2F5" w14:textId="77777777">
        <w:trPr>
          <w:trHeight w:val="567"/>
        </w:trPr>
        <w:tc>
          <w:tcPr>
            <w:tcW w:w="1951" w:type="dxa"/>
            <w:vAlign w:val="center"/>
          </w:tcPr>
          <w:p w14:paraId="2D473242"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地点</w:t>
            </w:r>
          </w:p>
        </w:tc>
        <w:tc>
          <w:tcPr>
            <w:tcW w:w="6946" w:type="dxa"/>
            <w:gridSpan w:val="3"/>
            <w:vAlign w:val="center"/>
          </w:tcPr>
          <w:p w14:paraId="1F5FD6D0" w14:textId="77777777" w:rsidR="00C10223" w:rsidRDefault="00000000">
            <w:pPr>
              <w:spacing w:line="360" w:lineRule="auto"/>
              <w:rPr>
                <w:rFonts w:ascii="宋体" w:eastAsia="宋体" w:hAnsi="宋体" w:cs="Times New Roman" w:hint="eastAsia"/>
                <w:sz w:val="24"/>
                <w:szCs w:val="28"/>
              </w:rPr>
            </w:pPr>
            <w:r>
              <w:rPr>
                <w:rFonts w:ascii="Times New Roman" w:eastAsia="宋体" w:hAnsi="Times New Roman" w:cs="Times New Roman" w:hint="eastAsia"/>
                <w:sz w:val="24"/>
                <w:szCs w:val="28"/>
              </w:rPr>
              <w:t>上海证券交易所上证路演中心（网址：</w:t>
            </w:r>
            <w:r>
              <w:rPr>
                <w:rFonts w:ascii="Times New Roman" w:eastAsia="宋体" w:hAnsi="Times New Roman" w:cs="Times New Roman"/>
                <w:sz w:val="24"/>
                <w:szCs w:val="28"/>
              </w:rPr>
              <w:t>https://roadshow.sseinfo.com</w:t>
            </w:r>
            <w:r>
              <w:rPr>
                <w:rFonts w:ascii="Times New Roman" w:eastAsia="宋体" w:hAnsi="Times New Roman" w:cs="Times New Roman" w:hint="eastAsia"/>
                <w:sz w:val="24"/>
                <w:szCs w:val="28"/>
              </w:rPr>
              <w:t>）</w:t>
            </w:r>
          </w:p>
        </w:tc>
      </w:tr>
      <w:tr w:rsidR="00C10223" w14:paraId="38A60003" w14:textId="77777777">
        <w:trPr>
          <w:trHeight w:val="567"/>
        </w:trPr>
        <w:tc>
          <w:tcPr>
            <w:tcW w:w="1951" w:type="dxa"/>
            <w:vAlign w:val="center"/>
          </w:tcPr>
          <w:p w14:paraId="0B387017"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上市公司接待人员姓名</w:t>
            </w:r>
          </w:p>
        </w:tc>
        <w:tc>
          <w:tcPr>
            <w:tcW w:w="6946" w:type="dxa"/>
            <w:gridSpan w:val="3"/>
            <w:vAlign w:val="center"/>
          </w:tcPr>
          <w:p w14:paraId="7EB20AAF" w14:textId="001A8D5A" w:rsidR="00C10223"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董事长兼</w:t>
            </w:r>
            <w:r w:rsidR="006E4184">
              <w:rPr>
                <w:rFonts w:ascii="宋体" w:eastAsia="宋体" w:hAnsi="宋体" w:cs="Times New Roman" w:hint="eastAsia"/>
                <w:sz w:val="24"/>
                <w:szCs w:val="28"/>
              </w:rPr>
              <w:t>总裁</w:t>
            </w:r>
            <w:r>
              <w:rPr>
                <w:rFonts w:ascii="宋体" w:eastAsia="宋体" w:hAnsi="宋体" w:cs="Times New Roman" w:hint="eastAsia"/>
                <w:sz w:val="24"/>
                <w:szCs w:val="28"/>
              </w:rPr>
              <w:t>：童梓权</w:t>
            </w:r>
          </w:p>
          <w:p w14:paraId="79B3E936" w14:textId="77777777" w:rsidR="00C10223"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财务总监：丁伟</w:t>
            </w:r>
          </w:p>
          <w:p w14:paraId="626ADCD0" w14:textId="77777777" w:rsidR="00C10223"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董事会秘书：周骅</w:t>
            </w:r>
          </w:p>
          <w:p w14:paraId="584D3766" w14:textId="77777777" w:rsidR="00C10223"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独立董事：刘坚</w:t>
            </w:r>
          </w:p>
        </w:tc>
      </w:tr>
      <w:tr w:rsidR="00C10223" w14:paraId="055EC1BA" w14:textId="77777777">
        <w:trPr>
          <w:trHeight w:val="453"/>
        </w:trPr>
        <w:tc>
          <w:tcPr>
            <w:tcW w:w="1951" w:type="dxa"/>
            <w:vAlign w:val="center"/>
          </w:tcPr>
          <w:p w14:paraId="535B54DF"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投资者关系活动主要内容介绍</w:t>
            </w:r>
          </w:p>
        </w:tc>
        <w:tc>
          <w:tcPr>
            <w:tcW w:w="6946" w:type="dxa"/>
            <w:gridSpan w:val="3"/>
            <w:vAlign w:val="center"/>
          </w:tcPr>
          <w:p w14:paraId="71D3CA6C" w14:textId="2C86DCB4" w:rsidR="00C10223" w:rsidRDefault="006E4184">
            <w:pPr>
              <w:pStyle w:val="af1"/>
              <w:numPr>
                <w:ilvl w:val="0"/>
                <w:numId w:val="4"/>
              </w:numPr>
              <w:spacing w:before="120" w:after="120" w:line="360" w:lineRule="auto"/>
              <w:ind w:firstLineChars="0"/>
              <w:rPr>
                <w:rFonts w:ascii="宋体" w:eastAsia="宋体" w:hAnsi="宋体" w:hint="eastAsia"/>
                <w:b/>
                <w:bCs/>
                <w:sz w:val="24"/>
                <w:szCs w:val="24"/>
              </w:rPr>
            </w:pPr>
            <w:r w:rsidRPr="006E4184">
              <w:rPr>
                <w:rFonts w:ascii="宋体" w:eastAsia="宋体" w:hAnsi="宋体" w:hint="eastAsia"/>
                <w:b/>
                <w:bCs/>
                <w:sz w:val="24"/>
                <w:szCs w:val="24"/>
              </w:rPr>
              <w:t>1.25年营收增长但归母净利润下滑17.8%，量化说明：毛利率下滑、资产减值、证监会罚款、财务费用上升四项分别对利润的影响金额？26年是否已出现拐点？存货跌价的原因是我们生产出来的原料市场价大幅度跌价？无形资产减值是什么原因涉及？2.2026Q1营收同比略降、扣非下滑17.78%，主业盈利下滑的核心原因是什么？是否与客户结构、价格竞争、成本相关？3.25年整体毛利率62.72%（-5.06pct），26Q1毛利率61.97%，连续下滑。请问原材料、制造费用、产能折旧、产品结构哪项是主因？毛利率何时能企稳回升，回升幅度预期？4.内控整改是否全部完成？摘帽时间表？是否存在其他潜在处罚或股民诉讼？5.司美、利拉、替尔泊肽等GLP-1原料药/制剂当</w:t>
            </w:r>
            <w:r w:rsidRPr="006E4184">
              <w:rPr>
                <w:rFonts w:ascii="宋体" w:eastAsia="宋体" w:hAnsi="宋体" w:hint="eastAsia"/>
                <w:b/>
                <w:bCs/>
                <w:sz w:val="24"/>
                <w:szCs w:val="24"/>
              </w:rPr>
              <w:lastRenderedPageBreak/>
              <w:t>前订单、出货量、客户及26–27年放量节奏如何？与CDMO大客户长期订单是否有保障？6.25年长期借款大幅上升、财务费用增213%，存货大增47%。请问：新增产能利用率与爬坡进度？存货减值压力是否充分释放？26年资本开支、负债率、财务费用控制目标？短期负债较高，处罚事件对我们银行的续贷是否造成一定影响和利息提高</w:t>
            </w:r>
            <w:r w:rsidR="00000000">
              <w:rPr>
                <w:rFonts w:ascii="宋体" w:eastAsia="宋体" w:hAnsi="宋体" w:hint="eastAsia"/>
                <w:b/>
                <w:bCs/>
                <w:sz w:val="24"/>
                <w:szCs w:val="24"/>
              </w:rPr>
              <w:t>？</w:t>
            </w:r>
          </w:p>
          <w:p w14:paraId="65098226" w14:textId="32995271" w:rsidR="00C10223" w:rsidRDefault="00000000">
            <w:pPr>
              <w:spacing w:before="120" w:after="120" w:line="360" w:lineRule="auto"/>
              <w:rPr>
                <w:rFonts w:ascii="宋体" w:eastAsia="宋体" w:hAnsi="宋体" w:hint="eastAsia"/>
                <w:bCs/>
                <w:sz w:val="24"/>
                <w:szCs w:val="24"/>
              </w:rPr>
            </w:pPr>
            <w:r>
              <w:rPr>
                <w:rFonts w:ascii="宋体" w:eastAsia="宋体" w:hAnsi="宋体" w:hint="eastAsia"/>
                <w:bCs/>
                <w:sz w:val="24"/>
                <w:szCs w:val="24"/>
              </w:rPr>
              <w:t>答：</w:t>
            </w:r>
            <w:r w:rsidR="006E4184" w:rsidRPr="006E4184">
              <w:rPr>
                <w:rFonts w:ascii="宋体" w:eastAsia="宋体" w:hAnsi="宋体" w:hint="eastAsia"/>
                <w:bCs/>
                <w:sz w:val="24"/>
                <w:szCs w:val="24"/>
              </w:rPr>
              <w:t>尊敬的投资者您好，1）2025年资产减值约8000余万、2025年12月缴纳证监会罚款4740万、财务费用增长约4000万，尽管公司毛利率同比有所下降，公司2025年度整体毛利润随着公司收入规模增长依旧实现正增长；公司按照《企业会计准则》要求，对相关存货、无形资产进行了减值。2）2026年Q1营收同比略有下降，主要因流感季节性影响，抗病毒制剂产品销售同比有较大下降；此外，公司部分销售产品受行业价格波动影响，毛利率水平同比下降，使公司净利润有所下降。3）公司毛利率下降主要还是部分产品受行业价格波动引起，未来走势及变化受市场竞争、供需格局等多方面影响。4）公司已就上海证券交易所纪律处分事项向上海证券交易所提交专项整改报告，待满足摘帽条件后公司会尽快履行内部程序并提交摘帽申请；如有相关诉讼等事项达到信息披露标准，公司会依据有关规定及时进行披露。5）2025年度，公司司美格鲁肽、替尔泊肽、利拉鲁肽三个GLP-1原料药出货量同比均实现较大增长；与CDMO大客户长期订单从2024年下半年起已执行一年又一期，交付金额均较原订单采购指引有较大增长，具体请见公司分别于2024年12月31日和2025年12月31日披露的《关于日常经营重大合同的进展公告》（公告编号2024-097、2025-073），后续年份执行情况需根据双方实际签署的采购订单予以确定,采购金额及利润贡献尚无法准确预计，相关财务数据最终以公司当期经审计财务报告为准。6）公司近年来新建成产能已陆续投入使用，因设备调试、客户审计节奏等多方面因素影响，产能充分释放尚需一定时间。关于存货</w:t>
            </w:r>
            <w:r w:rsidR="006E4184" w:rsidRPr="006E4184">
              <w:rPr>
                <w:rFonts w:ascii="宋体" w:eastAsia="宋体" w:hAnsi="宋体" w:hint="eastAsia"/>
                <w:bCs/>
                <w:sz w:val="24"/>
                <w:szCs w:val="24"/>
              </w:rPr>
              <w:lastRenderedPageBreak/>
              <w:t>减值，公司均依据《企业会计准则》等要求规范执行。2026年度公司在整体费用控制方面已取得一定成效，在2026年第一季度财务报表科目可以反映。目前处罚事件对于公司银行存续贷没有造成影响。希望能解答您的问题</w:t>
            </w:r>
            <w:r>
              <w:rPr>
                <w:rFonts w:ascii="宋体" w:eastAsia="宋体" w:hAnsi="宋体" w:hint="eastAsia"/>
                <w:bCs/>
                <w:sz w:val="24"/>
                <w:szCs w:val="24"/>
              </w:rPr>
              <w:t>！</w:t>
            </w:r>
          </w:p>
          <w:p w14:paraId="6A319F6F" w14:textId="7D835EF3" w:rsidR="00C10223" w:rsidRDefault="006E4184">
            <w:pPr>
              <w:pStyle w:val="af1"/>
              <w:numPr>
                <w:ilvl w:val="0"/>
                <w:numId w:val="4"/>
              </w:numPr>
              <w:spacing w:before="120" w:after="120" w:line="360" w:lineRule="auto"/>
              <w:ind w:firstLineChars="0"/>
              <w:rPr>
                <w:rFonts w:ascii="宋体" w:eastAsia="宋体" w:hAnsi="宋体" w:cs="Times New Roman" w:hint="eastAsia"/>
                <w:b/>
                <w:bCs/>
                <w:sz w:val="24"/>
                <w:szCs w:val="28"/>
              </w:rPr>
            </w:pPr>
            <w:r w:rsidRPr="006E4184">
              <w:rPr>
                <w:rFonts w:ascii="宋体" w:eastAsia="宋体" w:hAnsi="宋体" w:cs="Times New Roman" w:hint="eastAsia"/>
                <w:b/>
                <w:bCs/>
                <w:sz w:val="24"/>
                <w:szCs w:val="28"/>
              </w:rPr>
              <w:t>作为长期持有人，恳请就以下三组问题于5月13日业绩说明会答复：一、欧美双靶点多肽创新药CDMO订单（2025年报披露）：(1)单一客户还是多客户？是否已进入工艺转移阶段？(2)靶点路线偏GLP-1R/GIPR还是GLP-1R/GCGR？(3)项目所处阶段（临床前/临床I-III期/商业化）？(4)2026年和2027年预期实际履行金额的量级？二、2026年全年指引与毛利率底部：(1)全年营收正增长还是负增长？保守区间？(2)毛利率Q2-Q4趋势是见底回升、横盘企稳还是继续下行？管理层判断的毛利率底部位于多少？(3)Q1研发费用-32.31%是季节性波动还是全年降本？2026年研发投入指引？(4)圣诺生物2026Q1营收+32.5%、公司-2.23%——差异根因是客户结构、产品组合还是基数效应？三、摘帽申请工作计划：(1)是否已与南京证券保荐机构、上交所科创板就摘帽路径预沟通？是否需补充材料？(2)申请提交时间表是2026年报披露后立即提交（2027年3月）还是更早？(3)是否预期审核流程存在不可控延期风险？期待管理层正式回应，谢谢</w:t>
            </w:r>
            <w:r>
              <w:rPr>
                <w:rFonts w:ascii="宋体" w:eastAsia="宋体" w:hAnsi="宋体" w:cs="Times New Roman" w:hint="eastAsia"/>
                <w:b/>
                <w:bCs/>
                <w:sz w:val="24"/>
                <w:szCs w:val="28"/>
              </w:rPr>
              <w:t>。</w:t>
            </w:r>
          </w:p>
          <w:p w14:paraId="0CBE4A08" w14:textId="0273EB33" w:rsidR="00C10223" w:rsidRDefault="00000000">
            <w:pPr>
              <w:spacing w:before="120" w:after="120" w:line="360" w:lineRule="auto"/>
              <w:rPr>
                <w:rFonts w:ascii="宋体" w:eastAsia="宋体" w:hAnsi="宋体" w:cs="Times New Roman" w:hint="eastAsia"/>
                <w:bCs/>
                <w:sz w:val="24"/>
                <w:szCs w:val="28"/>
              </w:rPr>
            </w:pPr>
            <w:r>
              <w:rPr>
                <w:rFonts w:ascii="宋体" w:eastAsia="宋体" w:hAnsi="宋体" w:cs="Times New Roman" w:hint="eastAsia"/>
                <w:bCs/>
                <w:sz w:val="24"/>
                <w:szCs w:val="28"/>
              </w:rPr>
              <w:t>答：</w:t>
            </w:r>
            <w:r w:rsidR="006E4184" w:rsidRPr="006E4184">
              <w:rPr>
                <w:rFonts w:ascii="宋体" w:eastAsia="宋体" w:hAnsi="宋体" w:cs="Times New Roman" w:hint="eastAsia"/>
                <w:bCs/>
                <w:sz w:val="24"/>
                <w:szCs w:val="28"/>
              </w:rPr>
              <w:t>尊敬的投资者您好，1）此订单是指一个客户，目前双方合作处于较早期阶段，后续相关进展公司会在符合商业秘密及遵守信息披露规定的前提下进行相关信息披露，请您关注；2）2026年公司营业收入、毛利率水平受原材料价格波动、市场需求变化、行业竞争格局以及公司产品结构调整等多个因素的共同影响，存在不确定性。研发费用受研发进展影响同比会有一定差异。具体情况请您关注公司披露的定期报告；公司跟同行在收入规模、客户结构、产品结构等多方面均存在较大差异，较难进行直接对标比较。3）公司已就上海证券交易所纪律处分事项向上</w:t>
            </w:r>
            <w:r w:rsidR="006E4184" w:rsidRPr="006E4184">
              <w:rPr>
                <w:rFonts w:ascii="宋体" w:eastAsia="宋体" w:hAnsi="宋体" w:cs="Times New Roman" w:hint="eastAsia"/>
                <w:bCs/>
                <w:sz w:val="24"/>
                <w:szCs w:val="28"/>
              </w:rPr>
              <w:lastRenderedPageBreak/>
              <w:t>海证券交易所提交专项整改报告，保荐机构亦对公司进行了相关核查及培训宣贯，并出具了《2025年度持续督导工作现场检查报告》《2025年度持续督导报告书》；待满足摘帽条件后公司会尽快履行内部程序并提交摘帽申请，感谢您的关注</w:t>
            </w:r>
            <w:r>
              <w:rPr>
                <w:rFonts w:ascii="宋体" w:eastAsia="宋体" w:hAnsi="宋体" w:cs="Times New Roman"/>
                <w:bCs/>
                <w:sz w:val="24"/>
                <w:szCs w:val="28"/>
              </w:rPr>
              <w:t>！</w:t>
            </w:r>
          </w:p>
          <w:p w14:paraId="06793F70" w14:textId="41B290D1"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26年，印度是否已经原料药出口订单</w:t>
            </w:r>
            <w:r w:rsidR="00000000">
              <w:rPr>
                <w:rFonts w:ascii="宋体" w:eastAsia="宋体" w:hAnsi="宋体" w:hint="eastAsia"/>
                <w:b/>
                <w:bCs/>
                <w:sz w:val="24"/>
                <w:szCs w:val="28"/>
              </w:rPr>
              <w:t>？</w:t>
            </w:r>
          </w:p>
          <w:p w14:paraId="6FAFF77A" w14:textId="6C2727AB"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尊敬的投资者您好，公司拥有国际化的BD团队，海外市场一直是公司BD拓展重点覆盖方向，且近年来海外收入占比呈升高态势。公司原料药已销往包括美国、印度、加拿大、欧洲在内等海外市场，感谢您的关注</w:t>
            </w:r>
            <w:r>
              <w:rPr>
                <w:rFonts w:ascii="宋体" w:eastAsia="宋体" w:hAnsi="宋体" w:hint="eastAsia"/>
                <w:sz w:val="24"/>
                <w:szCs w:val="28"/>
              </w:rPr>
              <w:t>！</w:t>
            </w:r>
          </w:p>
          <w:p w14:paraId="4CB5EBB2" w14:textId="0E8CF344"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近日，诺泰生物自主研发的2.2类新药司美格鲁肽注射液，正式收到国家药品监督管理局药品审评中心签发的上市申请《受理通知书》。请问预计最终批复时间大约是什么时候</w:t>
            </w:r>
            <w:r w:rsidR="00000000">
              <w:rPr>
                <w:rFonts w:ascii="宋体" w:eastAsia="宋体" w:hAnsi="宋体" w:hint="eastAsia"/>
                <w:b/>
                <w:bCs/>
                <w:sz w:val="24"/>
                <w:szCs w:val="28"/>
              </w:rPr>
              <w:t>？</w:t>
            </w:r>
          </w:p>
          <w:p w14:paraId="0D68C6A2" w14:textId="120A75F1"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尊敬的投资者您好，公司自主研发的司美格鲁肽注射液降糖与减重两个适应症均已获得CDE上市申请受理，预计获批时间将视CDE审批节奏而定，目前尚存在不确定性，谢谢您的关注</w:t>
            </w:r>
            <w:r>
              <w:rPr>
                <w:rFonts w:ascii="宋体" w:eastAsia="宋体" w:hAnsi="宋体" w:hint="eastAsia"/>
                <w:sz w:val="24"/>
                <w:szCs w:val="28"/>
              </w:rPr>
              <w:t>！</w:t>
            </w:r>
          </w:p>
          <w:p w14:paraId="0798E1F6" w14:textId="7777BBAB"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公司2026Q1营业收入下降的原因是什么，不是多个项目投产爬坡吗？是价跌量升的原因吗</w:t>
            </w:r>
            <w:r w:rsidR="00000000">
              <w:rPr>
                <w:rFonts w:ascii="宋体" w:eastAsia="宋体" w:hAnsi="宋体" w:hint="eastAsia"/>
                <w:b/>
                <w:bCs/>
                <w:sz w:val="24"/>
                <w:szCs w:val="28"/>
              </w:rPr>
              <w:t>？</w:t>
            </w:r>
          </w:p>
          <w:p w14:paraId="4690C401" w14:textId="60D28609"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尊敬的投资者您好，公司2026Q1营业收入下降主要由于流感季节性波动，抗病毒制剂销售收入同比下降引起，谢谢</w:t>
            </w:r>
            <w:r>
              <w:rPr>
                <w:rFonts w:ascii="宋体" w:eastAsia="宋体" w:hAnsi="宋体" w:hint="eastAsia"/>
                <w:sz w:val="24"/>
                <w:szCs w:val="28"/>
              </w:rPr>
              <w:t>！</w:t>
            </w:r>
          </w:p>
          <w:p w14:paraId="3ABC44E9" w14:textId="3158DAA8"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公司2026Q1资产减值中的-1,853.30存货跌价损失，主要是哪个产品的存货跌价</w:t>
            </w:r>
            <w:r w:rsidR="00000000">
              <w:rPr>
                <w:rFonts w:ascii="宋体" w:eastAsia="宋体" w:hAnsi="宋体" w:hint="eastAsia"/>
                <w:b/>
                <w:bCs/>
                <w:sz w:val="24"/>
                <w:szCs w:val="28"/>
              </w:rPr>
              <w:t>？</w:t>
            </w:r>
          </w:p>
          <w:p w14:paraId="5AF8BDD5" w14:textId="4BA05392"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尊敬的投资者您好，随着公司业务规模扩大，公司整体存货规模及基数有所扩大，2026年第一季度的存货跌价损失主要是部分老CDMO品种依据《企业会计准则》计提引起，谢谢</w:t>
            </w:r>
            <w:r>
              <w:rPr>
                <w:rFonts w:ascii="宋体" w:eastAsia="宋体" w:hAnsi="宋体" w:hint="eastAsia"/>
                <w:sz w:val="24"/>
                <w:szCs w:val="28"/>
              </w:rPr>
              <w:t>！</w:t>
            </w:r>
          </w:p>
          <w:p w14:paraId="13977484" w14:textId="337818A9"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未来是否有和礼来，诺和诺德发生合作的计划</w:t>
            </w:r>
            <w:r>
              <w:rPr>
                <w:rFonts w:ascii="宋体" w:eastAsia="宋体" w:hAnsi="宋体" w:hint="eastAsia"/>
                <w:b/>
                <w:bCs/>
                <w:sz w:val="24"/>
                <w:szCs w:val="28"/>
              </w:rPr>
              <w:t>。</w:t>
            </w:r>
          </w:p>
          <w:p w14:paraId="137073BB" w14:textId="277F83DF"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尊敬的投资者您好，与海外头部MNC合作一直是公司努力的方向。公司目前未有与上述公司发生合作，未来如有相关进展，</w:t>
            </w:r>
            <w:r w:rsidR="006E4184" w:rsidRPr="006E4184">
              <w:rPr>
                <w:rFonts w:ascii="宋体" w:eastAsia="宋体" w:hAnsi="宋体" w:hint="eastAsia"/>
                <w:sz w:val="24"/>
                <w:szCs w:val="28"/>
              </w:rPr>
              <w:lastRenderedPageBreak/>
              <w:t>公司会在符合商业秘密及遵守信息披露规定的前提下进行相关信息披露，感谢您的关注</w:t>
            </w:r>
            <w:r>
              <w:rPr>
                <w:rFonts w:ascii="宋体" w:eastAsia="宋体" w:hAnsi="宋体" w:hint="eastAsia"/>
                <w:sz w:val="24"/>
                <w:szCs w:val="28"/>
              </w:rPr>
              <w:t>！</w:t>
            </w:r>
          </w:p>
          <w:p w14:paraId="5C147D69" w14:textId="2485F181"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公司对2026年全年营业收入及利润有没有指引？是与25年持平还是可能增长</w:t>
            </w:r>
            <w:r w:rsidR="00000000">
              <w:rPr>
                <w:rFonts w:ascii="宋体" w:eastAsia="宋体" w:hAnsi="宋体" w:hint="eastAsia"/>
                <w:b/>
                <w:bCs/>
                <w:sz w:val="24"/>
                <w:szCs w:val="28"/>
              </w:rPr>
              <w:t>？</w:t>
            </w:r>
          </w:p>
          <w:p w14:paraId="65843D8A" w14:textId="6DC36EED"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根据公司2026年度的经营指标，考虑市场和产品申报进度计划，本着谨慎性原则，在充分考虑资产状况、经营能力、对各项费用、成本的有效控制和安排，公司将力争2026年度营业收入较上年度保持稳定增长。2026年公司将立足现有主营业务，积极开拓市场，加强企业内部管理和成本控制，提高经营效率和效果，努力实现财务预算目标。风险提示：本预算仅为公司经营计划预测，并不代表公司的盈利预测，亦不构成公司对股东的实质性承诺，能否实现取决于宏观经济环境、市场需求状况、国家产业政策调整、人民币汇率变动等多种因素，存在较大的不确定性，请您关注公司披露的定期报告</w:t>
            </w:r>
            <w:r w:rsidR="006E4184">
              <w:rPr>
                <w:rFonts w:ascii="宋体" w:eastAsia="宋体" w:hAnsi="宋体" w:hint="eastAsia"/>
                <w:sz w:val="24"/>
                <w:szCs w:val="28"/>
              </w:rPr>
              <w:t>。</w:t>
            </w:r>
          </w:p>
          <w:p w14:paraId="1D39BCAA" w14:textId="457BCA04"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后续公司在提升经营效率方面，有哪些具体规划</w:t>
            </w:r>
            <w:r w:rsidR="00000000">
              <w:rPr>
                <w:rFonts w:ascii="宋体" w:eastAsia="宋体" w:hAnsi="宋体" w:hint="eastAsia"/>
                <w:b/>
                <w:bCs/>
                <w:sz w:val="24"/>
                <w:szCs w:val="28"/>
              </w:rPr>
              <w:t>？</w:t>
            </w:r>
          </w:p>
          <w:p w14:paraId="064C1819" w14:textId="45476C34" w:rsidR="00C10223" w:rsidRDefault="00000000">
            <w:pPr>
              <w:spacing w:before="120" w:after="120" w:line="360" w:lineRule="auto"/>
              <w:rPr>
                <w:rFonts w:ascii="宋体" w:eastAsia="宋体" w:hAnsi="宋体" w:hint="eastAsia"/>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公司将进一步注重研发、BD、生产三大板块的协同运作。研发将持续对标行业标杆，优化研发流程与项目管理，提升研发效率与成果转化率；BD板块将深耕优势领域，进一步拓展API和CDMO的一线客户群体，同时开拓更多价值型合作机会；生产板块将进一步提升产能利用率，打造高弹性、低成本的制造平台。感谢您的关注</w:t>
            </w:r>
            <w:r>
              <w:rPr>
                <w:rFonts w:ascii="宋体" w:eastAsia="宋体" w:hAnsi="宋体" w:hint="eastAsia"/>
                <w:sz w:val="24"/>
                <w:szCs w:val="28"/>
              </w:rPr>
              <w:t>！</w:t>
            </w:r>
          </w:p>
          <w:p w14:paraId="3045368C" w14:textId="02328D57" w:rsidR="00C10223" w:rsidRDefault="006E4184">
            <w:pPr>
              <w:pStyle w:val="af1"/>
              <w:numPr>
                <w:ilvl w:val="0"/>
                <w:numId w:val="4"/>
              </w:numPr>
              <w:spacing w:before="120" w:after="120" w:line="360" w:lineRule="auto"/>
              <w:ind w:firstLineChars="0"/>
              <w:rPr>
                <w:rFonts w:ascii="宋体" w:eastAsia="宋体" w:hAnsi="宋体" w:hint="eastAsia"/>
                <w:b/>
                <w:bCs/>
                <w:sz w:val="24"/>
                <w:szCs w:val="28"/>
              </w:rPr>
            </w:pPr>
            <w:r w:rsidRPr="006E4184">
              <w:rPr>
                <w:rFonts w:ascii="宋体" w:eastAsia="宋体" w:hAnsi="宋体" w:hint="eastAsia"/>
                <w:b/>
                <w:bCs/>
                <w:sz w:val="24"/>
                <w:szCs w:val="28"/>
              </w:rPr>
              <w:t>管理层好。公司因2021年报虚假记载被实施ST已接近一年。请问目前证监会处罚所涉及的内控缺陷是否已完全整改完毕？公司计划在何时正式向上交所提交撤销风险警示（摘帽）的申请？目前还有哪些待满足的硬性条件</w:t>
            </w:r>
            <w:r w:rsidR="00000000">
              <w:rPr>
                <w:rFonts w:ascii="宋体" w:eastAsia="宋体" w:hAnsi="宋体" w:hint="eastAsia"/>
                <w:b/>
                <w:bCs/>
                <w:sz w:val="24"/>
                <w:szCs w:val="28"/>
              </w:rPr>
              <w:t>？</w:t>
            </w:r>
          </w:p>
          <w:p w14:paraId="2960E5DB" w14:textId="0185207A" w:rsidR="00C10223" w:rsidRDefault="00000000">
            <w:pPr>
              <w:spacing w:before="120" w:after="120" w:line="360" w:lineRule="auto"/>
              <w:rPr>
                <w:rFonts w:ascii="宋体" w:eastAsia="宋体" w:hAnsi="宋体" w:cs="Times New Roman" w:hint="eastAsia"/>
                <w:bCs/>
                <w:sz w:val="24"/>
                <w:szCs w:val="28"/>
              </w:rPr>
            </w:pPr>
            <w:r>
              <w:rPr>
                <w:rFonts w:ascii="宋体" w:eastAsia="宋体" w:hAnsi="宋体" w:hint="eastAsia"/>
                <w:sz w:val="24"/>
                <w:szCs w:val="28"/>
              </w:rPr>
              <w:t>答：</w:t>
            </w:r>
            <w:r w:rsidR="006E4184" w:rsidRPr="006E4184">
              <w:rPr>
                <w:rFonts w:ascii="宋体" w:eastAsia="宋体" w:hAnsi="宋体" w:hint="eastAsia"/>
                <w:sz w:val="24"/>
                <w:szCs w:val="28"/>
              </w:rPr>
              <w:t>尊敬的投资者您好，公司已就证监会处罚事项完成了会计差错更正并对相应年度财务报表进行追溯重述，具体见公司2026年4月30日披露的《关于前期会计差错更正的公告》（公告编</w:t>
            </w:r>
            <w:r w:rsidR="006E4184" w:rsidRPr="006E4184">
              <w:rPr>
                <w:rFonts w:ascii="宋体" w:eastAsia="宋体" w:hAnsi="宋体" w:hint="eastAsia"/>
                <w:sz w:val="24"/>
                <w:szCs w:val="28"/>
              </w:rPr>
              <w:lastRenderedPageBreak/>
              <w:t>号2026-018）及相关上网附件。公司会在满足摘帽条件后尽快履行内部程序并提交摘帽申请，相关条件具体内容您可详见《上海证券交易所科创板股票上市规则》12.9.8条。谢谢</w:t>
            </w:r>
            <w:r>
              <w:rPr>
                <w:rFonts w:ascii="宋体" w:eastAsia="宋体" w:hAnsi="宋体" w:hint="eastAsia"/>
                <w:sz w:val="24"/>
                <w:szCs w:val="28"/>
              </w:rPr>
              <w:t>！</w:t>
            </w:r>
          </w:p>
        </w:tc>
      </w:tr>
      <w:tr w:rsidR="00C10223" w14:paraId="4587C89C" w14:textId="77777777">
        <w:trPr>
          <w:trHeight w:val="567"/>
        </w:trPr>
        <w:tc>
          <w:tcPr>
            <w:tcW w:w="1951" w:type="dxa"/>
            <w:vAlign w:val="center"/>
          </w:tcPr>
          <w:p w14:paraId="1F3AB4C5"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lastRenderedPageBreak/>
              <w:t>附件清单</w:t>
            </w:r>
          </w:p>
          <w:p w14:paraId="2A35A5E3"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（如有）</w:t>
            </w:r>
          </w:p>
        </w:tc>
        <w:tc>
          <w:tcPr>
            <w:tcW w:w="6946" w:type="dxa"/>
            <w:gridSpan w:val="3"/>
            <w:vAlign w:val="center"/>
          </w:tcPr>
          <w:p w14:paraId="6729B168" w14:textId="77777777" w:rsidR="00C10223" w:rsidRDefault="00000000">
            <w:pPr>
              <w:spacing w:line="360" w:lineRule="auto"/>
              <w:rPr>
                <w:rFonts w:ascii="宋体" w:eastAsia="宋体" w:hAnsi="宋体" w:cs="Times New Roman" w:hint="eastAsia"/>
                <w:sz w:val="24"/>
                <w:szCs w:val="28"/>
              </w:rPr>
            </w:pPr>
            <w:r>
              <w:rPr>
                <w:rFonts w:ascii="宋体" w:eastAsia="宋体" w:hAnsi="宋体" w:cs="Times New Roman"/>
                <w:sz w:val="24"/>
                <w:szCs w:val="28"/>
              </w:rPr>
              <w:t>无</w:t>
            </w:r>
          </w:p>
        </w:tc>
      </w:tr>
      <w:tr w:rsidR="00C10223" w14:paraId="37EF4326" w14:textId="77777777">
        <w:trPr>
          <w:trHeight w:val="567"/>
        </w:trPr>
        <w:tc>
          <w:tcPr>
            <w:tcW w:w="1951" w:type="dxa"/>
            <w:vAlign w:val="center"/>
          </w:tcPr>
          <w:p w14:paraId="0527DCBF" w14:textId="77777777" w:rsidR="00C10223"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日期</w:t>
            </w:r>
          </w:p>
        </w:tc>
        <w:tc>
          <w:tcPr>
            <w:tcW w:w="6946" w:type="dxa"/>
            <w:gridSpan w:val="3"/>
            <w:vAlign w:val="center"/>
          </w:tcPr>
          <w:p w14:paraId="654C3738" w14:textId="03D23F63" w:rsidR="00C10223" w:rsidRDefault="00000000">
            <w:pPr>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202</w:t>
            </w:r>
            <w:r w:rsidR="006E4184">
              <w:rPr>
                <w:rFonts w:ascii="宋体" w:eastAsia="宋体" w:hAnsi="宋体" w:cs="Times New Roman" w:hint="eastAsia"/>
                <w:bCs/>
                <w:iCs/>
                <w:sz w:val="24"/>
                <w:szCs w:val="24"/>
              </w:rPr>
              <w:t>6</w:t>
            </w:r>
            <w:r>
              <w:rPr>
                <w:rFonts w:ascii="宋体" w:eastAsia="宋体" w:hAnsi="宋体" w:cs="Times New Roman"/>
                <w:bCs/>
                <w:iCs/>
                <w:sz w:val="24"/>
                <w:szCs w:val="24"/>
              </w:rPr>
              <w:t>年</w:t>
            </w:r>
            <w:r>
              <w:rPr>
                <w:rFonts w:ascii="宋体" w:eastAsia="宋体" w:hAnsi="宋体" w:cs="Times New Roman" w:hint="eastAsia"/>
                <w:bCs/>
                <w:iCs/>
                <w:sz w:val="24"/>
                <w:szCs w:val="24"/>
              </w:rPr>
              <w:t>5</w:t>
            </w:r>
            <w:r>
              <w:rPr>
                <w:rFonts w:ascii="宋体" w:eastAsia="宋体" w:hAnsi="宋体" w:cs="Times New Roman"/>
                <w:bCs/>
                <w:iCs/>
                <w:sz w:val="24"/>
                <w:szCs w:val="24"/>
              </w:rPr>
              <w:t>月</w:t>
            </w:r>
            <w:r w:rsidR="006E4184">
              <w:rPr>
                <w:rFonts w:ascii="宋体" w:eastAsia="宋体" w:hAnsi="宋体" w:cs="Times New Roman" w:hint="eastAsia"/>
                <w:bCs/>
                <w:iCs/>
                <w:sz w:val="24"/>
                <w:szCs w:val="24"/>
              </w:rPr>
              <w:t>13</w:t>
            </w:r>
            <w:r>
              <w:rPr>
                <w:rFonts w:ascii="宋体" w:eastAsia="宋体" w:hAnsi="宋体" w:cs="Times New Roman"/>
                <w:bCs/>
                <w:iCs/>
                <w:sz w:val="24"/>
                <w:szCs w:val="24"/>
              </w:rPr>
              <w:t>日</w:t>
            </w:r>
          </w:p>
        </w:tc>
      </w:tr>
    </w:tbl>
    <w:p w14:paraId="70EFE08B" w14:textId="77777777" w:rsidR="00C10223" w:rsidRDefault="00C10223">
      <w:pPr>
        <w:jc w:val="left"/>
        <w:rPr>
          <w:rFonts w:ascii="宋体" w:eastAsia="宋体" w:hAnsi="宋体" w:cs="Times New Roman" w:hint="eastAsia"/>
          <w:sz w:val="24"/>
          <w:szCs w:val="28"/>
        </w:rPr>
      </w:pPr>
    </w:p>
    <w:sectPr w:rsidR="00C10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B6"/>
    <w:multiLevelType w:val="multilevel"/>
    <w:tmpl w:val="026E5B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047686"/>
    <w:multiLevelType w:val="multilevel"/>
    <w:tmpl w:val="0D047686"/>
    <w:lvl w:ilvl="0">
      <w:start w:val="1"/>
      <w:numFmt w:val="decimal"/>
      <w:suff w:val="nothing"/>
      <w:lvlText w:val="Q%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72B22EC"/>
    <w:multiLevelType w:val="multilevel"/>
    <w:tmpl w:val="372B22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86A41E2"/>
    <w:multiLevelType w:val="multilevel"/>
    <w:tmpl w:val="486A41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40664664">
    <w:abstractNumId w:val="2"/>
  </w:num>
  <w:num w:numId="2" w16cid:durableId="2007974900">
    <w:abstractNumId w:val="3"/>
  </w:num>
  <w:num w:numId="3" w16cid:durableId="2070377596">
    <w:abstractNumId w:val="0"/>
  </w:num>
  <w:num w:numId="4" w16cid:durableId="736787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NjA1Yjg0MTg1ZWFmYjE5MjVkMWE5NzNhZGY4MjUifQ=="/>
  </w:docVars>
  <w:rsids>
    <w:rsidRoot w:val="00616403"/>
    <w:rsid w:val="00002857"/>
    <w:rsid w:val="00002A2D"/>
    <w:rsid w:val="00002EBF"/>
    <w:rsid w:val="000049B5"/>
    <w:rsid w:val="000051D4"/>
    <w:rsid w:val="0001420D"/>
    <w:rsid w:val="0001441F"/>
    <w:rsid w:val="00016D73"/>
    <w:rsid w:val="0002441F"/>
    <w:rsid w:val="000446BA"/>
    <w:rsid w:val="00047E61"/>
    <w:rsid w:val="00080E2C"/>
    <w:rsid w:val="00082426"/>
    <w:rsid w:val="00082FFC"/>
    <w:rsid w:val="00084737"/>
    <w:rsid w:val="00094414"/>
    <w:rsid w:val="000A0735"/>
    <w:rsid w:val="000A6660"/>
    <w:rsid w:val="000B2A6E"/>
    <w:rsid w:val="000D159A"/>
    <w:rsid w:val="000D19DD"/>
    <w:rsid w:val="000D370F"/>
    <w:rsid w:val="000D7891"/>
    <w:rsid w:val="000E0C5F"/>
    <w:rsid w:val="000E3F7D"/>
    <w:rsid w:val="000F5FC0"/>
    <w:rsid w:val="000F6007"/>
    <w:rsid w:val="0010444B"/>
    <w:rsid w:val="00105508"/>
    <w:rsid w:val="0011179C"/>
    <w:rsid w:val="00112D22"/>
    <w:rsid w:val="00132270"/>
    <w:rsid w:val="00145324"/>
    <w:rsid w:val="00151F75"/>
    <w:rsid w:val="00152316"/>
    <w:rsid w:val="00152B2C"/>
    <w:rsid w:val="00154253"/>
    <w:rsid w:val="00155B99"/>
    <w:rsid w:val="00156451"/>
    <w:rsid w:val="00160594"/>
    <w:rsid w:val="00165F2E"/>
    <w:rsid w:val="001720B8"/>
    <w:rsid w:val="00187173"/>
    <w:rsid w:val="00187FD5"/>
    <w:rsid w:val="001A1589"/>
    <w:rsid w:val="001A212C"/>
    <w:rsid w:val="001A602E"/>
    <w:rsid w:val="001A73CB"/>
    <w:rsid w:val="001B2AD5"/>
    <w:rsid w:val="001B4476"/>
    <w:rsid w:val="001C0859"/>
    <w:rsid w:val="001D1F5C"/>
    <w:rsid w:val="001E75DA"/>
    <w:rsid w:val="001E7A43"/>
    <w:rsid w:val="0020039B"/>
    <w:rsid w:val="00203F83"/>
    <w:rsid w:val="002119BA"/>
    <w:rsid w:val="00213C70"/>
    <w:rsid w:val="0022215A"/>
    <w:rsid w:val="002274B6"/>
    <w:rsid w:val="00230678"/>
    <w:rsid w:val="002378D3"/>
    <w:rsid w:val="00244684"/>
    <w:rsid w:val="002461ED"/>
    <w:rsid w:val="00281057"/>
    <w:rsid w:val="00285636"/>
    <w:rsid w:val="002922DA"/>
    <w:rsid w:val="0029461E"/>
    <w:rsid w:val="002966A2"/>
    <w:rsid w:val="002B6947"/>
    <w:rsid w:val="002E3CEA"/>
    <w:rsid w:val="002E4078"/>
    <w:rsid w:val="002F72BC"/>
    <w:rsid w:val="00302071"/>
    <w:rsid w:val="00302098"/>
    <w:rsid w:val="00307D28"/>
    <w:rsid w:val="00311500"/>
    <w:rsid w:val="003218F4"/>
    <w:rsid w:val="003408D0"/>
    <w:rsid w:val="00361E91"/>
    <w:rsid w:val="00363337"/>
    <w:rsid w:val="00370892"/>
    <w:rsid w:val="00370B47"/>
    <w:rsid w:val="00374DB0"/>
    <w:rsid w:val="0037578A"/>
    <w:rsid w:val="00377DEF"/>
    <w:rsid w:val="00381069"/>
    <w:rsid w:val="0038245D"/>
    <w:rsid w:val="00385C24"/>
    <w:rsid w:val="00392C83"/>
    <w:rsid w:val="00393CA0"/>
    <w:rsid w:val="00395AE6"/>
    <w:rsid w:val="00397BFE"/>
    <w:rsid w:val="003A28B9"/>
    <w:rsid w:val="003B1C5C"/>
    <w:rsid w:val="003B7F03"/>
    <w:rsid w:val="003C76D1"/>
    <w:rsid w:val="003D2051"/>
    <w:rsid w:val="003D369B"/>
    <w:rsid w:val="003D601B"/>
    <w:rsid w:val="003E18EF"/>
    <w:rsid w:val="003E7776"/>
    <w:rsid w:val="003F2746"/>
    <w:rsid w:val="003F7D9E"/>
    <w:rsid w:val="004007E6"/>
    <w:rsid w:val="0040110E"/>
    <w:rsid w:val="00401F5F"/>
    <w:rsid w:val="004025B0"/>
    <w:rsid w:val="004261A5"/>
    <w:rsid w:val="0042789B"/>
    <w:rsid w:val="0043333A"/>
    <w:rsid w:val="00436A49"/>
    <w:rsid w:val="00436E43"/>
    <w:rsid w:val="0044306B"/>
    <w:rsid w:val="004513A5"/>
    <w:rsid w:val="00456CA4"/>
    <w:rsid w:val="00463027"/>
    <w:rsid w:val="0046517D"/>
    <w:rsid w:val="00467941"/>
    <w:rsid w:val="00471BE5"/>
    <w:rsid w:val="00472233"/>
    <w:rsid w:val="004775DE"/>
    <w:rsid w:val="00484F6B"/>
    <w:rsid w:val="004874D5"/>
    <w:rsid w:val="00490758"/>
    <w:rsid w:val="004924F1"/>
    <w:rsid w:val="004A56E4"/>
    <w:rsid w:val="004B2EA5"/>
    <w:rsid w:val="004B6458"/>
    <w:rsid w:val="004B7D46"/>
    <w:rsid w:val="004C3F84"/>
    <w:rsid w:val="004C51AC"/>
    <w:rsid w:val="004C5EBE"/>
    <w:rsid w:val="004E58AF"/>
    <w:rsid w:val="004F1352"/>
    <w:rsid w:val="004F1584"/>
    <w:rsid w:val="00501337"/>
    <w:rsid w:val="005036B5"/>
    <w:rsid w:val="00505C60"/>
    <w:rsid w:val="00506280"/>
    <w:rsid w:val="00520344"/>
    <w:rsid w:val="00527618"/>
    <w:rsid w:val="00527B5A"/>
    <w:rsid w:val="00543297"/>
    <w:rsid w:val="005436F4"/>
    <w:rsid w:val="00551244"/>
    <w:rsid w:val="00562D82"/>
    <w:rsid w:val="00564150"/>
    <w:rsid w:val="005749FA"/>
    <w:rsid w:val="0059353F"/>
    <w:rsid w:val="005A5CAD"/>
    <w:rsid w:val="005A7C3C"/>
    <w:rsid w:val="005C0548"/>
    <w:rsid w:val="005C1499"/>
    <w:rsid w:val="005C428D"/>
    <w:rsid w:val="005C601A"/>
    <w:rsid w:val="005D27AA"/>
    <w:rsid w:val="005D7075"/>
    <w:rsid w:val="005F6A48"/>
    <w:rsid w:val="00604380"/>
    <w:rsid w:val="00616403"/>
    <w:rsid w:val="00630776"/>
    <w:rsid w:val="00631F25"/>
    <w:rsid w:val="006322B9"/>
    <w:rsid w:val="00634579"/>
    <w:rsid w:val="00636BE3"/>
    <w:rsid w:val="00636E32"/>
    <w:rsid w:val="00642DB5"/>
    <w:rsid w:val="00653DAF"/>
    <w:rsid w:val="006645EA"/>
    <w:rsid w:val="0067166D"/>
    <w:rsid w:val="00672DA7"/>
    <w:rsid w:val="00680065"/>
    <w:rsid w:val="00683D91"/>
    <w:rsid w:val="0069419C"/>
    <w:rsid w:val="0069555E"/>
    <w:rsid w:val="006A6108"/>
    <w:rsid w:val="006B3717"/>
    <w:rsid w:val="006C4DB5"/>
    <w:rsid w:val="006D2C18"/>
    <w:rsid w:val="006D3FD0"/>
    <w:rsid w:val="006D7347"/>
    <w:rsid w:val="006E4184"/>
    <w:rsid w:val="00707624"/>
    <w:rsid w:val="00714326"/>
    <w:rsid w:val="00721A4B"/>
    <w:rsid w:val="00723BA0"/>
    <w:rsid w:val="007325D7"/>
    <w:rsid w:val="007336C5"/>
    <w:rsid w:val="007373AA"/>
    <w:rsid w:val="00740431"/>
    <w:rsid w:val="00745361"/>
    <w:rsid w:val="00745C51"/>
    <w:rsid w:val="007510B3"/>
    <w:rsid w:val="007514C6"/>
    <w:rsid w:val="00756F07"/>
    <w:rsid w:val="00763CE5"/>
    <w:rsid w:val="00766163"/>
    <w:rsid w:val="0076671A"/>
    <w:rsid w:val="00767BDB"/>
    <w:rsid w:val="00770201"/>
    <w:rsid w:val="00772399"/>
    <w:rsid w:val="007732BC"/>
    <w:rsid w:val="00774656"/>
    <w:rsid w:val="00777536"/>
    <w:rsid w:val="0077762A"/>
    <w:rsid w:val="007876C9"/>
    <w:rsid w:val="00791A40"/>
    <w:rsid w:val="0079259C"/>
    <w:rsid w:val="00793CA3"/>
    <w:rsid w:val="0079427D"/>
    <w:rsid w:val="007959A2"/>
    <w:rsid w:val="00797471"/>
    <w:rsid w:val="007A10EB"/>
    <w:rsid w:val="007C502A"/>
    <w:rsid w:val="007C7CE4"/>
    <w:rsid w:val="007D21FB"/>
    <w:rsid w:val="007D56C8"/>
    <w:rsid w:val="007E67EF"/>
    <w:rsid w:val="007E7311"/>
    <w:rsid w:val="007F52FE"/>
    <w:rsid w:val="0080313A"/>
    <w:rsid w:val="00803CCF"/>
    <w:rsid w:val="00804D50"/>
    <w:rsid w:val="00820139"/>
    <w:rsid w:val="00850907"/>
    <w:rsid w:val="00857B72"/>
    <w:rsid w:val="008677C2"/>
    <w:rsid w:val="00880D04"/>
    <w:rsid w:val="008859A1"/>
    <w:rsid w:val="00885E32"/>
    <w:rsid w:val="008A4645"/>
    <w:rsid w:val="008B60FC"/>
    <w:rsid w:val="008B6E83"/>
    <w:rsid w:val="008D23AC"/>
    <w:rsid w:val="008D696F"/>
    <w:rsid w:val="008E486C"/>
    <w:rsid w:val="008F2711"/>
    <w:rsid w:val="008F60D5"/>
    <w:rsid w:val="008F68F5"/>
    <w:rsid w:val="00906B24"/>
    <w:rsid w:val="00910BBF"/>
    <w:rsid w:val="0091275E"/>
    <w:rsid w:val="00924C2B"/>
    <w:rsid w:val="009270C8"/>
    <w:rsid w:val="00927923"/>
    <w:rsid w:val="00931969"/>
    <w:rsid w:val="00934B87"/>
    <w:rsid w:val="00941C73"/>
    <w:rsid w:val="00946713"/>
    <w:rsid w:val="009500F3"/>
    <w:rsid w:val="00951CFC"/>
    <w:rsid w:val="0095719F"/>
    <w:rsid w:val="009654AB"/>
    <w:rsid w:val="009717C2"/>
    <w:rsid w:val="0097361F"/>
    <w:rsid w:val="00976EC9"/>
    <w:rsid w:val="00984154"/>
    <w:rsid w:val="00985053"/>
    <w:rsid w:val="009A6BF2"/>
    <w:rsid w:val="009B397F"/>
    <w:rsid w:val="009B53B0"/>
    <w:rsid w:val="009B7322"/>
    <w:rsid w:val="009C1072"/>
    <w:rsid w:val="009D364B"/>
    <w:rsid w:val="009E163E"/>
    <w:rsid w:val="009E7172"/>
    <w:rsid w:val="00A137A1"/>
    <w:rsid w:val="00A165B4"/>
    <w:rsid w:val="00A3001D"/>
    <w:rsid w:val="00A30AF5"/>
    <w:rsid w:val="00A4120A"/>
    <w:rsid w:val="00A426FB"/>
    <w:rsid w:val="00A570FE"/>
    <w:rsid w:val="00A77657"/>
    <w:rsid w:val="00A864AA"/>
    <w:rsid w:val="00A90A91"/>
    <w:rsid w:val="00A927E2"/>
    <w:rsid w:val="00A92FFA"/>
    <w:rsid w:val="00AA0081"/>
    <w:rsid w:val="00AB139D"/>
    <w:rsid w:val="00AB2DC5"/>
    <w:rsid w:val="00AB734B"/>
    <w:rsid w:val="00AC5EBB"/>
    <w:rsid w:val="00AC6AA4"/>
    <w:rsid w:val="00AF17AD"/>
    <w:rsid w:val="00AF3CFC"/>
    <w:rsid w:val="00AF4104"/>
    <w:rsid w:val="00AF6A11"/>
    <w:rsid w:val="00B07E79"/>
    <w:rsid w:val="00B373E5"/>
    <w:rsid w:val="00B570C4"/>
    <w:rsid w:val="00B5794E"/>
    <w:rsid w:val="00B6659A"/>
    <w:rsid w:val="00B706E7"/>
    <w:rsid w:val="00B70EBC"/>
    <w:rsid w:val="00B77366"/>
    <w:rsid w:val="00B77C58"/>
    <w:rsid w:val="00B86943"/>
    <w:rsid w:val="00B90711"/>
    <w:rsid w:val="00BA0860"/>
    <w:rsid w:val="00BB549C"/>
    <w:rsid w:val="00BB5DB3"/>
    <w:rsid w:val="00BC3193"/>
    <w:rsid w:val="00BC397C"/>
    <w:rsid w:val="00BC3D64"/>
    <w:rsid w:val="00BD4306"/>
    <w:rsid w:val="00BD5D03"/>
    <w:rsid w:val="00BF7AF1"/>
    <w:rsid w:val="00C01225"/>
    <w:rsid w:val="00C01EE1"/>
    <w:rsid w:val="00C03E4D"/>
    <w:rsid w:val="00C10223"/>
    <w:rsid w:val="00C1048E"/>
    <w:rsid w:val="00C122F2"/>
    <w:rsid w:val="00C12B2A"/>
    <w:rsid w:val="00C47E64"/>
    <w:rsid w:val="00C528DF"/>
    <w:rsid w:val="00C66C08"/>
    <w:rsid w:val="00C7018F"/>
    <w:rsid w:val="00C80EDE"/>
    <w:rsid w:val="00C81C9F"/>
    <w:rsid w:val="00C876B5"/>
    <w:rsid w:val="00C909F0"/>
    <w:rsid w:val="00CA36F2"/>
    <w:rsid w:val="00CB67C4"/>
    <w:rsid w:val="00CB7019"/>
    <w:rsid w:val="00CC369B"/>
    <w:rsid w:val="00CD2B4B"/>
    <w:rsid w:val="00CE549B"/>
    <w:rsid w:val="00CE6766"/>
    <w:rsid w:val="00D06247"/>
    <w:rsid w:val="00D14CA2"/>
    <w:rsid w:val="00D1741E"/>
    <w:rsid w:val="00D245B6"/>
    <w:rsid w:val="00D260E6"/>
    <w:rsid w:val="00D26115"/>
    <w:rsid w:val="00D3150A"/>
    <w:rsid w:val="00D57B31"/>
    <w:rsid w:val="00D6475F"/>
    <w:rsid w:val="00D727F3"/>
    <w:rsid w:val="00D73F44"/>
    <w:rsid w:val="00D752B8"/>
    <w:rsid w:val="00D8075B"/>
    <w:rsid w:val="00D81DC1"/>
    <w:rsid w:val="00D94C3B"/>
    <w:rsid w:val="00DA709B"/>
    <w:rsid w:val="00DB0C9F"/>
    <w:rsid w:val="00DB13D9"/>
    <w:rsid w:val="00DB29E6"/>
    <w:rsid w:val="00DB30AE"/>
    <w:rsid w:val="00DC1358"/>
    <w:rsid w:val="00DC599A"/>
    <w:rsid w:val="00DC5A54"/>
    <w:rsid w:val="00DC5B2A"/>
    <w:rsid w:val="00DE0EC5"/>
    <w:rsid w:val="00DE3457"/>
    <w:rsid w:val="00DE4737"/>
    <w:rsid w:val="00E061E7"/>
    <w:rsid w:val="00E06498"/>
    <w:rsid w:val="00E125B9"/>
    <w:rsid w:val="00E163C5"/>
    <w:rsid w:val="00E21575"/>
    <w:rsid w:val="00E2690B"/>
    <w:rsid w:val="00E27AE1"/>
    <w:rsid w:val="00E35E2A"/>
    <w:rsid w:val="00E41648"/>
    <w:rsid w:val="00E44676"/>
    <w:rsid w:val="00E56D68"/>
    <w:rsid w:val="00E56E56"/>
    <w:rsid w:val="00E6353D"/>
    <w:rsid w:val="00E75DFF"/>
    <w:rsid w:val="00E77FD8"/>
    <w:rsid w:val="00E912D0"/>
    <w:rsid w:val="00EA082B"/>
    <w:rsid w:val="00EA79B6"/>
    <w:rsid w:val="00EC61DE"/>
    <w:rsid w:val="00ED17D8"/>
    <w:rsid w:val="00EE0ACB"/>
    <w:rsid w:val="00EE24D3"/>
    <w:rsid w:val="00EE2DB4"/>
    <w:rsid w:val="00EE513B"/>
    <w:rsid w:val="00EE71F0"/>
    <w:rsid w:val="00EF6775"/>
    <w:rsid w:val="00F007A4"/>
    <w:rsid w:val="00F03352"/>
    <w:rsid w:val="00F144F4"/>
    <w:rsid w:val="00F161E4"/>
    <w:rsid w:val="00F1673D"/>
    <w:rsid w:val="00F22F7A"/>
    <w:rsid w:val="00F24B62"/>
    <w:rsid w:val="00F24D60"/>
    <w:rsid w:val="00F26DD6"/>
    <w:rsid w:val="00F27957"/>
    <w:rsid w:val="00F358CE"/>
    <w:rsid w:val="00F40CB6"/>
    <w:rsid w:val="00F41F95"/>
    <w:rsid w:val="00F428C7"/>
    <w:rsid w:val="00F44C30"/>
    <w:rsid w:val="00F559CF"/>
    <w:rsid w:val="00F638B2"/>
    <w:rsid w:val="00F63DA0"/>
    <w:rsid w:val="00F83735"/>
    <w:rsid w:val="00F93A51"/>
    <w:rsid w:val="00F94B29"/>
    <w:rsid w:val="00F96033"/>
    <w:rsid w:val="00FA0132"/>
    <w:rsid w:val="00FA3A3E"/>
    <w:rsid w:val="00FB40B9"/>
    <w:rsid w:val="00FC0161"/>
    <w:rsid w:val="00FC077A"/>
    <w:rsid w:val="00FC4588"/>
    <w:rsid w:val="00FD6577"/>
    <w:rsid w:val="00FE1BE4"/>
    <w:rsid w:val="00FE53FC"/>
    <w:rsid w:val="00FF73EF"/>
    <w:rsid w:val="068400F1"/>
    <w:rsid w:val="137815AE"/>
    <w:rsid w:val="19E64A20"/>
    <w:rsid w:val="39816A4F"/>
    <w:rsid w:val="3B4576C8"/>
    <w:rsid w:val="40FF3702"/>
    <w:rsid w:val="41395AA3"/>
    <w:rsid w:val="452E3736"/>
    <w:rsid w:val="464335E6"/>
    <w:rsid w:val="4B902BBC"/>
    <w:rsid w:val="4EF274D1"/>
    <w:rsid w:val="510D40DF"/>
    <w:rsid w:val="5949610C"/>
    <w:rsid w:val="59633BAD"/>
    <w:rsid w:val="63C35A56"/>
    <w:rsid w:val="669C793E"/>
    <w:rsid w:val="7CF92479"/>
    <w:rsid w:val="7FFD45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DE370"/>
  <w15:docId w15:val="{AD238456-0DA9-4C71-926B-51AAD6E3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005">
    <w:name w:val="005正文"/>
    <w:basedOn w:val="a"/>
    <w:qFormat/>
    <w:pPr>
      <w:spacing w:beforeLines="50" w:after="100" w:afterAutospacing="1" w:line="360" w:lineRule="auto"/>
      <w:ind w:firstLineChars="200" w:firstLine="200"/>
    </w:pPr>
    <w:rPr>
      <w:rFonts w:ascii="Times New Roman" w:eastAsia="宋体" w:hAnsi="Times New Roman" w:cs="Times New Roman"/>
      <w:sz w:val="24"/>
      <w:szCs w:val="24"/>
    </w:rPr>
  </w:style>
  <w:style w:type="paragraph" w:customStyle="1" w:styleId="ListParagraph1">
    <w:name w:val="List Paragraph1"/>
    <w:basedOn w:val="a"/>
    <w:qFormat/>
    <w:pPr>
      <w:spacing w:beforeLines="50" w:afterLines="50" w:line="273" w:lineRule="auto"/>
      <w:ind w:firstLineChars="200" w:firstLine="420"/>
    </w:pPr>
    <w:rPr>
      <w:rFonts w:ascii="Times New Roman" w:eastAsia="宋体" w:hAnsi="Times New Roman" w:cs="Times New Roman"/>
      <w:sz w:val="24"/>
      <w:szCs w:val="24"/>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af2">
    <w:name w:val="报告正文"/>
    <w:basedOn w:val="a"/>
    <w:qFormat/>
    <w:pPr>
      <w:widowControl/>
      <w:spacing w:line="360" w:lineRule="auto"/>
      <w:ind w:firstLineChars="200" w:firstLine="200"/>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574</Words>
  <Characters>3275</Characters>
  <Application>Microsoft Office Word</Application>
  <DocSecurity>0</DocSecurity>
  <Lines>27</Lines>
  <Paragraphs>7</Paragraphs>
  <ScaleCrop>false</ScaleCrop>
  <Company>微软中国</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吴乐尔</dc:creator>
  <cp:lastModifiedBy>leer.wu@sinopep.com</cp:lastModifiedBy>
  <cp:revision>4</cp:revision>
  <cp:lastPrinted>2021-06-25T06:17:00Z</cp:lastPrinted>
  <dcterms:created xsi:type="dcterms:W3CDTF">2026-05-13T08:08:00Z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38E023993A884310AE1B33C191352E30</vt:lpwstr>
  </property>
  <property fmtid="{D5CDD505-2E9C-101B-9397-08002B2CF9AE}" pid="4" name="KSOTemplateDocerSaveRecord">
    <vt:lpwstr>eyJoZGlkIjoiYjM1YTQ2OTU5YTQ2NzhhYjQ3ZjNjNDM3NDNkZDhlYjgiLCJ1c2VySWQiOiIzNDUzOTk1NDcifQ==</vt:lpwstr>
  </property>
</Properties>
</file>