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80790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688701 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卓锦股份</w:t>
      </w:r>
    </w:p>
    <w:p w14:paraId="2B429E7B"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浙江卓锦环保科技股份有限公司</w:t>
      </w:r>
    </w:p>
    <w:p w14:paraId="74D8AD23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77AE97A4">
      <w:pPr>
        <w:spacing w:line="400" w:lineRule="exac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编号：2026-002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1FFB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D52B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2B9862E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0950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6825D8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C2AED4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1E079F46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7E3F0242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0B83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0361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D340B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792D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15C7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2CDA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2026年5月13日 (周三) 下午 13:00~17:00</w:t>
            </w:r>
          </w:p>
        </w:tc>
      </w:tr>
      <w:tr w14:paraId="37EB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E68C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D6F8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6102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F9D9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92D3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1、董事长兼总经理卓未龙</w:t>
            </w:r>
          </w:p>
          <w:p w14:paraId="212E1BEF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2、董事会秘书朱仝</w:t>
            </w:r>
          </w:p>
          <w:p w14:paraId="402FAE6C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3、财务负责人陈晨</w:t>
            </w:r>
          </w:p>
        </w:tc>
      </w:tr>
      <w:tr w14:paraId="6778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B56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3FFFBB2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4DDC6"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53764969"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公司就投资者在本次说明会中提出的问题进行了回复：</w:t>
            </w:r>
          </w:p>
          <w:p w14:paraId="2DD4F2B3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1、请问今年有没有明确的减亏和扭亏时间表？</w:t>
            </w:r>
          </w:p>
          <w:p w14:paraId="5AEF07E5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感谢您的关注。公司将继续加强生产管理，提高各项业务的盈利水平，严防应收账款回收风险，改善公司业绩。通过巩固传统业务的同时，加强自研技术业务的推广，实现新旧动能替代，目标在本年度实现业绩亏损的进一步收窄。谢谢！</w:t>
            </w:r>
          </w:p>
          <w:p w14:paraId="2C2661A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2、公司应收账款体量偏大、回款周期偏长，后续会用哪些具体办法加快回款、降低坏账风险？</w:t>
            </w:r>
          </w:p>
          <w:p w14:paraId="26FB0DC6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尊敬的投资者，您好！感谢您的关注。2025年度，公司通过法律诉讼、谈判协商等手段，加强了应收账款的回收工作，整体取得显著成效。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截至</w:t>
            </w:r>
            <w:r>
              <w:rPr>
                <w:rFonts w:hint="default" w:ascii="宋体" w:hAnsi="宋体"/>
                <w:sz w:val="24"/>
                <w:szCs w:val="24"/>
              </w:rPr>
              <w:t>2025年末，公司的应收账款余额为1.64亿元，较上年同期下降31.37%。后续公司将继续巩固较为保守的经营策略，重点考量项目的资金周转风险，在业务源头降低坏账风险。谢谢！</w:t>
            </w:r>
          </w:p>
          <w:p w14:paraId="4D527E0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textAlignment w:val="auto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3、公司自研的环保装备和资源化技术已有订单落地，想问下这类高毛利业务今年能否快速放量、占比能提升到多少？</w:t>
            </w:r>
          </w:p>
          <w:p w14:paraId="5E875724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感谢您的关注。公司自研的新装备技术均已实现商业化落地，并取得了理想的治理效果。但受制于新技术缺乏标杆效应，客户群体对于新业务产品的接受度仍处于相对较低水平，短期内公司仍以打造标杆项目形成示范效应作为工作重点，预计本年度较难实现大额的订单放量。后续随着标杆项目的市场认可度提升，公司预计将会在未来的2-3年内实现较为明显的收入增长。谢谢！</w:t>
            </w:r>
          </w:p>
          <w:p w14:paraId="56D8B62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textAlignment w:val="auto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管理层您好。在当前行业环境下，降本增效和数字化转型是很多企业的共识。请问公司今年在优化内部管理或推进业务数字化方面，大致的重点投入方向是什么？管理层预期这将在未来对公司的运营效率带来怎样的改善？</w:t>
            </w:r>
          </w:p>
          <w:p w14:paraId="125E25D8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感谢您的关注。对于公司后续的业务增长动力，公司将着重培育以自研技术为首的“资源化”业务，该类业务具备毛利率高，技术壁垒强，市场增长潜力大等特点。公司计划在未来的3-5年内对该类业务实现重点支持并实现规模以上经营效益，以此达成公司新旧动能转化的升级转型战略目标。谢谢！</w:t>
            </w:r>
          </w:p>
          <w:p w14:paraId="7FCAF79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textAlignment w:val="auto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5、传统环保工程行业竞争激烈、毛利走低，公司主动收缩接单规模，接下来准备靠什么新业务拉动业绩增长？</w:t>
            </w:r>
          </w:p>
          <w:p w14:paraId="0F7635A6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感谢您的关注。对于传统环境修复类与工业环保类等EPC环保工程业务，公司将继续巩固较为保守的经营策略，重点考量项目的资金周转风险。对于公司后续的业务增长动力，公司将着重培育以自研技术为首的“资源化”业务，该类业务具备毛利率高，技术壁垒强，市场增长潜力大等特点。公司于2025年已经实现部分项目的商业化落地，部分订单本年度预计可实现收入转化。谢谢！</w:t>
            </w:r>
          </w:p>
          <w:p w14:paraId="174C8F84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</w:p>
          <w:p w14:paraId="3B191034">
            <w:pPr>
              <w:pStyle w:val="7"/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  <w:p w14:paraId="5E02E44D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14:paraId="7C07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778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33973"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6E39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4D6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B768D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 xml:space="preserve">2026-05-13 </w:t>
            </w:r>
          </w:p>
        </w:tc>
      </w:tr>
    </w:tbl>
    <w:p w14:paraId="3A6EDC0C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ABAC1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99143F2"/>
    <w:rsid w:val="13112CC0"/>
    <w:rsid w:val="1B2418A5"/>
    <w:rsid w:val="1FBFC074"/>
    <w:rsid w:val="2B760580"/>
    <w:rsid w:val="2D094316"/>
    <w:rsid w:val="31CA56EC"/>
    <w:rsid w:val="3330332D"/>
    <w:rsid w:val="36201D7F"/>
    <w:rsid w:val="36FB9E1F"/>
    <w:rsid w:val="3BFA3B96"/>
    <w:rsid w:val="3CEF3472"/>
    <w:rsid w:val="3EFF16E9"/>
    <w:rsid w:val="4F041DE6"/>
    <w:rsid w:val="5A005797"/>
    <w:rsid w:val="66A23F66"/>
    <w:rsid w:val="69731BEA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1289</Words>
  <Characters>1364</Characters>
  <Lines>60</Lines>
  <Paragraphs>17</Paragraphs>
  <TotalTime>6</TotalTime>
  <ScaleCrop>false</ScaleCrop>
  <LinksUpToDate>false</LinksUpToDate>
  <CharactersWithSpaces>1492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丁丁丁Joy</cp:lastModifiedBy>
  <cp:lastPrinted>2014-02-21T05:34:00Z</cp:lastPrinted>
  <dcterms:modified xsi:type="dcterms:W3CDTF">2026-05-14T01:38:55Z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B0C5365EC472404896C18DAAFE779652_13</vt:lpwstr>
  </property>
  <property fmtid="{D5CDD505-2E9C-101B-9397-08002B2CF9AE}" pid="4" name="KSOTemplateDocerSaveRecord">
    <vt:lpwstr>eyJoZGlkIjoiYjdmNmE3MDhkNmNiYTM5MmRhM2MzNmUxZTkzOGI3OWYiLCJ1c2VySWQiOiI0NTMyNDc2NzMifQ==</vt:lpwstr>
  </property>
</Properties>
</file>