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C6E1">
      <w:pPr>
        <w:pStyle w:val="2"/>
        <w:rPr>
          <w:rFonts w:ascii="Times New Roman" w:hAnsi="Times New Roman" w:eastAsia="宋体" w:cs="Times New Roman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sz w:val="24"/>
          <w:szCs w:val="24"/>
          <w:lang w:val="en-US"/>
        </w:rPr>
        <w:t>证券代码：688468                                  证券简称：科美诊断</w:t>
      </w:r>
    </w:p>
    <w:p w14:paraId="20EF3B8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40804A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科美诊断技术股份有限公司</w:t>
      </w:r>
    </w:p>
    <w:p w14:paraId="7AA5136D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0B2DB67F">
      <w:pPr>
        <w:spacing w:before="51" w:after="32"/>
        <w:ind w:right="619"/>
        <w:jc w:val="right"/>
        <w:rPr>
          <w:rFonts w:ascii="Times New Roman" w:hAnsi="Times New Roman" w:eastAsia="宋体" w:cs="Times New Roman"/>
          <w:sz w:val="20"/>
          <w:szCs w:val="20"/>
          <w:lang w:val="en-US"/>
        </w:rPr>
      </w:pPr>
      <w:r>
        <w:rPr>
          <w:rFonts w:ascii="Times New Roman" w:hAnsi="Times New Roman" w:eastAsia="宋体" w:cs="Times New Roman"/>
          <w:sz w:val="20"/>
          <w:szCs w:val="20"/>
        </w:rPr>
        <w:t>编号：</w:t>
      </w:r>
      <w:r>
        <w:rPr>
          <w:rFonts w:ascii="Times New Roman" w:hAnsi="Times New Roman" w:eastAsia="宋体" w:cs="Times New Roman"/>
          <w:sz w:val="20"/>
          <w:szCs w:val="20"/>
          <w:lang w:val="en-US"/>
        </w:rPr>
        <w:t>2026</w:t>
      </w:r>
      <w:r>
        <w:rPr>
          <w:rFonts w:ascii="Times New Roman" w:hAnsi="Times New Roman" w:eastAsia="宋体" w:cs="Times New Roman"/>
          <w:sz w:val="20"/>
          <w:szCs w:val="20"/>
        </w:rPr>
        <w:t>-</w:t>
      </w:r>
      <w:r>
        <w:rPr>
          <w:rFonts w:ascii="Times New Roman" w:hAnsi="Times New Roman" w:eastAsia="宋体" w:cs="Times New Roman"/>
          <w:sz w:val="20"/>
          <w:szCs w:val="20"/>
          <w:lang w:val="en-US"/>
        </w:rPr>
        <w:t>001</w:t>
      </w:r>
    </w:p>
    <w:tbl>
      <w:tblPr>
        <w:tblStyle w:val="9"/>
        <w:tblW w:w="8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58"/>
      </w:tblGrid>
      <w:tr w14:paraId="4527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55C4936E">
            <w:pPr>
              <w:pStyle w:val="12"/>
              <w:spacing w:before="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7650D51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58" w:type="dxa"/>
          </w:tcPr>
          <w:p w14:paraId="46D1B3D5">
            <w:pPr>
              <w:pStyle w:val="12"/>
              <w:spacing w:before="7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F7405A1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78953C69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14F38C4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92A25FA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77B583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6E3D7AD2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2770372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35C74442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4EDD85D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491F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580" w:type="dxa"/>
            <w:vAlign w:val="center"/>
          </w:tcPr>
          <w:p w14:paraId="29BC743A">
            <w:pPr>
              <w:pStyle w:val="12"/>
              <w:ind w:left="107" w:right="96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58" w:type="dxa"/>
            <w:vAlign w:val="center"/>
          </w:tcPr>
          <w:p w14:paraId="08384893">
            <w:pPr>
              <w:pStyle w:val="12"/>
              <w:spacing w:before="100" w:beforeAutospacing="1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val="en-US"/>
              </w:rPr>
              <w:t>线上参与公司2025年度暨2026年第一季度业绩说明会的全体投资者</w:t>
            </w:r>
          </w:p>
        </w:tc>
      </w:tr>
      <w:tr w14:paraId="6599A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CE0D609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58" w:type="dxa"/>
            <w:vAlign w:val="center"/>
          </w:tcPr>
          <w:p w14:paraId="2D226A98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2026年05月14日 15:00-16:00</w:t>
            </w:r>
          </w:p>
        </w:tc>
      </w:tr>
      <w:tr w14:paraId="5C50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0CC766C"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58" w:type="dxa"/>
            <w:vAlign w:val="center"/>
          </w:tcPr>
          <w:p w14:paraId="63ED7FA2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4592C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047D38C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58" w:type="dxa"/>
            <w:vAlign w:val="center"/>
          </w:tcPr>
          <w:p w14:paraId="314F1C34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董事长、总经理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>李临先生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董事、董事会秘书、财务总监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>黄燕玲女士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>刘宁悦女士</w:t>
            </w:r>
          </w:p>
        </w:tc>
      </w:tr>
      <w:tr w14:paraId="0BBA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B58E2C1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675FBCD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C12A682">
            <w:pPr>
              <w:pStyle w:val="12"/>
              <w:spacing w:before="5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0BA0AE9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58" w:type="dxa"/>
          </w:tcPr>
          <w:p w14:paraId="1BDDB98A">
            <w:pPr>
              <w:pStyle w:val="12"/>
              <w:spacing w:before="100" w:beforeAutospacing="1"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问题1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:2025年公司研发费用率达22.04%，处于行业高位，请问这笔投入主要落地在哪些核心技术平台（如LiCA升级、新检测方法）？这些研发投入预计在2026-2027年能带来哪些具体的产品落地或性能提升，能否量化研发成果对毛利率和营收的正向拉动效果？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回复：尊敬的投资者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您好，关于您关心的相关问题回复如下： 2025年公司新一代全自动化学发光免疫分析仪LiCA</w:t>
            </w:r>
            <w:r>
              <w:rPr>
                <w:rFonts w:hint="eastAsia" w:ascii="宋体" w:hAnsi="宋体" w:eastAsia="宋体" w:cs="宋体"/>
                <w:sz w:val="20"/>
              </w:rPr>
              <w:t>®</w:t>
            </w:r>
            <w:r>
              <w:rPr>
                <w:rFonts w:ascii="Times New Roman" w:hAnsi="Times New Roman" w:eastAsia="宋体" w:cs="Times New Roman"/>
                <w:sz w:val="20"/>
              </w:rPr>
              <w:t>PT获证，为公司满足临床差异化需求持续加码。2026年4月，子公司科美博阳</w:t>
            </w:r>
            <w:r>
              <w:rPr>
                <w:rFonts w:hint="eastAsia" w:ascii="宋体" w:hAnsi="宋体" w:eastAsia="宋体" w:cs="宋体"/>
                <w:sz w:val="20"/>
              </w:rPr>
              <w:t>的“磷</w:t>
            </w:r>
            <w:r>
              <w:rPr>
                <w:rFonts w:ascii="Times New Roman" w:hAnsi="Times New Roman" w:eastAsia="宋体" w:cs="Times New Roman"/>
                <w:sz w:val="20"/>
              </w:rPr>
              <w:t>酸化tau217蛋白（p-tau217）检测试剂盒（光激化学发光法</w:t>
            </w:r>
            <w:r>
              <w:rPr>
                <w:rFonts w:hint="eastAsia" w:ascii="宋体" w:hAnsi="宋体" w:eastAsia="宋体" w:cs="宋体"/>
                <w:sz w:val="20"/>
              </w:rPr>
              <w:t>）”获</w:t>
            </w:r>
            <w:r>
              <w:rPr>
                <w:rFonts w:ascii="Times New Roman" w:hAnsi="Times New Roman" w:eastAsia="宋体" w:cs="Times New Roman"/>
                <w:sz w:val="20"/>
              </w:rPr>
              <w:t>得医疗器械注册证，该产品系阿尔茨海默病核心血液标志物，开发难度高，标志着公司在神经退行性疾病标志物检测领域取得重大突破。截至2025年末，公司LiCA</w:t>
            </w:r>
            <w:r>
              <w:rPr>
                <w:rFonts w:hint="eastAsia" w:ascii="宋体" w:hAnsi="宋体" w:eastAsia="宋体" w:cs="宋体"/>
                <w:sz w:val="20"/>
              </w:rPr>
              <w:t>®</w:t>
            </w:r>
            <w:r>
              <w:rPr>
                <w:rFonts w:ascii="Times New Roman" w:hAnsi="Times New Roman" w:eastAsia="宋体" w:cs="Times New Roman"/>
                <w:sz w:val="20"/>
              </w:rPr>
              <w:t>系列试剂注册证已达89项，一季度各项在研项目均有序推进。</w:t>
            </w:r>
            <w:r>
              <w:rPr>
                <w:rFonts w:ascii="宋体" w:hAnsi="宋体" w:eastAsia="宋体" w:cs="宋体"/>
                <w:sz w:val="20"/>
              </w:rPr>
              <w:t>感谢您的关注。</w:t>
            </w:r>
          </w:p>
          <w:p w14:paraId="4D6FF20D">
            <w:pPr>
              <w:pStyle w:val="12"/>
              <w:spacing w:before="100" w:beforeAutospacing="1"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</w:p>
          <w:p w14:paraId="6C99F654">
            <w:pPr>
              <w:pStyle w:val="12"/>
              <w:spacing w:line="360" w:lineRule="auto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问题</w:t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 xml:space="preserve">:面对国产替代加速，公司未来3年在化学发光行业的市占率目标是多少？为实现该目标，公司在“仪器+试剂”一体化、供应链降本、品牌建设方面有哪些具体规划？是否考虑通过合作、并购等方式补足产品线短板，提升综合竞争力？  </w:t>
            </w:r>
          </w:p>
          <w:p w14:paraId="55A18BC1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回复：尊敬的投资者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您好，化学发光行业国产替代仍是长期趋势，公司将依托 LiCA</w:t>
            </w:r>
            <w:r>
              <w:rPr>
                <w:rFonts w:hint="eastAsia" w:ascii="宋体" w:hAnsi="宋体" w:eastAsia="宋体" w:cs="宋体"/>
                <w:sz w:val="20"/>
              </w:rPr>
              <w:t>®</w:t>
            </w:r>
            <w:r>
              <w:rPr>
                <w:rFonts w:ascii="Times New Roman" w:hAnsi="Times New Roman" w:eastAsia="宋体" w:cs="Times New Roman"/>
                <w:sz w:val="20"/>
              </w:rPr>
              <w:t>光激化学发光核心技术优势，深耕细分赛道、稳步提升市场份额。未来公司将持续筑牢技术壁垒、完善产品矩阵、优化业务结构，稳步提升行业市占率。经营布局层面，公司将持续完善多场景整体实验室解决方案；同时加大品牌体系建设力度，进一步巩固公司在重点细分领域的影响力与市场渗透率。</w:t>
            </w:r>
          </w:p>
          <w:p w14:paraId="736870FB">
            <w:pPr>
              <w:pStyle w:val="12"/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产品线发展方面，公司将根据实际情况，多措并举以期实现重要技术与产品突破，稳步推进海内外市场布局与业务拓展。公司将紧扣整体战略规划，持续关注具备产业协同、审慎论证合作等外延式发展机会。若后续形成明确筹划计划，公司将及时履行信息披露义务。</w:t>
            </w:r>
            <w:r>
              <w:rPr>
                <w:rFonts w:ascii="宋体" w:hAnsi="宋体" w:eastAsia="宋体" w:cs="宋体"/>
                <w:sz w:val="20"/>
              </w:rPr>
              <w:t>感谢您的关注。</w:t>
            </w:r>
          </w:p>
          <w:p w14:paraId="09EF1AE3">
            <w:pPr>
              <w:pStyle w:val="12"/>
              <w:spacing w:line="360" w:lineRule="auto"/>
              <w:rPr>
                <w:rFonts w:hint="eastAsia" w:ascii="宋体" w:hAnsi="宋体" w:eastAsia="宋体" w:cs="宋体"/>
                <w:sz w:val="20"/>
              </w:rPr>
            </w:pPr>
          </w:p>
          <w:p w14:paraId="6A16853E">
            <w:pPr>
              <w:pStyle w:val="12"/>
              <w:spacing w:line="360" w:lineRule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问题</w:t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:公司2025年业绩受集采影响显著，请问目前已执行集采的省份，LiCA系列试剂实际成交价相比集采前平均降幅多少，该降幅下单试剂的毛利空间还有多少？未来1-2年尚未执行集采的省份，公司对价格降幅的预判是多少，是否已做业绩承压的极端情景测算，若价格进一步下行，公司是否有盈利底线保障措施？</w:t>
            </w:r>
          </w:p>
          <w:p w14:paraId="2AE815F0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回复：尊敬的投资者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公司高度重视集采政策的相关进展，持续跟踪各省份集采落地情况。对于已实施集采的省份，公司严格按政策要求参与报价及供货。公司依托全体系、供应链全要素控制及精益生产等举措，持续稳固盈利空间。公司对后续政策发展审慎研判，并提前制定经营应对预案，通过优化产品结构、精细化经营提升效率、均衡布局海内外市场等方式筑牢盈利底线，保障公司经营基本面稳健。感谢您的关注。</w:t>
            </w:r>
          </w:p>
          <w:p w14:paraId="5794C89C">
            <w:pPr>
              <w:pStyle w:val="12"/>
              <w:spacing w:line="360" w:lineRule="auto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lang w:val="en-US"/>
              </w:rPr>
              <w:t>问题4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</w:rPr>
              <w:t>:2025年研发费用率同比提升4.33个百分点，但业绩却大幅下滑，请问公司高研发投入的项目中，是否存在研发进度不及预期、市场需求预判偏差的情况？目前研发项目的转化率如何，是否有明确的投入产出考核机制，若短期业绩无法改善，公司是否会调整研发投入节奏，避免现金流进一步承压？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</w:p>
          <w:p w14:paraId="1E0E2541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回复：尊敬的投资者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公司2025年研发投入金额7,331.04万元，同比下降5.12%，研发费用率同比提升主要系营收短期下滑所致。公司拥有多学科专业研发团队，研发体系健全完善，2025年研发费用率22.04%，围绕包括仪器、试剂、原材料等全链条要素持续迭代升级，提升产品竞争力。</w:t>
            </w:r>
          </w:p>
          <w:p w14:paraId="56711F62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公司在研项目均经过严谨市场调研与可行性论证，整体研发进度有序推进。公司已建立研发项目全流程管控及投入产出考核机制，持续提升研发成果转化效率。公司坚持长期创新战略，同时将结合经营及现金流情况，动态优化项目布局与资源投放，平衡长期研发布局与短期经营稳健性，保障公司持续健康发展。感谢您的关注。</w:t>
            </w:r>
          </w:p>
          <w:p w14:paraId="1B9344FB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</w:p>
          <w:p w14:paraId="0F801F0C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问题</w:t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5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:2025年经营现金流净额同比是否有下滑，目前公司应收账款周转天数、逾期率相比去年同期分别变化多少，其中逾期3年以上的应收款占比多少？面对医院端回款周期拉长的行业现状，公司是否存在大额应收款无法收回的风险，后续减值计提是否会对2026年业绩形成进一步冲击？</w:t>
            </w:r>
          </w:p>
          <w:p w14:paraId="7BB516A8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bCs/>
                <w:sz w:val="20"/>
                <w:lang w:val="en-US"/>
              </w:rPr>
              <w:t>回复：</w:t>
            </w:r>
            <w:r>
              <w:rPr>
                <w:rFonts w:ascii="Times New Roman" w:hAnsi="Times New Roman" w:eastAsia="宋体" w:cs="Times New Roman"/>
                <w:sz w:val="20"/>
              </w:rPr>
              <w:t>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具体数据请以公司披露的《2025年年度报告》财务数据为准，公司持续强化应收账款精细化管控，应收款项整体风险可控，目前不存在大额应收账款无法收回的风险。公司始终严格遵照企业会计准则审慎计提应收账款减值准备，会计处理规范稳健，后续减值计提预计不会对公司 2026 年经营业绩造成重大不利影响。感谢您的关注。</w:t>
            </w:r>
          </w:p>
          <w:p w14:paraId="502C07FA">
            <w:pPr>
              <w:pStyle w:val="12"/>
              <w:spacing w:before="100" w:beforeAutospacing="1" w:line="360" w:lineRule="auto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问题</w:t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6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:公司94%的收入依赖LiCA系列，CC系列大幅下滑42.51%，新品尚未形成规模贡献，请问公司是否认为产品结构单一是当前核心经营风险？针对该问题，公司是否有具体的产品线补短板计划，若未来LiCA系列受集采或竞争影响进一步下滑，公司是否有应对的业绩缓冲方案？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：尊敬的投资者，您好，公司多年来深耕化学发光免疫诊断领域，开发了涵盖包括传染病标志物、肿瘤标志物、生殖内分泌激素、甲状腺激素、心肌标志物及炎症等临床用量较大的检测产品；同时为了满足客户使用场景的差异化需求，LiCA</w:t>
            </w:r>
            <w:r>
              <w:rPr>
                <w:rFonts w:hint="eastAsia" w:ascii="宋体" w:hAnsi="宋体" w:eastAsia="宋体" w:cs="宋体"/>
                <w:sz w:val="20"/>
              </w:rPr>
              <w:t>®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AT 5000在内的多款配套解决方案。此外，公司围绕未被满足的疾病诊断需求，积极布局包括神经退行性病变在内的疾病诊断工具的开发。免疫诊断作为体外诊断最大的细分领域之一，长期市场前景仍被看好，公司将围绕自身优势，通过多种手段开拓市场，稳定长期基本面。感谢您的关注。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</w:p>
          <w:p w14:paraId="1B91E7E0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问题7：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公司2025年未进行利润分配，股价和估值持续承压，请问公司不分红的核心原因是现金流紧张还是为了研发/经营储备？未来重启现金分红的具体触发条件是什么（如营收增速、净利润转正、现金流达标等）？在市值管理方面，公司是否有股份回购、管理层增持等具体规划，对投资者提问是否能做到有问必(速)答？以提振市场信心？</w:t>
            </w:r>
          </w:p>
          <w:p w14:paraId="3E846C2C">
            <w:pPr>
              <w:pStyle w:val="12"/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en-US"/>
              </w:rPr>
              <w:t>回复：</w:t>
            </w:r>
            <w:r>
              <w:rPr>
                <w:rFonts w:ascii="Times New Roman" w:hAnsi="Times New Roman" w:eastAsia="宋体" w:cs="Times New Roman"/>
                <w:sz w:val="20"/>
              </w:rPr>
              <w:t>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关于2025年度利润分配：结合当前行业市场情况，公司实际经营情况等因素，为实现公司稳定持续的发展，创造更大的业绩回报股东，更好地维护公司及全体股东的长远利益，公司2025年度拟不进行利润分配，不派发现金红利，不送红股，不以资本公积金转增股本，该分配预案已经公司第三届董事会第三次会议审议通过，尚需提交公司2025年度股东会审议批准。本次利润分配预案符合公司章程及相关规则的要求，决策程序完备，保障了中小股东充分表达意见的权利。公司始终高度重视对股东的合理回报，致力于以良好的经营业绩为股东创造持续稳定的投资回报，未来会结合自身经营需要、业务发展规划，充分考虑和听取股东特别是中小股东的要求和意愿，继续实施持续、稳定的利润分配政策，重启分红的相关安排请您以公司后续公告为准。公司2023年已完成以集中竞价交易方式回购公司股份，回购金额累计达5107.51万元，回购股份拟用于员工持股计划或者股权激励计划，不存在应披露未披露的后续股份回购、管理层增持规划。公司始终重视投资者沟通工作，在官网设置了投资者关系专栏，制定了完善的投资者关系管理制度，公司会认真对待投资者的来信、来电、来访及上证e互动提问，及时为投资者解答疑问。公司管理层始终重视全体股东利益，对公司长期发展及业绩稳增长保持信心，将持续做好经营管理各项工作，努力提升经营业绩，推动公司稳定健康发展。感谢您的关注。</w:t>
            </w:r>
          </w:p>
          <w:p w14:paraId="516FE380">
            <w:pPr>
              <w:pStyle w:val="12"/>
              <w:spacing w:line="360" w:lineRule="auto"/>
              <w:rPr>
                <w:rFonts w:ascii="Times New Roman" w:hAnsi="Times New Roman" w:eastAsia="宋体" w:cs="Times New Roman"/>
                <w:sz w:val="20"/>
              </w:rPr>
            </w:pPr>
          </w:p>
          <w:p w14:paraId="191D63A2">
            <w:pPr>
              <w:pStyle w:val="12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问题</w:t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8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:公司对业绩止滑回稳是有坚定信心？</w:t>
            </w:r>
          </w:p>
          <w:p w14:paraId="3E2BD172">
            <w:pPr>
              <w:pStyle w:val="12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回复:尊敬的投资者，您好，公司管理层对公司长期发展及业绩回稳有着坚定信心，未来将持续聚焦主业，扎实推进各项经营与研发工作，努力改善经营业绩，回馈广大投资者。感谢您的关注。</w:t>
            </w:r>
          </w:p>
          <w:p w14:paraId="4DB33524">
            <w:pPr>
              <w:pStyle w:val="12"/>
              <w:spacing w:before="100" w:beforeAutospacing="1" w:line="360" w:lineRule="auto"/>
              <w:jc w:val="both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问题9：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2025年营收同比下滑23.75%、净利降65.44%，主要下滑影响因素有哪些？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回复:尊敬的投资者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公司业绩下滑主要因集采政策落地执行的产品价格压力。针对对公司业务影响最大的传染病项目，省际联盟集采已基本落地执行，价格压力对营收和净利润的影响在2025年集中体现。公司将进一步推进精细化管理，提升效率；公司将以LiCA</w:t>
            </w:r>
            <w:r>
              <w:rPr>
                <w:rFonts w:hint="eastAsia" w:ascii="宋体" w:hAnsi="宋体" w:eastAsia="宋体" w:cs="宋体"/>
                <w:sz w:val="20"/>
              </w:rPr>
              <w:t>®</w:t>
            </w:r>
            <w:r>
              <w:rPr>
                <w:rFonts w:ascii="Times New Roman" w:hAnsi="Times New Roman" w:eastAsia="宋体" w:cs="Times New Roman"/>
                <w:sz w:val="20"/>
              </w:rPr>
              <w:t>系列产品为核心，加快新产品的市场推广，推动相关产品在客户端的入院使用。此外，公司积极推动海外市场准入，通过多措并举逐步修复业绩。感谢您的关注。</w:t>
            </w:r>
          </w:p>
          <w:p w14:paraId="01CD4EF5">
            <w:pPr>
              <w:pStyle w:val="12"/>
              <w:spacing w:before="100" w:beforeAutospacing="1" w:line="360" w:lineRule="auto"/>
              <w:jc w:val="both"/>
              <w:rPr>
                <w:rFonts w:hint="eastAsia" w:ascii="宋体" w:hAnsi="宋体" w:eastAsia="宋体" w:cs="宋体"/>
                <w:sz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问题10：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公司2025年研发投入金额及重点方向是什么？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回复:尊敬的投资者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ascii="Times New Roman" w:hAnsi="Times New Roman" w:eastAsia="宋体" w:cs="Times New Roman"/>
                <w:sz w:val="20"/>
              </w:rPr>
              <w:t>您好，公司2025年研发投入金额7,331.04万元，公司研发主要围绕围绕包括仪器、试剂、原材料等全链条要素持续迭代升级，提升产品竞争力。公司在研项目均经过严谨市场调研与可行性论证，整体研发进度有序推进。公司已建立研发项目全流程管控及投入产出考核机制，持续提升研发成果转化效率。感谢您的关注。</w:t>
            </w:r>
          </w:p>
          <w:p w14:paraId="171C8B6E">
            <w:pPr>
              <w:pStyle w:val="12"/>
              <w:spacing w:before="100" w:beforeAutospacing="1" w:line="360" w:lineRule="auto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问题11：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公司是否有回购、增持等稳定市值的具体计划？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回复:尊敬的投资者，您好，公司于 2023 年已通过集中竞价交易方式实施股份回购，累计回购金额 5107.51 万元，本次回购股份拟用于员工持股计划及股权激励。后续如有股份回购、控股股东及董事和高级管理人员增持的相关计划，公司将严格按照监管要求及时履行信息披露义务，请以公司公告为准。感谢您的关注！</w:t>
            </w:r>
          </w:p>
          <w:p w14:paraId="0AA33252">
            <w:pPr>
              <w:pStyle w:val="12"/>
              <w:spacing w:before="100" w:beforeAutospacing="1"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lang w:val="en-US"/>
              </w:rPr>
              <w:t>问题12：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t>.请问海外业务各区域市场拓展节奏与目标是什么？</w:t>
            </w:r>
            <w:r>
              <w:rPr>
                <w:rFonts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0"/>
              </w:rPr>
              <w:t>回复:尊敬的投资者，您好，公司以打造世界一流诊断企业为长远目标，稳步推进海外市场战略布局与业务拓展。2025 年度公司新增欧盟 CE 认证 23 项，目前累计取得 80 项 CE 认证、完成 71 项欧盟注册，产品覆盖 LiCA®Smart、LiCA®PT 系列仪器，以及甲状腺功能、肿瘤标志物、心肌标志物、神经退行性病变标志物等核心产品线。海外市场方面，公司将有序布局，逐步开拓欧洲、东南亚、中东、北美、中南美洲等重点区域，持续完善全球营销网。感谢您的关注！</w:t>
            </w:r>
          </w:p>
        </w:tc>
      </w:tr>
      <w:tr w14:paraId="4ECA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580" w:type="dxa"/>
            <w:vAlign w:val="center"/>
          </w:tcPr>
          <w:p w14:paraId="023AEF4C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7AF75050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58" w:type="dxa"/>
            <w:vAlign w:val="center"/>
          </w:tcPr>
          <w:p w14:paraId="5943B3A1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79DD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B02A85C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58" w:type="dxa"/>
            <w:vAlign w:val="center"/>
          </w:tcPr>
          <w:p w14:paraId="4A5B860D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</w:p>
        </w:tc>
      </w:tr>
      <w:tr w14:paraId="4336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F24F387">
            <w:pPr>
              <w:pStyle w:val="12"/>
              <w:spacing w:before="1"/>
              <w:ind w:left="107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58" w:type="dxa"/>
            <w:vAlign w:val="center"/>
          </w:tcPr>
          <w:p w14:paraId="64110445">
            <w:pPr>
              <w:pStyle w:val="12"/>
              <w:spacing w:before="100" w:beforeAutospacing="1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2026年05月14日</w:t>
            </w:r>
          </w:p>
        </w:tc>
      </w:tr>
    </w:tbl>
    <w:p w14:paraId="2CAD9C1F">
      <w:pPr>
        <w:rPr>
          <w:rFonts w:hint="eastAsia"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71616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53532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03610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00A41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6C2DF3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5FB57DC"/>
    <w:rsid w:val="469F09AF"/>
    <w:rsid w:val="4B756271"/>
    <w:rsid w:val="4C8E1CA8"/>
    <w:rsid w:val="4D6D36A4"/>
    <w:rsid w:val="510903EF"/>
    <w:rsid w:val="53F137F4"/>
    <w:rsid w:val="543A6906"/>
    <w:rsid w:val="56850CBB"/>
    <w:rsid w:val="57A35F14"/>
    <w:rsid w:val="59D8738A"/>
    <w:rsid w:val="5A666D76"/>
    <w:rsid w:val="5B2253C2"/>
    <w:rsid w:val="5B4D241F"/>
    <w:rsid w:val="5CF02E0F"/>
    <w:rsid w:val="603269D2"/>
    <w:rsid w:val="619958A0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086D20"/>
    <w:rsid w:val="6C411B2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C370855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3947</Words>
  <Characters>4233</Characters>
  <Lines>98</Lines>
  <Paragraphs>47</Paragraphs>
  <TotalTime>26</TotalTime>
  <ScaleCrop>false</ScaleCrop>
  <LinksUpToDate>false</LinksUpToDate>
  <CharactersWithSpaces>4308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chemclin-王凡</cp:lastModifiedBy>
  <dcterms:modified xsi:type="dcterms:W3CDTF">2026-05-14T09:03:20Z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FAC0F98BF6254E9FBA72EAD9967DAD97_13</vt:lpwstr>
  </property>
  <property fmtid="{D5CDD505-2E9C-101B-9397-08002B2CF9AE}" pid="4" name="KSOTemplateDocerSaveRecord">
    <vt:lpwstr>eyJoZGlkIjoiZjdiYmNhZmVjZTk4Y2I0M2UzZDViYWY5MzM5YTdiOGMiLCJ1c2VySWQiOiIzMjMyOTMwNTQifQ==</vt:lpwstr>
  </property>
</Properties>
</file>