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59B28">
      <w:pPr>
        <w:jc w:val="left"/>
        <w:rPr>
          <w:b/>
          <w:bCs/>
          <w:sz w:val="28"/>
          <w:szCs w:val="28"/>
        </w:rPr>
      </w:pPr>
      <w:r>
        <w:rPr>
          <w:rFonts w:hint="eastAsia"/>
          <w:b/>
          <w:bCs/>
          <w:szCs w:val="24"/>
        </w:rPr>
        <w:t xml:space="preserve">证券代码： </w:t>
      </w:r>
      <w:r>
        <w:rPr>
          <w:b/>
          <w:bCs/>
          <w:szCs w:val="24"/>
        </w:rPr>
        <w:t xml:space="preserve">688790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证券简称： 昂瑞微</w:t>
      </w:r>
    </w:p>
    <w:p w14:paraId="284553C4">
      <w:pPr>
        <w:jc w:val="center"/>
        <w:rPr>
          <w:b/>
          <w:bCs/>
          <w:sz w:val="28"/>
          <w:szCs w:val="28"/>
        </w:rPr>
      </w:pPr>
      <w:r>
        <w:rPr>
          <w:rFonts w:hint="eastAsia"/>
          <w:b/>
          <w:bCs/>
          <w:sz w:val="28"/>
          <w:szCs w:val="28"/>
        </w:rPr>
        <w:t>北京昂瑞微电子技术股份有限公司</w:t>
      </w:r>
    </w:p>
    <w:p w14:paraId="1C1BF1B7">
      <w:pPr>
        <w:jc w:val="center"/>
        <w:rPr>
          <w:rStyle w:val="12"/>
          <w:b/>
          <w:bCs/>
          <w:sz w:val="28"/>
          <w:szCs w:val="28"/>
        </w:rPr>
      </w:pPr>
      <w:r>
        <w:rPr>
          <w:rFonts w:hint="eastAsia"/>
          <w:b/>
          <w:bCs/>
          <w:sz w:val="28"/>
          <w:szCs w:val="28"/>
        </w:rPr>
        <w:t>投</w:t>
      </w:r>
      <w:bookmarkStart w:id="0" w:name="OLE_LINK4"/>
      <w:r>
        <w:rPr>
          <w:rFonts w:hint="eastAsia"/>
          <w:b/>
          <w:bCs/>
          <w:sz w:val="28"/>
          <w:szCs w:val="28"/>
        </w:rPr>
        <w:t>资者关系活动记录表</w:t>
      </w:r>
      <w:bookmarkEnd w:id="0"/>
      <w:bookmarkStart w:id="1" w:name="_GoBack"/>
      <w:bookmarkEnd w:id="1"/>
    </w:p>
    <w:p w14:paraId="272FAB0F">
      <w:pPr>
        <w:jc w:val="center"/>
        <w:rPr>
          <w:rFonts w:hint="eastAsia" w:eastAsia="宋体"/>
          <w:b/>
          <w:bCs/>
          <w:sz w:val="28"/>
          <w:szCs w:val="28"/>
          <w:lang w:eastAsia="zh-CN"/>
        </w:rPr>
      </w:pPr>
      <w:r>
        <w:rPr>
          <w:rStyle w:val="12"/>
          <w:rFonts w:hint="eastAsia"/>
          <w:b/>
          <w:bCs/>
          <w:sz w:val="28"/>
          <w:szCs w:val="28"/>
        </w:rPr>
        <w:t>（2025年年度</w:t>
      </w:r>
      <w:r>
        <w:rPr>
          <w:rStyle w:val="12"/>
          <w:rFonts w:hint="eastAsia"/>
          <w:b/>
          <w:bCs/>
          <w:sz w:val="28"/>
          <w:szCs w:val="28"/>
          <w:lang w:val="en-US" w:eastAsia="zh-CN"/>
        </w:rPr>
        <w:t>暨</w:t>
      </w:r>
      <w:r>
        <w:rPr>
          <w:rStyle w:val="12"/>
          <w:rFonts w:hint="eastAsia"/>
          <w:b/>
          <w:bCs/>
          <w:sz w:val="28"/>
          <w:szCs w:val="28"/>
        </w:rPr>
        <w:t>2026年第一季度业绩说明会</w:t>
      </w:r>
      <w:r>
        <w:rPr>
          <w:rStyle w:val="12"/>
          <w:rFonts w:hint="eastAsia"/>
          <w:b/>
          <w:bCs/>
          <w:sz w:val="28"/>
          <w:szCs w:val="28"/>
          <w:lang w:eastAsia="zh-CN"/>
        </w:rPr>
        <w:t>）</w:t>
      </w:r>
    </w:p>
    <w:p w14:paraId="63B64804">
      <w:pPr>
        <w:ind w:firstLine="241" w:firstLineChars="100"/>
        <w:rPr>
          <w:b/>
          <w:bCs/>
          <w:szCs w:val="24"/>
        </w:rPr>
      </w:pPr>
      <w:r>
        <w:rPr>
          <w:b/>
          <w:bCs/>
          <w:szCs w:val="24"/>
        </w:rPr>
        <w:t xml:space="preserve">         </w:t>
      </w:r>
      <w:r>
        <w:rPr>
          <w:rFonts w:hint="eastAsia"/>
          <w:b/>
          <w:bCs/>
          <w:szCs w:val="24"/>
        </w:rPr>
        <w:t xml:space="preserve">                                             编号：2</w:t>
      </w:r>
      <w:r>
        <w:rPr>
          <w:b/>
          <w:bCs/>
          <w:szCs w:val="24"/>
        </w:rPr>
        <w:t>026-00</w:t>
      </w:r>
      <w:r>
        <w:rPr>
          <w:rFonts w:hint="eastAsia"/>
          <w:b/>
          <w:bCs/>
          <w:szCs w:val="24"/>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3A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6E82FE89">
            <w:pPr>
              <w:jc w:val="center"/>
              <w:rPr>
                <w:b/>
                <w:bCs/>
                <w:szCs w:val="24"/>
              </w:rPr>
            </w:pPr>
          </w:p>
          <w:p w14:paraId="169FB84D">
            <w:pPr>
              <w:jc w:val="center"/>
              <w:rPr>
                <w:b/>
                <w:bCs/>
                <w:szCs w:val="24"/>
              </w:rPr>
            </w:pPr>
          </w:p>
          <w:p w14:paraId="1B944C7F">
            <w:pPr>
              <w:jc w:val="center"/>
              <w:rPr>
                <w:b/>
                <w:bCs/>
                <w:szCs w:val="24"/>
              </w:rPr>
            </w:pPr>
            <w:r>
              <w:rPr>
                <w:rFonts w:hint="eastAsia"/>
                <w:b/>
                <w:bCs/>
                <w:szCs w:val="24"/>
              </w:rPr>
              <w:t>投资者关系活动</w:t>
            </w:r>
          </w:p>
          <w:p w14:paraId="1F1EB772">
            <w:pPr>
              <w:jc w:val="center"/>
              <w:rPr>
                <w:b/>
                <w:bCs/>
                <w:szCs w:val="24"/>
              </w:rPr>
            </w:pPr>
            <w:r>
              <w:rPr>
                <w:rFonts w:hint="eastAsia"/>
                <w:b/>
                <w:bCs/>
                <w:szCs w:val="24"/>
              </w:rPr>
              <w:t>类别</w:t>
            </w:r>
          </w:p>
        </w:tc>
        <w:tc>
          <w:tcPr>
            <w:tcW w:w="5891" w:type="dxa"/>
          </w:tcPr>
          <w:p w14:paraId="1985DD8F">
            <w:pPr>
              <w:spacing w:line="360" w:lineRule="auto"/>
              <w:rPr>
                <w:rFonts w:hint="eastAsia"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708EC0B8">
            <w:pPr>
              <w:spacing w:line="360" w:lineRule="auto"/>
              <w:rPr>
                <w:rFonts w:hint="eastAsia" w:ascii="宋体" w:hAnsi="宋体"/>
                <w:szCs w:val="24"/>
              </w:rPr>
            </w:pPr>
            <w:r>
              <w:rPr>
                <w:rFonts w:hint="eastAsia" w:ascii="宋体" w:hAnsi="宋体"/>
                <w:szCs w:val="24"/>
              </w:rPr>
              <w:t xml:space="preserve">□媒体采访 </w:t>
            </w:r>
            <w:r>
              <w:rPr>
                <w:rFonts w:ascii="宋体" w:hAnsi="宋体"/>
                <w:szCs w:val="24"/>
              </w:rPr>
              <w:t xml:space="preserve">       </w:t>
            </w:r>
            <w:r>
              <w:rPr>
                <w:rFonts w:hint="eastAsia"/>
                <w:bCs/>
                <w:iCs/>
              </w:rPr>
              <w:t>√</w:t>
            </w:r>
            <w:r>
              <w:rPr>
                <w:rFonts w:hint="eastAsia" w:ascii="宋体" w:hAnsi="宋体"/>
                <w:szCs w:val="24"/>
              </w:rPr>
              <w:t>业绩说明会</w:t>
            </w:r>
          </w:p>
          <w:p w14:paraId="66D90B35">
            <w:pPr>
              <w:spacing w:line="360" w:lineRule="auto"/>
              <w:rPr>
                <w:rFonts w:hint="eastAsia"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017DBA92">
            <w:pPr>
              <w:spacing w:line="360" w:lineRule="auto"/>
              <w:rPr>
                <w:szCs w:val="24"/>
              </w:rPr>
            </w:pPr>
            <w:r>
              <w:rPr>
                <w:rFonts w:hint="eastAsia" w:ascii="宋体" w:hAnsi="宋体"/>
                <w:szCs w:val="24"/>
              </w:rPr>
              <w:t>□现场参观□其他（</w:t>
            </w:r>
            <w:r>
              <w:rPr>
                <w:rFonts w:hint="eastAsia" w:ascii="宋体" w:hAnsi="宋体"/>
                <w:szCs w:val="24"/>
                <w:u w:val="thick"/>
              </w:rPr>
              <w:t>请文字说明其他活动内容</w:t>
            </w:r>
            <w:r>
              <w:rPr>
                <w:rFonts w:hint="eastAsia" w:ascii="宋体" w:hAnsi="宋体"/>
                <w:szCs w:val="24"/>
              </w:rPr>
              <w:t>）</w:t>
            </w:r>
          </w:p>
        </w:tc>
      </w:tr>
      <w:tr w14:paraId="1AF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405" w:type="dxa"/>
            <w:vAlign w:val="center"/>
          </w:tcPr>
          <w:p w14:paraId="3DDA2904">
            <w:pPr>
              <w:jc w:val="center"/>
              <w:rPr>
                <w:b/>
                <w:bCs/>
                <w:szCs w:val="24"/>
              </w:rPr>
            </w:pPr>
            <w:r>
              <w:rPr>
                <w:rFonts w:hint="eastAsia"/>
                <w:b/>
                <w:bCs/>
                <w:szCs w:val="24"/>
              </w:rPr>
              <w:t>参与单位名称</w:t>
            </w:r>
          </w:p>
          <w:p w14:paraId="355617F4">
            <w:pPr>
              <w:jc w:val="center"/>
              <w:rPr>
                <w:b/>
                <w:bCs/>
                <w:szCs w:val="24"/>
              </w:rPr>
            </w:pPr>
            <w:r>
              <w:rPr>
                <w:rFonts w:hint="eastAsia"/>
                <w:b/>
                <w:bCs/>
                <w:szCs w:val="24"/>
              </w:rPr>
              <w:t>及姓名</w:t>
            </w:r>
          </w:p>
        </w:tc>
        <w:tc>
          <w:tcPr>
            <w:tcW w:w="5891" w:type="dxa"/>
            <w:vAlign w:val="center"/>
          </w:tcPr>
          <w:p w14:paraId="33BEF23C">
            <w:pPr>
              <w:jc w:val="center"/>
              <w:rPr>
                <w:szCs w:val="24"/>
              </w:rPr>
            </w:pPr>
            <w:r>
              <w:rPr>
                <w:rFonts w:hint="eastAsia"/>
                <w:szCs w:val="24"/>
              </w:rPr>
              <w:t>参与“昂瑞微2025年年度暨2026年一季度业绩说明会”的投资者</w:t>
            </w:r>
          </w:p>
        </w:tc>
      </w:tr>
      <w:tr w14:paraId="7CC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405" w:type="dxa"/>
            <w:vAlign w:val="center"/>
          </w:tcPr>
          <w:p w14:paraId="0AA5FE62">
            <w:pPr>
              <w:jc w:val="center"/>
              <w:rPr>
                <w:b/>
                <w:bCs/>
                <w:szCs w:val="24"/>
              </w:rPr>
            </w:pPr>
            <w:r>
              <w:rPr>
                <w:rFonts w:hint="eastAsia"/>
                <w:b/>
                <w:bCs/>
                <w:szCs w:val="24"/>
              </w:rPr>
              <w:t>时间</w:t>
            </w:r>
          </w:p>
        </w:tc>
        <w:tc>
          <w:tcPr>
            <w:tcW w:w="5891" w:type="dxa"/>
            <w:vAlign w:val="center"/>
          </w:tcPr>
          <w:p w14:paraId="1374BA7A">
            <w:pPr>
              <w:jc w:val="center"/>
              <w:rPr>
                <w:szCs w:val="24"/>
              </w:rPr>
            </w:pPr>
            <w:r>
              <w:rPr>
                <w:rFonts w:hint="eastAsia"/>
                <w:szCs w:val="24"/>
              </w:rPr>
              <w:t>2</w:t>
            </w:r>
            <w:r>
              <w:rPr>
                <w:szCs w:val="24"/>
              </w:rPr>
              <w:t>026</w:t>
            </w:r>
            <w:r>
              <w:rPr>
                <w:rFonts w:hint="eastAsia"/>
                <w:szCs w:val="24"/>
              </w:rPr>
              <w:t>年5月15日 15：00-16：00</w:t>
            </w:r>
          </w:p>
        </w:tc>
      </w:tr>
      <w:tr w14:paraId="24F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05" w:type="dxa"/>
            <w:vAlign w:val="center"/>
          </w:tcPr>
          <w:p w14:paraId="3AC08DE7">
            <w:pPr>
              <w:jc w:val="center"/>
              <w:rPr>
                <w:b/>
                <w:bCs/>
                <w:szCs w:val="24"/>
              </w:rPr>
            </w:pPr>
            <w:r>
              <w:rPr>
                <w:rFonts w:hint="eastAsia"/>
                <w:b/>
                <w:bCs/>
                <w:szCs w:val="24"/>
              </w:rPr>
              <w:t>地点</w:t>
            </w:r>
          </w:p>
        </w:tc>
        <w:tc>
          <w:tcPr>
            <w:tcW w:w="5891" w:type="dxa"/>
            <w:vAlign w:val="center"/>
          </w:tcPr>
          <w:p w14:paraId="5C98B609">
            <w:pPr>
              <w:jc w:val="center"/>
              <w:rPr>
                <w:szCs w:val="24"/>
              </w:rPr>
            </w:pPr>
            <w:r>
              <w:rPr>
                <w:rFonts w:hint="eastAsia"/>
                <w:szCs w:val="24"/>
              </w:rPr>
              <w:t>上海证券报•中国证券网路演中心（https://roadshow.cnstock.com/）</w:t>
            </w:r>
          </w:p>
        </w:tc>
      </w:tr>
      <w:tr w14:paraId="7BF7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05" w:type="dxa"/>
            <w:vAlign w:val="center"/>
          </w:tcPr>
          <w:p w14:paraId="61B6CCDF">
            <w:pPr>
              <w:jc w:val="center"/>
              <w:rPr>
                <w:b/>
                <w:bCs/>
                <w:szCs w:val="24"/>
              </w:rPr>
            </w:pPr>
            <w:r>
              <w:rPr>
                <w:rFonts w:hint="eastAsia"/>
                <w:b/>
                <w:bCs/>
                <w:szCs w:val="24"/>
              </w:rPr>
              <w:t>上市公司接待人员</w:t>
            </w:r>
          </w:p>
        </w:tc>
        <w:tc>
          <w:tcPr>
            <w:tcW w:w="5891" w:type="dxa"/>
            <w:vAlign w:val="center"/>
          </w:tcPr>
          <w:p w14:paraId="1493403A">
            <w:pPr>
              <w:jc w:val="center"/>
              <w:rPr>
                <w:bCs/>
                <w:iCs/>
              </w:rPr>
            </w:pPr>
            <w:r>
              <w:rPr>
                <w:rFonts w:hint="eastAsia"/>
                <w:bCs/>
                <w:iCs/>
              </w:rPr>
              <w:t>董事长兼总经理：钱永学</w:t>
            </w:r>
          </w:p>
          <w:p w14:paraId="62E3F474">
            <w:pPr>
              <w:jc w:val="center"/>
              <w:rPr>
                <w:bCs/>
                <w:iCs/>
              </w:rPr>
            </w:pPr>
            <w:r>
              <w:rPr>
                <w:rFonts w:hint="eastAsia"/>
                <w:bCs/>
                <w:iCs/>
              </w:rPr>
              <w:t>董事兼副总经理：欧阳毅</w:t>
            </w:r>
          </w:p>
          <w:p w14:paraId="36F33DCA">
            <w:pPr>
              <w:jc w:val="center"/>
              <w:rPr>
                <w:bCs/>
                <w:iCs/>
              </w:rPr>
            </w:pPr>
            <w:r>
              <w:rPr>
                <w:rFonts w:hint="eastAsia"/>
                <w:bCs/>
                <w:iCs/>
              </w:rPr>
              <w:t>董事会秘书兼财务负责人：张馨瑜</w:t>
            </w:r>
          </w:p>
          <w:p w14:paraId="6E386AB9">
            <w:pPr>
              <w:jc w:val="center"/>
              <w:rPr>
                <w:szCs w:val="24"/>
              </w:rPr>
            </w:pPr>
            <w:r>
              <w:rPr>
                <w:rFonts w:hint="eastAsia"/>
                <w:bCs/>
                <w:iCs/>
              </w:rPr>
              <w:t>独立董事：周斌</w:t>
            </w:r>
          </w:p>
        </w:tc>
      </w:tr>
      <w:tr w14:paraId="42A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20F9397">
            <w:pPr>
              <w:jc w:val="center"/>
              <w:rPr>
                <w:b/>
                <w:bCs/>
                <w:szCs w:val="24"/>
              </w:rPr>
            </w:pPr>
            <w:r>
              <w:rPr>
                <w:rFonts w:hint="eastAsia"/>
                <w:b/>
                <w:bCs/>
                <w:szCs w:val="24"/>
              </w:rPr>
              <w:t>投资者关系活动主要内容介绍</w:t>
            </w:r>
          </w:p>
        </w:tc>
        <w:tc>
          <w:tcPr>
            <w:tcW w:w="5891" w:type="dxa"/>
          </w:tcPr>
          <w:p w14:paraId="236BCDCE">
            <w:pPr>
              <w:wordWrap w:val="0"/>
              <w:rPr>
                <w:rFonts w:cs="Times New Roman"/>
                <w:b/>
              </w:rPr>
            </w:pPr>
            <w:r>
              <w:rPr>
                <w:rFonts w:cs="Times New Roman"/>
                <w:b/>
              </w:rPr>
              <w:t>一、交流的主要问题及回复</w:t>
            </w:r>
          </w:p>
          <w:p w14:paraId="7033E0EA">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1</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请简述一下公司的主营业务</w:t>
            </w:r>
          </w:p>
          <w:p w14:paraId="6819B467">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是一家专注于射频、模拟领域的集成电路设计企业。公司主要从事射频前端芯片、射频SoC芯片及其他模拟芯片的研发、设计与销售。自成立以来，公司通过持续的研发投入和技术积累，不断进行产品高效迭代，为客户提供高性能、高可靠性、低功耗、高集成度的射频及模拟芯片产品。谢谢!</w:t>
            </w:r>
          </w:p>
          <w:p w14:paraId="7D16C73E">
            <w:pPr>
              <w:widowControl/>
              <w:jc w:val="left"/>
              <w:rPr>
                <w:rFonts w:cs="Times New Roman"/>
              </w:rPr>
            </w:pPr>
          </w:p>
          <w:p w14:paraId="641B7FA5">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2</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车载射频芯片市场需求巨大，请简述发展情况?</w:t>
            </w:r>
          </w:p>
          <w:p w14:paraId="001BEEEB">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在车载通信领域，公司的5G车规级系列产品已通过AEC-Q100的认证，具有宽温、高可靠等特点，可以在极端环境下保持高性能和低失效比例，满足-40℃至105℃的宽温要求，可应用于智能网联/T-Box中的NAD模块、V2X等智驾通信等领域，并已在知名车企中应用。公司将进一步聚焦头部客户的合作，把握汽车智能化的发展趋势，推动车载业务实现更高质量的增长。谢谢！</w:t>
            </w:r>
          </w:p>
          <w:p w14:paraId="2570D0A4">
            <w:pPr>
              <w:widowControl/>
              <w:jc w:val="left"/>
              <w:rPr>
                <w:rFonts w:cs="Times New Roman"/>
              </w:rPr>
            </w:pPr>
          </w:p>
          <w:p w14:paraId="562B2EE1">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3</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公司对下一代模组产品有信心吗？</w:t>
            </w:r>
          </w:p>
          <w:p w14:paraId="3CA9D9C8">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将继续和品牌客户进行下一代自研模组的开发，通过技术演进满足客户对更高功率和更高效率的要求。此外，公司持续聚焦高端模组领域，和多家客户共同定义下一代更小、更薄和效率更高的模组产品，进一步拓展至多元手机品牌。谢谢！</w:t>
            </w:r>
          </w:p>
          <w:p w14:paraId="72DA8FF4">
            <w:pPr>
              <w:widowControl/>
              <w:jc w:val="left"/>
              <w:rPr>
                <w:rFonts w:cs="Times New Roman"/>
              </w:rPr>
            </w:pPr>
          </w:p>
          <w:p w14:paraId="06F712E3">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4</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海外市场拓展进展如何？当前面临的主要挑战是什么？未来国际化战略的具体规划？</w:t>
            </w:r>
          </w:p>
          <w:p w14:paraId="3F4BF322">
            <w:pPr>
              <w:pStyle w:val="6"/>
              <w:widowControl/>
              <w:rPr>
                <w:rFonts w:hint="default" w:ascii="Times New Roman" w:hAnsi="Times New Roman" w:eastAsia="Helvetica"/>
                <w:color w:val="000000"/>
                <w:shd w:val="clear" w:color="auto" w:fill="FFFFFF"/>
              </w:rPr>
            </w:pPr>
            <w:r>
              <w:rPr>
                <w:rFonts w:hint="default" w:ascii="Times New Roman" w:hAnsi="Times New Roman" w:eastAsia="Helvetica"/>
                <w:color w:val="000000"/>
                <w:shd w:val="clear" w:color="auto" w:fill="FFFFFF"/>
              </w:rPr>
              <w:t>答：您好！在海外市场，2025年公司在海外高端市场取得初步进展，通过深化国际品牌客户的合作，不断提升产品盈利能力和品牌知名度。</w:t>
            </w:r>
          </w:p>
          <w:p w14:paraId="6E130E92">
            <w:pPr>
              <w:pStyle w:val="6"/>
              <w:widowControl/>
              <w:rPr>
                <w:rFonts w:hint="default" w:ascii="Times New Roman" w:hAnsi="Times New Roman" w:eastAsia="Helvetica"/>
                <w:color w:val="000000"/>
                <w:shd w:val="clear" w:color="auto" w:fill="FFFFFF"/>
              </w:rPr>
            </w:pPr>
            <w:r>
              <w:rPr>
                <w:rFonts w:hint="default" w:ascii="Times New Roman" w:hAnsi="Times New Roman" w:eastAsia="Helvetica"/>
                <w:color w:val="000000"/>
                <w:shd w:val="clear" w:color="auto" w:fill="FFFFFF"/>
              </w:rPr>
              <w:t>近年来，国际政治经济形势日益复杂，国际贸易环境存在诸多的不稳定因素。目前境外企业在全球集成电路产业链占据较大的市场份额，公司存在一定规模的境外销售、采购情形，无法排除未来国际贸易摩擦进一步升级、全球贸易保护主义持续升温、部分国家或地区出台对公司不利的限制政策等风险。</w:t>
            </w:r>
          </w:p>
          <w:p w14:paraId="541E98E0">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公司将全面推进国际化战略，拓展海外市场空间。加大海外市场开拓力度，扩充专业海外销售与技术支持团队，在核心海外市场设立分支机构，实现本地化服务与快速响应，近距离服务当地客户。深度挖掘海外市场需求，拓展海外优质品牌客户与渠道合作伙伴，提升公司产品在全球市场的渗透率与覆盖度。积极参与国际行业展会与技术交流活动，强化海外品牌宣传与市场推广，提升公司在全球射频、模拟芯片领域的品牌知名度与国际影响力。谢谢！</w:t>
            </w:r>
          </w:p>
          <w:p w14:paraId="65E1212F">
            <w:pPr>
              <w:widowControl/>
              <w:jc w:val="left"/>
              <w:rPr>
                <w:rFonts w:cs="Times New Roman"/>
              </w:rPr>
            </w:pPr>
          </w:p>
          <w:p w14:paraId="6319097C">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5</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请介绍一下报告期内主营业务收入情况</w:t>
            </w:r>
          </w:p>
          <w:p w14:paraId="2D5ABA82">
            <w:pPr>
              <w:pStyle w:val="6"/>
              <w:widowControl/>
              <w:rPr>
                <w:rFonts w:hint="default" w:ascii="Times New Roman" w:hAnsi="Times New Roman" w:eastAsia="Helvetica"/>
                <w:color w:val="000000"/>
                <w:shd w:val="clear" w:color="auto" w:fill="FFFFFF"/>
              </w:rPr>
            </w:pPr>
            <w:r>
              <w:rPr>
                <w:rFonts w:hint="default" w:ascii="Times New Roman" w:hAnsi="Times New Roman" w:eastAsia="Helvetica"/>
                <w:color w:val="000000"/>
                <w:shd w:val="clear" w:color="auto" w:fill="FFFFFF"/>
              </w:rPr>
              <w:t>答：您好！2025年度，公司实现营业收入188,239.59万元，同比下降10.42%，业绩下滑的主要原因为部分客户基于自身终端销售预期及供应链情况调整了采购节奏，阶段性放缓了提货节奏，同时公司为追求高质量发展，主动优化客户与订单结构，战略性收缩了部分低毛利、竞争激烈的项目，对公司业绩造成一定影响。为应对上述影响，公司将持续加大市场开拓力度，一方面，积极拓宽与现有射频前端芯片品牌客户的合作品类，加速全系列产品导入，同步加强工业、医疗、汽车等新兴应用场景的开拓；另一方面，持续加大海外市场拓展力度，以全面提高公司综合竞争力。</w:t>
            </w:r>
          </w:p>
          <w:p w14:paraId="4CABF181">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2026年一季度，公司实现营业收入3.47亿元，同比增长10.81%。收入增长的主要原因：一方面，覆盖消费级、专业级的低功耗蓝牙出货规模稳步提升，为公司增长提供新引擎；另一方面，公司持续优化射频前端产品结构，在5G领域保持良好增长。谢谢！</w:t>
            </w:r>
          </w:p>
          <w:p w14:paraId="0F7C50C7">
            <w:pPr>
              <w:widowControl/>
              <w:jc w:val="left"/>
              <w:rPr>
                <w:rFonts w:cs="Times New Roman"/>
              </w:rPr>
            </w:pPr>
          </w:p>
          <w:p w14:paraId="37D0B78F">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6</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请介绍一下报告期内毛利率情况</w:t>
            </w:r>
          </w:p>
          <w:p w14:paraId="5EF9515E">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答：您好！公司2025年</w:t>
            </w:r>
            <w:r>
              <w:rPr>
                <w:rFonts w:cs="宋体"/>
                <w:color w:val="000000"/>
                <w:shd w:val="clear" w:color="auto" w:fill="FFFFFF"/>
              </w:rPr>
              <w:t>主营业务</w:t>
            </w:r>
            <w:r>
              <w:rPr>
                <w:rFonts w:hint="default" w:ascii="Times New Roman" w:hAnsi="Times New Roman" w:eastAsia="Helvetica"/>
                <w:color w:val="000000"/>
                <w:shd w:val="clear" w:color="auto" w:fill="FFFFFF"/>
              </w:rPr>
              <w:t>毛利率为21.26%，较上年增加1.03个百分点。其中，射频前端芯片毛利率为18.00%，较上年同期减少0.09个百分点；射频SoC芯片毛利率为31.53%，较上年同期增加2.33个百分点。公司2026年一季度毛利率22.33%。谢谢！</w:t>
            </w:r>
          </w:p>
          <w:p w14:paraId="33B905EC">
            <w:pPr>
              <w:widowControl/>
              <w:jc w:val="left"/>
              <w:rPr>
                <w:rFonts w:cs="Times New Roman"/>
              </w:rPr>
            </w:pPr>
          </w:p>
          <w:p w14:paraId="7C332637">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7</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2025年销售收入下降的原因？</w:t>
            </w:r>
          </w:p>
          <w:p w14:paraId="026EBACA">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2025年度，公司实现营业收入188,239.59万元，同比下降10.42%，业绩下滑的主要原因为部分客户基于自身终端销售预期及供应链情况调整了采购节奏，阶段性放缓了提货节奏，同时公司为追求高质量发展，主动优化客户与订单结构，战略性收缩了部分低毛利、竞争激烈的项目，对公司业绩造成一定影响。为应对上述影响，公司将持续加大市场开拓力度，一方面，积极拓宽与现有射频前端芯片品牌客户的合作品类，加速全系列产品导入，同步加强工业、医疗、汽车等新兴应用场景的开拓；另一方面，持续加大海外市场拓展力度，以全面提高公司综合竞争力。谢谢！</w:t>
            </w:r>
          </w:p>
          <w:p w14:paraId="11C4801A">
            <w:pPr>
              <w:widowControl/>
              <w:jc w:val="left"/>
              <w:rPr>
                <w:rFonts w:cs="Times New Roman"/>
              </w:rPr>
            </w:pPr>
          </w:p>
          <w:p w14:paraId="08965A3A">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8</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公司对于未来提振投资者信心，有什么具体的措施吗？</w:t>
            </w:r>
          </w:p>
          <w:p w14:paraId="0E71F3BB">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始终重视投资者的利益，将继续专注主业，增强业务优势，坚持以提升公司经营业绩和企业价值作为长期工作重点，力争以优良的业绩回报广大投资者。一方面，公司将持续加大核心技术研发投入，完善产品布局、拓展优质客户与新兴应用市场，稳步提升经营质量；另一方面，严格规范公司治理，持续做好投资者关系管理与信息披露工作，保持与资本市场的顺畅沟通，以稳健经营和规范运作切实维护投资者合法权益，不断提振市场信心。谢谢！</w:t>
            </w:r>
          </w:p>
          <w:p w14:paraId="28825748">
            <w:pPr>
              <w:widowControl/>
              <w:jc w:val="left"/>
              <w:rPr>
                <w:rFonts w:cs="Times New Roman"/>
              </w:rPr>
            </w:pPr>
          </w:p>
          <w:p w14:paraId="6260B644">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9</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2026年将有一批股权解禁，减持计划和配套措施如何？</w:t>
            </w:r>
          </w:p>
          <w:p w14:paraId="6954675A">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答：您好！公司2026年将解禁的股份</w:t>
            </w:r>
            <w:r>
              <w:rPr>
                <w:rFonts w:cs="宋体"/>
                <w:color w:val="000000"/>
                <w:shd w:val="clear" w:color="auto" w:fill="FFFFFF"/>
              </w:rPr>
              <w:t>包括</w:t>
            </w:r>
            <w:r>
              <w:rPr>
                <w:rFonts w:hint="default" w:ascii="Times New Roman" w:hAnsi="Times New Roman" w:eastAsia="Helvetica"/>
                <w:color w:val="000000"/>
                <w:shd w:val="clear" w:color="auto" w:fill="FFFFFF"/>
              </w:rPr>
              <w:t>网下配售股份</w:t>
            </w:r>
            <w:r>
              <w:rPr>
                <w:rFonts w:hint="eastAsia" w:cs="宋体"/>
                <w:color w:val="000000"/>
                <w:shd w:val="clear" w:color="auto" w:fill="FFFFFF"/>
                <w:lang w:eastAsia="zh-CN"/>
              </w:rPr>
              <w:t>、</w:t>
            </w:r>
            <w:r>
              <w:rPr>
                <w:rFonts w:hint="default" w:ascii="Times New Roman" w:hAnsi="Times New Roman" w:eastAsia="Helvetica"/>
                <w:color w:val="000000"/>
                <w:shd w:val="clear" w:color="auto" w:fill="FFFFFF"/>
              </w:rPr>
              <w:t>部分战略配售股份和部分首发前限售股份，对于减持计划和配套措施，公司将严格按照相关法规的要求及时履行信息披露义务，相关股东后续减持将严格遵守法律法规及监管要求。公司将对资本市场情况保持密切关注，并始终高度重视全体股东利益。谢谢！</w:t>
            </w:r>
          </w:p>
          <w:p w14:paraId="100396FD">
            <w:pPr>
              <w:widowControl/>
              <w:jc w:val="left"/>
              <w:rPr>
                <w:rFonts w:cs="Times New Roman"/>
              </w:rPr>
            </w:pPr>
          </w:p>
          <w:p w14:paraId="4A31DF7B">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10</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请简单说明一下公司现代企业制度的建立健全情况</w:t>
            </w:r>
          </w:p>
          <w:p w14:paraId="435959C4">
            <w:pPr>
              <w:pStyle w:val="6"/>
              <w:widowControl/>
              <w:rPr>
                <w:rFonts w:hint="default" w:ascii="Times New Roman" w:hAnsi="Times New Roman" w:eastAsia="Helvetica"/>
              </w:rPr>
            </w:pPr>
            <w:r>
              <w:rPr>
                <w:rFonts w:hint="default" w:ascii="Times New Roman" w:hAnsi="Times New Roman" w:eastAsia="Helvetica"/>
                <w:color w:val="000000"/>
                <w:shd w:val="clear" w:color="auto" w:fill="FFFFFF"/>
              </w:rPr>
              <w:t>答：您好！公司已按照上市公司的治理标准建立和完善了公司治理结构，形成了权力机构、决策机构、监督机构和管理层之间权责明确、运作规范的现代公司治理结构和内部控制环境，提高了公司的运营效率和治理水平。公司将严格遵守信息披露等相关法规，提高信息披露的有效性，确保投资者能够及时、准确地了解公司的经营成果、财务状况、重大决策等重要信息，并将重视投资者的意见和建议，积极回应市场的关切，让投资者能够切实地参与到公司治理过程中，有效保障投资者权益。同时，公司高度重视全体投资者的价值回报，制定了长期回报规划，让全体投资者共享企业发展成果。谢谢！</w:t>
            </w:r>
          </w:p>
          <w:p w14:paraId="7DF4D986">
            <w:pPr>
              <w:widowControl/>
              <w:jc w:val="left"/>
              <w:rPr>
                <w:rFonts w:cs="Times New Roman"/>
              </w:rPr>
            </w:pPr>
          </w:p>
          <w:p w14:paraId="57E2AB3F">
            <w:pPr>
              <w:pStyle w:val="6"/>
              <w:widowControl/>
              <w:rPr>
                <w:rFonts w:hint="default" w:ascii="Times New Roman" w:hAnsi="Times New Roman" w:eastAsia="Helvetica"/>
              </w:rPr>
            </w:pPr>
            <w:r>
              <w:rPr>
                <w:rStyle w:val="11"/>
                <w:rFonts w:hint="default" w:ascii="Times New Roman" w:hAnsi="Times New Roman" w:eastAsia="Helvetica"/>
                <w:color w:val="000000"/>
                <w:shd w:val="clear" w:color="auto" w:fill="FFFFFF"/>
              </w:rPr>
              <w:t>11</w:t>
            </w:r>
            <w:r>
              <w:rPr>
                <w:rStyle w:val="11"/>
                <w:rFonts w:ascii="Times New Roman" w:hAnsi="Times New Roman"/>
                <w:color w:val="000000"/>
                <w:shd w:val="clear" w:color="auto" w:fill="FFFFFF"/>
              </w:rPr>
              <w:t>、</w:t>
            </w:r>
            <w:r>
              <w:rPr>
                <w:rStyle w:val="11"/>
                <w:rFonts w:hint="default" w:ascii="Times New Roman" w:hAnsi="Times New Roman" w:eastAsia="Helvetica"/>
                <w:color w:val="000000"/>
                <w:shd w:val="clear" w:color="auto" w:fill="FFFFFF"/>
              </w:rPr>
              <w:t>请介绍公司对原材料价格波动、供应链稳定性、政策监管变化、国际贸易环境等风险应对措施</w:t>
            </w:r>
          </w:p>
          <w:p w14:paraId="314195A9">
            <w:pPr>
              <w:pStyle w:val="6"/>
              <w:widowControl/>
              <w:rPr>
                <w:rFonts w:hint="default" w:ascii="Times New Roman" w:hAnsi="Times New Roman"/>
                <w:color w:val="000000"/>
                <w:shd w:val="clear" w:color="auto" w:fill="FFFFFF"/>
              </w:rPr>
            </w:pPr>
            <w:r>
              <w:rPr>
                <w:rFonts w:hint="default" w:ascii="Times New Roman" w:hAnsi="Times New Roman" w:eastAsia="Helvetica"/>
                <w:color w:val="000000"/>
                <w:shd w:val="clear" w:color="auto" w:fill="FFFFFF"/>
              </w:rPr>
              <w:t>答：您好！公司将进一步强化供应链体系各环节的技术协同，在切实保障产品品质的基础上，通过了部分国产封装材料、基板板材等上游原材料的认证，持续提升供应链弹性，持续推进降本增效，保障业务的连续性，增强市场竞争力。报告期内，公司不断完善数字化管理流程，持续提升对客户服务能力及需求响应速度。此外，公司深度拓展“海外+国产”双供应链合作，支持海内外业务多元化协同发展。</w:t>
            </w:r>
            <w:r>
              <w:rPr>
                <w:rFonts w:ascii="Times New Roman" w:hAnsi="Times New Roman"/>
                <w:color w:val="000000"/>
                <w:shd w:val="clear" w:color="auto" w:fill="FFFFFF"/>
              </w:rPr>
              <w:t>谢谢！</w:t>
            </w:r>
          </w:p>
          <w:p w14:paraId="06F0FE65">
            <w:pPr>
              <w:rPr>
                <w:szCs w:val="24"/>
              </w:rPr>
            </w:pPr>
          </w:p>
        </w:tc>
      </w:tr>
      <w:tr w14:paraId="140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5F55335">
            <w:pPr>
              <w:jc w:val="center"/>
              <w:rPr>
                <w:b/>
                <w:bCs/>
                <w:szCs w:val="24"/>
              </w:rPr>
            </w:pPr>
            <w:r>
              <w:rPr>
                <w:rFonts w:hint="eastAsia"/>
                <w:b/>
                <w:bCs/>
                <w:szCs w:val="24"/>
              </w:rPr>
              <w:t>关于本次活动是否涉及应当披露重大信息的说明</w:t>
            </w:r>
          </w:p>
        </w:tc>
        <w:tc>
          <w:tcPr>
            <w:tcW w:w="5891" w:type="dxa"/>
            <w:vAlign w:val="center"/>
          </w:tcPr>
          <w:p w14:paraId="3F86087F">
            <w:pPr>
              <w:jc w:val="center"/>
              <w:rPr>
                <w:szCs w:val="24"/>
              </w:rPr>
            </w:pPr>
            <w:r>
              <w:rPr>
                <w:rFonts w:hint="eastAsia"/>
                <w:bCs/>
                <w:iCs/>
              </w:rPr>
              <w:t>本次活动不涉及应当披露重大信息。</w:t>
            </w:r>
          </w:p>
        </w:tc>
      </w:tr>
      <w:tr w14:paraId="6B61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05" w:type="dxa"/>
            <w:vAlign w:val="center"/>
          </w:tcPr>
          <w:p w14:paraId="40278F29">
            <w:pPr>
              <w:jc w:val="center"/>
              <w:rPr>
                <w:b/>
                <w:bCs/>
                <w:szCs w:val="24"/>
              </w:rPr>
            </w:pPr>
            <w:r>
              <w:rPr>
                <w:rFonts w:hint="eastAsia"/>
                <w:b/>
                <w:bCs/>
                <w:szCs w:val="24"/>
              </w:rPr>
              <w:t>附件清单（如有）</w:t>
            </w:r>
          </w:p>
        </w:tc>
        <w:tc>
          <w:tcPr>
            <w:tcW w:w="5891" w:type="dxa"/>
            <w:vAlign w:val="center"/>
          </w:tcPr>
          <w:p w14:paraId="7AC0C83D">
            <w:pPr>
              <w:jc w:val="center"/>
              <w:rPr>
                <w:szCs w:val="24"/>
              </w:rPr>
            </w:pPr>
          </w:p>
        </w:tc>
      </w:tr>
      <w:tr w14:paraId="79A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05" w:type="dxa"/>
            <w:vAlign w:val="center"/>
          </w:tcPr>
          <w:p w14:paraId="35917F9D">
            <w:pPr>
              <w:jc w:val="center"/>
              <w:rPr>
                <w:b/>
                <w:bCs/>
                <w:szCs w:val="24"/>
              </w:rPr>
            </w:pPr>
            <w:r>
              <w:rPr>
                <w:rFonts w:hint="eastAsia"/>
                <w:b/>
                <w:bCs/>
                <w:szCs w:val="24"/>
              </w:rPr>
              <w:t>日期</w:t>
            </w:r>
          </w:p>
        </w:tc>
        <w:tc>
          <w:tcPr>
            <w:tcW w:w="5891" w:type="dxa"/>
            <w:vAlign w:val="center"/>
          </w:tcPr>
          <w:p w14:paraId="552ACB70">
            <w:pPr>
              <w:jc w:val="center"/>
              <w:rPr>
                <w:szCs w:val="24"/>
              </w:rPr>
            </w:pPr>
            <w:r>
              <w:rPr>
                <w:rFonts w:hint="eastAsia"/>
                <w:szCs w:val="24"/>
              </w:rPr>
              <w:t>2</w:t>
            </w:r>
            <w:r>
              <w:rPr>
                <w:szCs w:val="24"/>
              </w:rPr>
              <w:t>026</w:t>
            </w:r>
            <w:r>
              <w:rPr>
                <w:rFonts w:hint="eastAsia"/>
                <w:szCs w:val="24"/>
              </w:rPr>
              <w:t>年5月15日</w:t>
            </w:r>
          </w:p>
        </w:tc>
      </w:tr>
    </w:tbl>
    <w:p w14:paraId="198A44CA">
      <w:pPr>
        <w:spacing w:line="360" w:lineRule="auto"/>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975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97B8D"/>
    <w:rsid w:val="000A6373"/>
    <w:rsid w:val="000B4B7A"/>
    <w:rsid w:val="000B61FC"/>
    <w:rsid w:val="000C222B"/>
    <w:rsid w:val="000C323C"/>
    <w:rsid w:val="000D2872"/>
    <w:rsid w:val="000E1009"/>
    <w:rsid w:val="00111B33"/>
    <w:rsid w:val="00116765"/>
    <w:rsid w:val="001435A0"/>
    <w:rsid w:val="00171B17"/>
    <w:rsid w:val="00183467"/>
    <w:rsid w:val="001F0F88"/>
    <w:rsid w:val="001F7FA8"/>
    <w:rsid w:val="00201F6A"/>
    <w:rsid w:val="0020500F"/>
    <w:rsid w:val="00223372"/>
    <w:rsid w:val="002313F6"/>
    <w:rsid w:val="00273D47"/>
    <w:rsid w:val="002A0318"/>
    <w:rsid w:val="002B7D00"/>
    <w:rsid w:val="002D0603"/>
    <w:rsid w:val="002F7FD4"/>
    <w:rsid w:val="00321F61"/>
    <w:rsid w:val="003363A9"/>
    <w:rsid w:val="00356D2B"/>
    <w:rsid w:val="003573D3"/>
    <w:rsid w:val="00357CEA"/>
    <w:rsid w:val="00377B35"/>
    <w:rsid w:val="00395746"/>
    <w:rsid w:val="003A3A46"/>
    <w:rsid w:val="003F3C92"/>
    <w:rsid w:val="003F7083"/>
    <w:rsid w:val="004151DD"/>
    <w:rsid w:val="004207C0"/>
    <w:rsid w:val="00422248"/>
    <w:rsid w:val="00430633"/>
    <w:rsid w:val="00440618"/>
    <w:rsid w:val="004754E9"/>
    <w:rsid w:val="004941C1"/>
    <w:rsid w:val="004C15FD"/>
    <w:rsid w:val="004E40CA"/>
    <w:rsid w:val="004F3884"/>
    <w:rsid w:val="00513BB5"/>
    <w:rsid w:val="0052304C"/>
    <w:rsid w:val="00527C88"/>
    <w:rsid w:val="005B2F16"/>
    <w:rsid w:val="005E1795"/>
    <w:rsid w:val="005F4792"/>
    <w:rsid w:val="00606CFC"/>
    <w:rsid w:val="0061404B"/>
    <w:rsid w:val="006A3406"/>
    <w:rsid w:val="006D4276"/>
    <w:rsid w:val="006E21BD"/>
    <w:rsid w:val="006F3731"/>
    <w:rsid w:val="00700D3E"/>
    <w:rsid w:val="0070403A"/>
    <w:rsid w:val="0071177D"/>
    <w:rsid w:val="00717E52"/>
    <w:rsid w:val="0072163B"/>
    <w:rsid w:val="00750A58"/>
    <w:rsid w:val="00773E29"/>
    <w:rsid w:val="007A4592"/>
    <w:rsid w:val="007C3594"/>
    <w:rsid w:val="007D58DF"/>
    <w:rsid w:val="007E46D5"/>
    <w:rsid w:val="00840295"/>
    <w:rsid w:val="0085678F"/>
    <w:rsid w:val="008606C6"/>
    <w:rsid w:val="00871F27"/>
    <w:rsid w:val="00880942"/>
    <w:rsid w:val="0088108C"/>
    <w:rsid w:val="009411C3"/>
    <w:rsid w:val="00975BE0"/>
    <w:rsid w:val="009D033F"/>
    <w:rsid w:val="009F4679"/>
    <w:rsid w:val="00A224B7"/>
    <w:rsid w:val="00A300B7"/>
    <w:rsid w:val="00A532C5"/>
    <w:rsid w:val="00A84C68"/>
    <w:rsid w:val="00A97013"/>
    <w:rsid w:val="00AD2689"/>
    <w:rsid w:val="00B05ABA"/>
    <w:rsid w:val="00B4093F"/>
    <w:rsid w:val="00B42FDE"/>
    <w:rsid w:val="00B4428E"/>
    <w:rsid w:val="00B71EE6"/>
    <w:rsid w:val="00B7533A"/>
    <w:rsid w:val="00B91E28"/>
    <w:rsid w:val="00B931C7"/>
    <w:rsid w:val="00BD41A1"/>
    <w:rsid w:val="00BD7ACE"/>
    <w:rsid w:val="00C45133"/>
    <w:rsid w:val="00C4634E"/>
    <w:rsid w:val="00CA459F"/>
    <w:rsid w:val="00CD76E0"/>
    <w:rsid w:val="00D81EDC"/>
    <w:rsid w:val="00DA15A9"/>
    <w:rsid w:val="00DA5797"/>
    <w:rsid w:val="00DB5EF6"/>
    <w:rsid w:val="00DC0644"/>
    <w:rsid w:val="00DC5E46"/>
    <w:rsid w:val="00DE0EC7"/>
    <w:rsid w:val="00E216A7"/>
    <w:rsid w:val="00E55E15"/>
    <w:rsid w:val="00E8062E"/>
    <w:rsid w:val="00E9000F"/>
    <w:rsid w:val="00ED1368"/>
    <w:rsid w:val="00ED5DBF"/>
    <w:rsid w:val="00EF01BC"/>
    <w:rsid w:val="00F27AAB"/>
    <w:rsid w:val="00F34574"/>
    <w:rsid w:val="00F81C72"/>
    <w:rsid w:val="00FF58C9"/>
    <w:rsid w:val="02FE0293"/>
    <w:rsid w:val="0A095B6A"/>
    <w:rsid w:val="0EF22EDE"/>
    <w:rsid w:val="1ECC0FF5"/>
    <w:rsid w:val="1F0D7FDF"/>
    <w:rsid w:val="1FAE5A3B"/>
    <w:rsid w:val="2B42499D"/>
    <w:rsid w:val="33D90F0B"/>
    <w:rsid w:val="35056ABF"/>
    <w:rsid w:val="408E3038"/>
    <w:rsid w:val="48192F0A"/>
    <w:rsid w:val="49DD1D6D"/>
    <w:rsid w:val="4B5D0A9C"/>
    <w:rsid w:val="4D2F15CC"/>
    <w:rsid w:val="4F90441B"/>
    <w:rsid w:val="60F2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批注框文本 字符"/>
    <w:basedOn w:val="10"/>
    <w:link w:val="3"/>
    <w:semiHidden/>
    <w:qFormat/>
    <w:uiPriority w:val="99"/>
    <w:rPr>
      <w:rFonts w:ascii="Times New Roman" w:hAnsi="Times New Roman" w:eastAsia="宋体"/>
      <w:sz w:val="18"/>
      <w:szCs w:val="18"/>
    </w:rPr>
  </w:style>
  <w:style w:type="character" w:customStyle="1" w:styleId="14">
    <w:name w:val="页眉 字符"/>
    <w:basedOn w:val="10"/>
    <w:link w:val="5"/>
    <w:qFormat/>
    <w:uiPriority w:val="99"/>
    <w:rPr>
      <w:rFonts w:ascii="Times New Roman" w:hAnsi="Times New Roman" w:eastAsia="宋体"/>
      <w:sz w:val="18"/>
      <w:szCs w:val="18"/>
    </w:rPr>
  </w:style>
  <w:style w:type="character" w:customStyle="1" w:styleId="15">
    <w:name w:val="页脚 字符"/>
    <w:basedOn w:val="10"/>
    <w:link w:val="4"/>
    <w:qFormat/>
    <w:uiPriority w:val="99"/>
    <w:rPr>
      <w:rFonts w:ascii="Times New Roman" w:hAnsi="Times New Roman" w:eastAsia="宋体"/>
      <w:sz w:val="18"/>
      <w:szCs w:val="18"/>
    </w:rPr>
  </w:style>
  <w:style w:type="character" w:customStyle="1" w:styleId="16">
    <w:name w:val="批注文字 字符"/>
    <w:basedOn w:val="10"/>
    <w:link w:val="2"/>
    <w:qFormat/>
    <w:uiPriority w:val="99"/>
    <w:rPr>
      <w:rFonts w:cstheme="minorBidi"/>
      <w:kern w:val="2"/>
      <w:sz w:val="24"/>
      <w:szCs w:val="22"/>
    </w:rPr>
  </w:style>
  <w:style w:type="character" w:customStyle="1" w:styleId="17">
    <w:name w:val="批注主题 字符"/>
    <w:basedOn w:val="16"/>
    <w:link w:val="7"/>
    <w:semiHidden/>
    <w:qFormat/>
    <w:uiPriority w:val="99"/>
    <w:rPr>
      <w:rFonts w:cstheme="minorBidi"/>
      <w:b/>
      <w:bCs/>
      <w:kern w:val="2"/>
      <w:sz w:val="24"/>
      <w:szCs w:val="22"/>
    </w:rPr>
  </w:style>
  <w:style w:type="paragraph" w:customStyle="1" w:styleId="18">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19">
    <w:name w:val="Revision"/>
    <w:hidden/>
    <w:unhideWhenUsed/>
    <w:qFormat/>
    <w:uiPriority w:val="99"/>
    <w:rPr>
      <w:rFonts w:ascii="Times New Roman" w:hAnsi="Times New Roman" w:eastAsia="宋体" w:cstheme="minorBidi"/>
      <w:kern w:val="2"/>
      <w:sz w:val="24"/>
      <w:szCs w:val="22"/>
      <w:lang w:val="en-US" w:eastAsia="zh-CN" w:bidi="ar-SA"/>
    </w:rPr>
  </w:style>
</w:styles>
</file>

<file path=word/_rels/document.xml.rels>&#65279;<?xml version="1.0" encoding="utf-8"?><Relationships xmlns="http://schemas.openxmlformats.org/package/2006/relationships"><Relationship Type="http://schemas.openxmlformats.org/officeDocument/2006/relationships/fontTable" Target="fontTable.xml" Id="rId6" /><Relationship Type="http://schemas.openxmlformats.org/officeDocument/2006/relationships/customXml" Target="../customXml/item1.xml" Id="rId5" /><Relationship Type="http://schemas.openxmlformats.org/officeDocument/2006/relationships/theme" Target="theme/theme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2909</Words>
  <Characters>3108</Characters>
  <Lines>23</Lines>
  <Paragraphs>6</Paragraphs>
  <TotalTime>33</TotalTime>
  <ScaleCrop>false</ScaleCrop>
  <LinksUpToDate>false</LinksUpToDate>
  <CharactersWithSpaces>3217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2026-05-15T09:03:00Z</dcterms:created>
  <dc:creator>荣大-李雷</dc:creator>
  <cp:lastModifiedBy>Rita</cp:lastModifiedBy>
  <dcterms:modified xsi:type="dcterms:W3CDTF">2026-05-15T09:36:19Z</dcterms:modified>
  <cp:revision>4</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2052-12.1.0.25865</vt:lpwstr>
  </op:property>
  <op:property fmtid="{D5CDD505-2E9C-101B-9397-08002B2CF9AE}" pid="3" name="ICV">
    <vt:lpwstr>CE82EE54DEAC4F04B9748400861922FB_13</vt:lpwstr>
  </op:property>
  <op:property fmtid="{D5CDD505-2E9C-101B-9397-08002B2CF9AE}" pid="4" name="KSOTemplateDocerSaveRecord">
    <vt:lpwstr>eyJoZGlkIjoiMzg2MGFlNzA4YTY2NGIxYTNmOWVmNmY3YTI5OWMxZGQiLCJ1c2VySWQiOiI5ODUwOTIxMTQifQ==</vt:lpwstr>
  </op:property>
  <op:property fmtid="{D5CDD505-2E9C-101B-9397-08002B2CF9AE}" pid="5" name="_IPGFID">
    <vt:lpwstr>[DocID]=7364E7FA-B6AC-44B8-A7AF-981DAC026463</vt:lpwstr>
  </op:property>
  <op:property fmtid="{D5CDD505-2E9C-101B-9397-08002B2CF9AE}" pid="6" name="_IPGFLOW_P-846A_E-1_FP-1_SP-1_CV-70142AE6_CN-2D7FDE03">
    <vt:lpwstr>x1FI1iKnTISZC5VprRp16YiBUAdV52ALrD1PeH27Rpdac++0tippbaye/MeiYSzjuJgr46Wnz4LzNP2UtBJzzMAm2+juCiYc/MrLOVRft+l9t9NdVqVaCfnrGMNkjLDGXxw7PZXxvDSucRTd7bLTYlf5pZaVXiHF8N/eQsT1TfoMER4F3P/nympIKBwVGbMHaoejmFZktMOweXUQaylhv6KoL5nbinDG7hkj8c7g8O6MhjObFX7+bPvNqdTkhhj</vt:lpwstr>
  </op:property>
  <op:property fmtid="{D5CDD505-2E9C-101B-9397-08002B2CF9AE}" pid="7" name="_IPGFLOW_P-846A_E-1_FP-1_SP-2_CV-4C0E9E94_CN-71D81D49">
    <vt:lpwstr>YNobE7AbOzoo7IP3ORdo0nDTXsajMzFfqAXjUVnf//Z8Xj2FmhMIqB7d0qcqOTIa97XcZ0N3sz83f13Qz/0nq1b7/N8rBFsi/b2HAWoy/hfzRDFz6tYrkLNRqCpRwiz6e</vt:lpwstr>
  </op:property>
  <op:property fmtid="{D5CDD505-2E9C-101B-9397-08002B2CF9AE}" pid="8" name="_IPGFLOW_P-846A_E-0_FP-1_CV-1748F583_CN-7C72998D">
    <vt:lpwstr>DPSPMK|3|384|2|0</vt:lpwstr>
  </op:property>
  <op:property fmtid="{D5CDD505-2E9C-101B-9397-08002B2CF9AE}" pid="9" name="_IPGFLOW_P-846A_E-1_FP-2_SP-1_CV-DA22933A_CN-919DC853">
    <vt:lpwstr>x1FI1iKnTISZC5VprRp16eRdzAAoB8uogNLMt+ZcIzE2VefP5PbMFEVsfTTzXKXJzuP+U8aXXtyHDtqF7nulCm/76IuvTBZGrknOOf+XISP1xdm4yJBF5r+vP+clad2stLiRishBLqbH7Oa9mt54MQE+6xwnDb0cD9423IgSlTAAtS5xU4JCgft/OVzbIiGYro20uXkBn90dCwnyYELHHDm/h5bYSTVvYBDR2Llr5EfOcK19PJUOsXJljD3TyK8</vt:lpwstr>
  </op:property>
  <op:property fmtid="{D5CDD505-2E9C-101B-9397-08002B2CF9AE}" pid="10" name="_IPGFLOW_P-846A_E-1_FP-2_SP-2_CV-F451EBE_CN-3F1C95F6">
    <vt:lpwstr>mzaP1LqaB/S5sLnBMjL/JkilDfxekLZ4tQIT3Wql2QOBl0LDBDpHENQ4I9hfQJSfq4h6B1o7z2VHujO2pAfJ6Fr666vtS2XhZY+Eo4Ds/DQ7PAEEIzjPyPqgErp+vDq8X</vt:lpwstr>
  </op:property>
  <op:property fmtid="{D5CDD505-2E9C-101B-9397-08002B2CF9AE}" pid="11" name="_IPGFLOW_P-846A_E-0_FP-2_CV-1748F583_CN-C1B8F543">
    <vt:lpwstr>DPSPMK|3|384|2|0</vt:lpwstr>
  </op:property>
  <op:property fmtid="{D5CDD505-2E9C-101B-9397-08002B2CF9AE}" pid="12" name="_IPGFLOW_P-846A_E-1_FP-3_SP-1_CV-6A9DF277_CN-637BC603">
    <vt:lpwstr>x1FI1iKnTISZC5VprRp16S+Rhd0HU9hpVcXqLOe0z4xOb1KX5JVP3TWZ7dp4eISU803DBl7VQxb3Gfr386tAVuWr0+V5yoGsPNcQ1qXsdzuAc2YMCWaQ91fQg0su9JrPYz7OC2KgIs0hrJnWtHXStF/mB+XBzf4JsiOxtBg+ETx264XETkcPJ9d3ZRqglTrg5SRoHRVt6echKSLuU67bgQOlEtZN6tBszsZkqDXN1+Crl0ugK2+lgMflMDgWCpl</vt:lpwstr>
  </op:property>
  <op:property fmtid="{D5CDD505-2E9C-101B-9397-08002B2CF9AE}" pid="13" name="_IPGFLOW_P-846A_E-1_FP-3_SP-2_CV-D8DFF8B6_CN-AC90DC54">
    <vt:lpwstr>/blrxAHcPTCBLVsW+Bksl+ANF/b3JLA5jQ4C8mMAKbVSMPflXn4lDgDXLgDogWpIeMk3CPks46UOG3LQU10yrWLUgBfTj3lmKUmBD8NkZrsBymJNeUpaS2wiXBJ2Mt64i</vt:lpwstr>
  </op:property>
  <op:property fmtid="{D5CDD505-2E9C-101B-9397-08002B2CF9AE}" pid="14" name="_IPGFLOW_P-846A_E-0_FP-3_CV-1748F583_CN-1C2E2CC6">
    <vt:lpwstr>DPSPMK|3|384|2|0</vt:lpwstr>
  </op:property>
  <op:property fmtid="{D5CDD505-2E9C-101B-9397-08002B2CF9AE}" pid="15" name="_IPGFLOW_P-846A_E-1_FP-4_SP-1_CV-7CFC6AF_CN-28593090">
    <vt:lpwstr>x1FI1iKnTISZC5VprRp16aCGbHdZg7cXVlr94Wcr82jUoZmcu14n7kjAOnP0CHUjTL9y1JMo7hGPTF9XU89ZR+YQD1y4rCd1G2WYuT5N3bHVs2jxeYrKvk7ZN7nDR7h08JcJq0ZvOlKkANcHwNgNEV47Y+FA6g1L+iorJVKxRJRBj7rZRT70DOuh1XS95ofPpxs80Cls7s7ouDphRTuPO7ElofZuuaARm2ADrLSOD6EYG+CHtIgGHvVQlgGSgpg</vt:lpwstr>
  </op:property>
  <op:property fmtid="{D5CDD505-2E9C-101B-9397-08002B2CF9AE}" pid="16" name="_IPGFLOW_P-846A_E-1_FP-4_SP-2_CV-EBC57F37_CN-A6B409EE">
    <vt:lpwstr>4XWLKogJcoXaw3Qy/FlGbRXsyXmZmGe6B0FXJEKLDrkOUGlD3Jkr/pq+8xx5OR+HojfH+hKMycBgcfBVKkA47pybseMBu3kPmEqfzjjrOQ/h6QccZPWyCq+KHTNn4zK1l</vt:lpwstr>
  </op:property>
  <op:property fmtid="{D5CDD505-2E9C-101B-9397-08002B2CF9AE}" pid="17" name="_IPGFLOW_P-846A_E-0_FP-4_CV-1748F583_CN-615D2A9E">
    <vt:lpwstr>DPSPMK|3|384|2|0</vt:lpwstr>
  </op:property>
  <op:property fmtid="{D5CDD505-2E9C-101B-9397-08002B2CF9AE}" pid="18" name="_IPGFLOW_P-846A_E-1_FP-5_SP-1_CV-7A6750EB_CN-A9E11709">
    <vt:lpwstr>uSlQyGhtTOVA4YD2kaB67vgeU3B4IUqClh5ID54inCSQPGPcntX5xtTG8t7wdoS3ik+MYgyZcOsjK5SyJeNgrHg3X48xIexJZI3SQ0/Yw1g5p62BxE38ocpO/M+blh9lP12sEMpbk/JctYpUgmD8+ea3qPhoEYZ06jEfqFP4C8J47U0HIXFkAE0piiHod1Tfgyyzx9DCB+csOC8ATTb1gtidSKkBH5g4jL286x5tS5o2vOqtTlWr8oUlYNs4PvW</vt:lpwstr>
  </op:property>
  <op:property fmtid="{D5CDD505-2E9C-101B-9397-08002B2CF9AE}" pid="19" name="_IPGFLOW_P-846A_E-1_FP-5_SP-2_CV-2C4ECE8E_CN-1D15B1CD">
    <vt:lpwstr>ioHeNllUeiC0jQCfMGYJVTKCjgvWWs7+0T4z6KUgwlC0Q/aOQr4ZPxsociMkd9YaweVGwSBuEiAXKoGC36l/BrASiOfPLRkFhlv4vKcYAgfZoGpIln+U1ZLRO0Ya84A47</vt:lpwstr>
  </op:property>
  <op:property fmtid="{D5CDD505-2E9C-101B-9397-08002B2CF9AE}" pid="20" name="_IPGFLOW_P-846A_E-0_FP-5_CV-1748F583_CN-BCCBF31B">
    <vt:lpwstr>DPSPMK|3|384|2|0</vt:lpwstr>
  </op:property>
  <op:property fmtid="{D5CDD505-2E9C-101B-9397-08002B2CF9AE}" pid="21" name="_IPGFLOW_P-846A_E-1_FP-6_SP-1_CV-C23990DB_CN-ACD3E9C">
    <vt:lpwstr>ZnY6C1W8s1OV9mI1cpK0vI0BgMyvIqlyCJR9kOcGYizm1vdZloJbwnCabYtuyLpE4kGemepE4XF08eXK+CNHiG1z1yGxfl4zbdQ2EyBhjhzu7+mtsJoohUXs0gOWCoO5PUS4rYkmYZgSbV4RSPDuSbjc19/oYEY00QCoe9NPihp1CObNas2kBzQrSNbmacIlHaH3quKEXaJJipI9N8ephzCsgz9i+SXd1wHT4es7jaK3KGuWwdqYZGLjs1lmuPI</vt:lpwstr>
  </op:property>
  <op:property fmtid="{D5CDD505-2E9C-101B-9397-08002B2CF9AE}" pid="22" name="_IPGFLOW_P-846A_E-1_FP-6_SP-2_CV-CD231AA2_CN-4A6D3B6">
    <vt:lpwstr>/lYXM9N+sUyYKlml8zxu6DQgHmxZrnVfnWFFeAQtv7P9oD+LFnquEyR49/xdrRTmxQOlK9v+EeUp2sX6Adrsi4Q/wm6b8r1gGSkX4tUWPgKMk5Oa1Upczk1cdCVAn653k</vt:lpwstr>
  </op:property>
  <op:property fmtid="{D5CDD505-2E9C-101B-9397-08002B2CF9AE}" pid="23" name="_IPGFLOW_P-846A_E-0_FP-6_CV-1748F583_CN-1019FD5">
    <vt:lpwstr>DPSPMK|3|384|2|0</vt:lpwstr>
  </op:property>
  <op:property fmtid="{D5CDD505-2E9C-101B-9397-08002B2CF9AE}" pid="24" name="_IPGLAB_P-846A_E-1_CV-C0770016_CN-31AE2536">
    <vt:lpwstr>PPT2H94ElFFix9989aKgZVnWYop6JOC2iOki5hro8vdoY/Dk4JNe9ahIsNDPn7PutI1zF+HaOUEVSoJ20bxOPGwNsJHYkuXSBaQv48CO5tQ=</vt:lpwstr>
  </op:property>
  <op:property fmtid="{D5CDD505-2E9C-101B-9397-08002B2CF9AE}" pid="25" name="_IPGFLOW_P-846A_E-0_CV-8CDF705E_CN-7D2D8EA7">
    <vt:lpwstr>DPFPMK|3|50|7|0</vt:lpwstr>
  </op:property>
  <op:property fmtid="{D5CDD505-2E9C-101B-9397-08002B2CF9AE}" pid="26" name="_IPGFLOW_P-846A_E-1_FP-7_SP-1_CV-D091BE95_CN-53DA96E8">
    <vt:lpwstr>ZnY6C1W8s1OV9mI1cpK0vAvE7fPjgLK6jmAss1YNjViBR4LhuT+ZaAn3gDtIFCo7BEXhsw6LkXxHU7rcFC4LfK/lVNn0feAlvvMn9aiON/jZwAa8LzuqOWF3YutTEu+7lCSq7IAY34MGOcWrAJhEC6ea1iy6VT2ncPauiSL961KA2t/Xo9CgoEC+CA/FM6/gJwTc2L3UjUlk8/iDQycyTkCqPbzjxC7ZjEeve9EoLAcosj/YFTicbhgjuc9tmA3</vt:lpwstr>
  </op:property>
  <op:property fmtid="{D5CDD505-2E9C-101B-9397-08002B2CF9AE}" pid="27" name="_IPGFLOW_P-846A_E-1_FP-7_SP-2_CV-9ADED250_CN-80BE6762">
    <vt:lpwstr>vy81rYDBDHP1ONYMnoSNkif1+sbFLhaprKKZ96tYPSc+5RqlhpnneBXihl7OMwzk7k2ptxSlVmzj8LajUc6eU9lZLvhwqodvXb3SyS9EzDwZMvaxxRhIOHiAXgJEJp+4U</vt:lpwstr>
  </op:property>
  <op:property fmtid="{D5CDD505-2E9C-101B-9397-08002B2CF9AE}" pid="28" name="_IPGFLOW_P-846A_E-0_FP-7_CV-1748F583_CN-DC974650">
    <vt:lpwstr>DPSPMK|3|384|2|0</vt:lpwstr>
  </op:property>
</op:Properties>
</file>