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9F8D0" w14:textId="4D75C430" w:rsidR="00053498" w:rsidRDefault="00000000">
      <w:pPr>
        <w:jc w:val="both"/>
      </w:pPr>
      <w:r>
        <w:t>证券代码：</w:t>
      </w:r>
      <w:r>
        <w:t>688818</w:t>
      </w:r>
      <w:r>
        <w:tab/>
      </w:r>
      <w:r w:rsidR="00564B47">
        <w:rPr>
          <w:rFonts w:hint="eastAsia"/>
        </w:rPr>
        <w:t xml:space="preserve"> </w:t>
      </w:r>
      <w:r w:rsidR="00564B47">
        <w:tab/>
      </w:r>
      <w:r w:rsidR="00564B47">
        <w:tab/>
      </w:r>
      <w:r w:rsidR="00564B47">
        <w:tab/>
      </w:r>
      <w:r w:rsidR="00564B47">
        <w:tab/>
      </w:r>
      <w:r w:rsidR="00564B47">
        <w:tab/>
      </w:r>
      <w:r w:rsidR="00564B47">
        <w:tab/>
      </w:r>
      <w:r w:rsidR="00564B47">
        <w:tab/>
      </w:r>
      <w:r w:rsidR="00564B47">
        <w:tab/>
      </w:r>
      <w:r w:rsidR="00564B47">
        <w:tab/>
      </w:r>
      <w:r w:rsidR="00564B47">
        <w:tab/>
      </w:r>
      <w:r w:rsidR="00564B47">
        <w:tab/>
      </w:r>
      <w:r>
        <w:t>证券简称：电科蓝天</w:t>
      </w:r>
    </w:p>
    <w:p w14:paraId="5A2AFE74" w14:textId="77777777" w:rsidR="00053498" w:rsidRDefault="00000000">
      <w:pPr>
        <w:spacing w:before="200" w:after="100"/>
        <w:jc w:val="center"/>
      </w:pPr>
      <w:r>
        <w:rPr>
          <w:rFonts w:eastAsia="黑体"/>
          <w:b/>
          <w:sz w:val="36"/>
        </w:rPr>
        <w:t>中电科蓝天科技股份有限公司</w:t>
      </w:r>
    </w:p>
    <w:p w14:paraId="3E709F80" w14:textId="77777777" w:rsidR="00053498" w:rsidRDefault="00000000">
      <w:pPr>
        <w:spacing w:after="100"/>
        <w:jc w:val="center"/>
      </w:pPr>
      <w:r>
        <w:rPr>
          <w:rFonts w:eastAsia="黑体"/>
          <w:b/>
          <w:sz w:val="36"/>
        </w:rPr>
        <w:t>投资者关系活动记录表</w:t>
      </w:r>
    </w:p>
    <w:p w14:paraId="01A3D8E8" w14:textId="77777777" w:rsidR="00053498" w:rsidRDefault="00000000">
      <w:pPr>
        <w:spacing w:after="200"/>
        <w:jc w:val="right"/>
      </w:pPr>
      <w:r>
        <w:t>编号：</w:t>
      </w:r>
      <w:r>
        <w:t>IR-REC-20260515</w:t>
      </w:r>
    </w:p>
    <w:tbl>
      <w:tblPr>
        <w:tblW w:w="5000" w:type="pc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608"/>
        <w:gridCol w:w="7438"/>
      </w:tblGrid>
      <w:tr w:rsidR="00053498" w14:paraId="2B0A5C2D" w14:textId="77777777" w:rsidTr="00582156">
        <w:tc>
          <w:tcPr>
            <w:tcW w:w="1608" w:type="dxa"/>
            <w:vAlign w:val="center"/>
          </w:tcPr>
          <w:p w14:paraId="05C4E2E0" w14:textId="77777777" w:rsidR="00053498" w:rsidRDefault="00000000">
            <w:pPr>
              <w:spacing w:before="60" w:after="60"/>
              <w:jc w:val="center"/>
            </w:pPr>
            <w:r>
              <w:t>投资者关系活</w:t>
            </w:r>
          </w:p>
          <w:p w14:paraId="6D404D64" w14:textId="77777777" w:rsidR="00053498" w:rsidRDefault="00000000">
            <w:pPr>
              <w:spacing w:after="60"/>
              <w:jc w:val="center"/>
            </w:pPr>
            <w:r>
              <w:t>动类别</w:t>
            </w:r>
          </w:p>
        </w:tc>
        <w:tc>
          <w:tcPr>
            <w:tcW w:w="7438" w:type="dxa"/>
            <w:vAlign w:val="center"/>
          </w:tcPr>
          <w:p w14:paraId="56E5EC7F" w14:textId="77777777" w:rsidR="00053498" w:rsidRDefault="00000000">
            <w:pPr>
              <w:tabs>
                <w:tab w:val="left" w:pos="3600"/>
              </w:tabs>
              <w:spacing w:before="40" w:after="40" w:line="320" w:lineRule="auto"/>
            </w:pPr>
            <w:r>
              <w:t>□</w:t>
            </w:r>
            <w:r>
              <w:t>特定对象调研</w:t>
            </w:r>
            <w:r>
              <w:tab/>
              <w:t>□</w:t>
            </w:r>
            <w:r>
              <w:t>分析师会议</w:t>
            </w:r>
          </w:p>
          <w:p w14:paraId="4DAEA5C5" w14:textId="77777777" w:rsidR="00053498" w:rsidRDefault="00000000">
            <w:pPr>
              <w:tabs>
                <w:tab w:val="left" w:pos="3600"/>
              </w:tabs>
              <w:spacing w:before="40" w:after="40" w:line="320" w:lineRule="auto"/>
            </w:pPr>
            <w:r>
              <w:t>□</w:t>
            </w:r>
            <w:r>
              <w:t>媒体采访</w:t>
            </w:r>
            <w:r>
              <w:tab/>
              <w:t>□</w:t>
            </w:r>
            <w:r>
              <w:t>业绩说明会</w:t>
            </w:r>
          </w:p>
          <w:p w14:paraId="401A440B" w14:textId="77777777" w:rsidR="00053498" w:rsidRDefault="00000000">
            <w:pPr>
              <w:tabs>
                <w:tab w:val="left" w:pos="3600"/>
              </w:tabs>
              <w:spacing w:before="40" w:after="40" w:line="320" w:lineRule="auto"/>
            </w:pPr>
            <w:r>
              <w:t>□</w:t>
            </w:r>
            <w:r>
              <w:t>新闻发布会</w:t>
            </w:r>
            <w:r>
              <w:tab/>
              <w:t>□</w:t>
            </w:r>
            <w:r>
              <w:t>路演活动</w:t>
            </w:r>
          </w:p>
          <w:p w14:paraId="4AB12CCB" w14:textId="77777777" w:rsidR="00053498" w:rsidRDefault="00000000">
            <w:pPr>
              <w:tabs>
                <w:tab w:val="left" w:pos="3600"/>
              </w:tabs>
              <w:spacing w:before="40" w:after="40" w:line="320" w:lineRule="auto"/>
            </w:pPr>
            <w:r>
              <w:t>□</w:t>
            </w:r>
            <w:r>
              <w:t>现场参观</w:t>
            </w:r>
            <w:r>
              <w:tab/>
              <w:t>√</w:t>
            </w:r>
            <w:r>
              <w:t>券商策略会</w:t>
            </w:r>
          </w:p>
          <w:p w14:paraId="0A103693" w14:textId="77777777" w:rsidR="00053498" w:rsidRDefault="00000000">
            <w:pPr>
              <w:tabs>
                <w:tab w:val="left" w:pos="3600"/>
              </w:tabs>
              <w:spacing w:before="40" w:after="40" w:line="320" w:lineRule="auto"/>
            </w:pPr>
            <w:r>
              <w:t>□</w:t>
            </w:r>
            <w:r>
              <w:t>其他</w:t>
            </w:r>
          </w:p>
        </w:tc>
      </w:tr>
      <w:tr w:rsidR="00053498" w14:paraId="216188EB" w14:textId="77777777" w:rsidTr="00582156">
        <w:tc>
          <w:tcPr>
            <w:tcW w:w="1608" w:type="dxa"/>
            <w:vAlign w:val="center"/>
          </w:tcPr>
          <w:p w14:paraId="477EFBB8" w14:textId="77777777" w:rsidR="00053498" w:rsidRDefault="00000000">
            <w:pPr>
              <w:spacing w:before="60" w:after="60"/>
              <w:jc w:val="center"/>
            </w:pPr>
            <w:r>
              <w:t>参与单位名称</w:t>
            </w:r>
          </w:p>
        </w:tc>
        <w:tc>
          <w:tcPr>
            <w:tcW w:w="7438" w:type="dxa"/>
            <w:vAlign w:val="center"/>
          </w:tcPr>
          <w:p w14:paraId="6D8BA5B9" w14:textId="77777777" w:rsidR="00053498" w:rsidRDefault="00000000">
            <w:pPr>
              <w:spacing w:before="60" w:after="60"/>
            </w:pPr>
            <w:r>
              <w:t>东方国际、中国人寿资产管理、宏利基金、前海人寿、</w:t>
            </w:r>
            <w:r>
              <w:t>ARC AVENUE</w:t>
            </w:r>
            <w:r>
              <w:t>（</w:t>
            </w:r>
            <w:r>
              <w:t>IDG</w:t>
            </w:r>
            <w:r>
              <w:t>）、中睿合银、中银基金、乾元资产、信达澳亚、六妙星、北京测度、华商基金、国海富兰克林、墨钜资产、富达价值、平安基金、广发自营权益、建信养老、开源证券、朱雀基金、杉树资产、毅立集团、泰康人寿、混沌投资、红塔证券、西部证券、诺安基金、金鹰基金、首创证券等。</w:t>
            </w:r>
          </w:p>
        </w:tc>
      </w:tr>
      <w:tr w:rsidR="00053498" w14:paraId="68828D03" w14:textId="77777777" w:rsidTr="00582156">
        <w:tc>
          <w:tcPr>
            <w:tcW w:w="1608" w:type="dxa"/>
            <w:vAlign w:val="center"/>
          </w:tcPr>
          <w:p w14:paraId="35CE69A0" w14:textId="77777777" w:rsidR="00053498" w:rsidRDefault="00000000">
            <w:pPr>
              <w:spacing w:before="60" w:after="60"/>
              <w:jc w:val="center"/>
            </w:pPr>
            <w:r>
              <w:t>时间</w:t>
            </w:r>
          </w:p>
        </w:tc>
        <w:tc>
          <w:tcPr>
            <w:tcW w:w="7438" w:type="dxa"/>
            <w:vAlign w:val="center"/>
          </w:tcPr>
          <w:p w14:paraId="4AB6F930" w14:textId="77777777" w:rsidR="00053498" w:rsidRDefault="00000000">
            <w:pPr>
              <w:spacing w:before="60" w:after="60"/>
            </w:pPr>
            <w:r>
              <w:t>2026</w:t>
            </w:r>
            <w:r>
              <w:t>年</w:t>
            </w:r>
            <w:r>
              <w:t>5</w:t>
            </w:r>
            <w:r>
              <w:t>月</w:t>
            </w:r>
            <w:r>
              <w:t>13</w:t>
            </w:r>
            <w:r>
              <w:t>日</w:t>
            </w:r>
            <w:r>
              <w:t>-2026</w:t>
            </w:r>
            <w:r>
              <w:t>年</w:t>
            </w:r>
            <w:r>
              <w:t>5</w:t>
            </w:r>
            <w:r>
              <w:t>月</w:t>
            </w:r>
            <w:r>
              <w:t>15</w:t>
            </w:r>
            <w:r>
              <w:t>日</w:t>
            </w:r>
          </w:p>
        </w:tc>
      </w:tr>
      <w:tr w:rsidR="00582156" w14:paraId="5153F17F" w14:textId="77777777" w:rsidTr="00582156">
        <w:tc>
          <w:tcPr>
            <w:tcW w:w="1608" w:type="dxa"/>
            <w:vAlign w:val="center"/>
          </w:tcPr>
          <w:p w14:paraId="54E51EA8" w14:textId="30DB4BDD" w:rsidR="00582156" w:rsidRDefault="00582156">
            <w:pPr>
              <w:spacing w:before="60" w:after="60"/>
              <w:jc w:val="center"/>
            </w:pPr>
            <w:r>
              <w:rPr>
                <w:rFonts w:hint="eastAsia"/>
              </w:rPr>
              <w:t>地点</w:t>
            </w:r>
          </w:p>
        </w:tc>
        <w:tc>
          <w:tcPr>
            <w:tcW w:w="7438" w:type="dxa"/>
            <w:vAlign w:val="center"/>
          </w:tcPr>
          <w:p w14:paraId="74D60392" w14:textId="6B47571E" w:rsidR="00582156" w:rsidRDefault="00582156">
            <w:pPr>
              <w:spacing w:before="60" w:after="60"/>
            </w:pPr>
            <w:r>
              <w:rPr>
                <w:rFonts w:hint="eastAsia"/>
              </w:rPr>
              <w:t>杭州城中香格里拉大酒店</w:t>
            </w:r>
          </w:p>
        </w:tc>
      </w:tr>
      <w:tr w:rsidR="00053498" w14:paraId="14237789" w14:textId="77777777" w:rsidTr="00582156">
        <w:tc>
          <w:tcPr>
            <w:tcW w:w="1608" w:type="dxa"/>
            <w:vAlign w:val="center"/>
          </w:tcPr>
          <w:p w14:paraId="73689F7A" w14:textId="77777777" w:rsidR="00053498" w:rsidRDefault="00000000">
            <w:pPr>
              <w:spacing w:before="60" w:after="60"/>
              <w:jc w:val="center"/>
            </w:pPr>
            <w:r>
              <w:t>参与方式</w:t>
            </w:r>
          </w:p>
        </w:tc>
        <w:tc>
          <w:tcPr>
            <w:tcW w:w="7438" w:type="dxa"/>
            <w:vAlign w:val="center"/>
          </w:tcPr>
          <w:p w14:paraId="0FBB0109" w14:textId="77777777" w:rsidR="00053498" w:rsidRDefault="00000000">
            <w:pPr>
              <w:spacing w:before="60" w:after="60"/>
            </w:pPr>
            <w:r>
              <w:t>现场</w:t>
            </w:r>
          </w:p>
        </w:tc>
      </w:tr>
      <w:tr w:rsidR="00053498" w14:paraId="6C1F359D" w14:textId="77777777" w:rsidTr="00582156">
        <w:tc>
          <w:tcPr>
            <w:tcW w:w="1608" w:type="dxa"/>
            <w:vAlign w:val="center"/>
          </w:tcPr>
          <w:p w14:paraId="2FAD7E44" w14:textId="77777777" w:rsidR="00053498" w:rsidRDefault="00000000">
            <w:pPr>
              <w:spacing w:before="60" w:after="60"/>
              <w:jc w:val="center"/>
            </w:pPr>
            <w:r>
              <w:t>上市公司接待</w:t>
            </w:r>
          </w:p>
          <w:p w14:paraId="2DD1B2B9" w14:textId="77777777" w:rsidR="00053498" w:rsidRDefault="00000000">
            <w:pPr>
              <w:spacing w:before="60" w:after="60"/>
              <w:jc w:val="center"/>
            </w:pPr>
            <w:r>
              <w:t>人员姓名</w:t>
            </w:r>
          </w:p>
        </w:tc>
        <w:tc>
          <w:tcPr>
            <w:tcW w:w="7438" w:type="dxa"/>
            <w:vAlign w:val="center"/>
          </w:tcPr>
          <w:p w14:paraId="60C229A3" w14:textId="77777777" w:rsidR="00053498" w:rsidRDefault="00000000">
            <w:pPr>
              <w:spacing w:before="60" w:after="60"/>
            </w:pPr>
            <w:r>
              <w:t xml:space="preserve">1. </w:t>
            </w:r>
            <w:r>
              <w:t>董事会秘书</w:t>
            </w:r>
            <w:r>
              <w:t xml:space="preserve"> </w:t>
            </w:r>
            <w:r>
              <w:t>王祎</w:t>
            </w:r>
          </w:p>
          <w:p w14:paraId="13C44888" w14:textId="77777777" w:rsidR="00053498" w:rsidRDefault="00000000">
            <w:pPr>
              <w:spacing w:before="60" w:after="60"/>
            </w:pPr>
            <w:r>
              <w:t xml:space="preserve">2. IR </w:t>
            </w:r>
            <w:r>
              <w:t>刘逸明</w:t>
            </w:r>
          </w:p>
        </w:tc>
      </w:tr>
      <w:tr w:rsidR="00053498" w14:paraId="6B67368F" w14:textId="77777777" w:rsidTr="00582156">
        <w:tc>
          <w:tcPr>
            <w:tcW w:w="1608" w:type="dxa"/>
            <w:vAlign w:val="center"/>
          </w:tcPr>
          <w:p w14:paraId="0458A852" w14:textId="77777777" w:rsidR="00053498" w:rsidRDefault="00000000">
            <w:pPr>
              <w:spacing w:before="60"/>
              <w:jc w:val="center"/>
            </w:pPr>
            <w:r>
              <w:t>投资者关系活</w:t>
            </w:r>
          </w:p>
          <w:p w14:paraId="583E1500" w14:textId="77777777" w:rsidR="00053498" w:rsidRDefault="00000000">
            <w:pPr>
              <w:spacing w:after="60"/>
              <w:jc w:val="center"/>
            </w:pPr>
            <w:r>
              <w:t>动主要内容介</w:t>
            </w:r>
          </w:p>
          <w:p w14:paraId="60B87837" w14:textId="77777777" w:rsidR="00053498" w:rsidRDefault="00000000">
            <w:pPr>
              <w:spacing w:after="60"/>
              <w:jc w:val="center"/>
            </w:pPr>
            <w:r>
              <w:t>绍</w:t>
            </w:r>
          </w:p>
        </w:tc>
        <w:tc>
          <w:tcPr>
            <w:tcW w:w="7438" w:type="dxa"/>
          </w:tcPr>
          <w:p w14:paraId="1FE8C04E" w14:textId="77777777" w:rsidR="00053498" w:rsidRDefault="00000000" w:rsidP="00CD6232">
            <w:pPr>
              <w:spacing w:before="100" w:after="60"/>
              <w:ind w:firstLine="480"/>
              <w:jc w:val="both"/>
            </w:pPr>
            <w:r>
              <w:rPr>
                <w:b/>
              </w:rPr>
              <w:t>（一）公司情况介绍</w:t>
            </w:r>
          </w:p>
          <w:p w14:paraId="3F264082" w14:textId="77777777" w:rsidR="00053498" w:rsidRDefault="00000000" w:rsidP="00CD6232">
            <w:pPr>
              <w:spacing w:before="60" w:after="100"/>
              <w:ind w:firstLine="480"/>
              <w:jc w:val="both"/>
            </w:pPr>
            <w:r>
              <w:t>电科蓝天坚持以</w:t>
            </w:r>
            <w:r>
              <w:t>“</w:t>
            </w:r>
            <w:r>
              <w:t>先进电源服务国家、绿色能源造福人类</w:t>
            </w:r>
            <w:r>
              <w:t>”</w:t>
            </w:r>
            <w:r>
              <w:t>为宗旨，以</w:t>
            </w:r>
            <w:r>
              <w:t>“</w:t>
            </w:r>
            <w:r>
              <w:t>引领电能源技术及产业发展</w:t>
            </w:r>
            <w:r>
              <w:t>”</w:t>
            </w:r>
            <w:r>
              <w:t>为主责，在电能源领域深耕数十年，致力于成为中国先进电能源系统解决方案和核心产品的供应商。公司主要从事电能源产品及系统的研发、生产、销售及服务，拥有发电、储</w:t>
            </w:r>
            <w:r>
              <w:lastRenderedPageBreak/>
              <w:t>能、控制和系统集成全套解决方案，产品应用领域实现深海至深空广泛覆盖。</w:t>
            </w:r>
          </w:p>
          <w:p w14:paraId="3985A2B4" w14:textId="77777777" w:rsidR="00053498" w:rsidRDefault="00000000" w:rsidP="00CD6232">
            <w:pPr>
              <w:spacing w:before="100" w:after="60"/>
              <w:ind w:firstLine="480"/>
              <w:jc w:val="both"/>
            </w:pPr>
            <w:r>
              <w:rPr>
                <w:b/>
              </w:rPr>
              <w:t>（二）交流问答记录</w:t>
            </w:r>
          </w:p>
          <w:p w14:paraId="56BFA74F" w14:textId="77777777" w:rsidR="00053498" w:rsidRDefault="00000000" w:rsidP="00CD6232">
            <w:pPr>
              <w:spacing w:before="80" w:after="40"/>
              <w:ind w:firstLine="480"/>
              <w:jc w:val="both"/>
            </w:pPr>
            <w:r>
              <w:t>Q1</w:t>
            </w:r>
            <w:r>
              <w:t>：公司宇航电源领域市场份额如何？</w:t>
            </w:r>
          </w:p>
          <w:p w14:paraId="11826C53" w14:textId="6743479E" w:rsidR="00053498" w:rsidRDefault="00000000" w:rsidP="00CD6232">
            <w:pPr>
              <w:spacing w:before="40" w:after="80"/>
              <w:ind w:firstLine="480"/>
              <w:jc w:val="both"/>
            </w:pPr>
            <w:r>
              <w:t>A1</w:t>
            </w:r>
            <w:r>
              <w:t>：公司是国内宇航电源的核心供应商，</w:t>
            </w:r>
            <w:r w:rsidR="00191C37">
              <w:rPr>
                <w:rFonts w:hint="eastAsia"/>
              </w:rPr>
              <w:t>2024</w:t>
            </w:r>
            <w:r w:rsidR="00191C37">
              <w:rPr>
                <w:rFonts w:hint="eastAsia"/>
              </w:rPr>
              <w:t>年</w:t>
            </w:r>
            <w:r>
              <w:t>宇航电源产品在国内市场覆盖率超过</w:t>
            </w:r>
            <w:r>
              <w:t>50%</w:t>
            </w:r>
            <w:r>
              <w:t>。</w:t>
            </w:r>
          </w:p>
          <w:p w14:paraId="538271D6" w14:textId="77777777" w:rsidR="00053498" w:rsidRDefault="00000000" w:rsidP="00CD6232">
            <w:pPr>
              <w:spacing w:before="80" w:after="40"/>
              <w:ind w:firstLine="480"/>
              <w:jc w:val="both"/>
            </w:pPr>
            <w:r>
              <w:t>Q2</w:t>
            </w:r>
            <w:r>
              <w:t>：商业航天领域涌现不少新企业，是否感到竞争压力？</w:t>
            </w:r>
          </w:p>
          <w:p w14:paraId="4E55F5BC" w14:textId="14BFDA39" w:rsidR="00053498" w:rsidRDefault="00000000" w:rsidP="00CD6232">
            <w:pPr>
              <w:spacing w:before="40" w:after="80"/>
              <w:ind w:firstLine="480"/>
              <w:jc w:val="both"/>
            </w:pPr>
            <w:r>
              <w:t>A2</w:t>
            </w:r>
            <w:r>
              <w:t>：随着商业航天产业快速兴起，新理念、新模式、新产品的出现使得宇航电源业务的市场竞争格局更加激烈和复杂。面对这一趋势，公司始终坚持以</w:t>
            </w:r>
            <w:r>
              <w:t>“</w:t>
            </w:r>
            <w:r>
              <w:t>先进电源服务国家、绿色能源造福人类</w:t>
            </w:r>
            <w:r>
              <w:t>”</w:t>
            </w:r>
            <w:r>
              <w:t>为宗旨，以</w:t>
            </w:r>
            <w:r>
              <w:t>“</w:t>
            </w:r>
            <w:r>
              <w:t>引领电能源技术及产业发展</w:t>
            </w:r>
            <w:r>
              <w:t>”</w:t>
            </w:r>
            <w:r>
              <w:t>为主责，依托长期服务于载人航天、深空探测等国家重大工程的经验以及在宇航电源领域的技术底蕴，</w:t>
            </w:r>
            <w:r w:rsidR="00191C37">
              <w:rPr>
                <w:rFonts w:hint="eastAsia"/>
              </w:rPr>
              <w:t>加强</w:t>
            </w:r>
            <w:r>
              <w:t>研发投入和技术创新力度，持续助力国家深空探测、商业航天等战略领域发展。</w:t>
            </w:r>
          </w:p>
          <w:p w14:paraId="52C102B7" w14:textId="77777777" w:rsidR="00053498" w:rsidRDefault="00000000" w:rsidP="00CD6232">
            <w:pPr>
              <w:spacing w:before="80" w:after="40"/>
              <w:ind w:firstLine="480"/>
              <w:jc w:val="both"/>
            </w:pPr>
            <w:r>
              <w:t>Q3</w:t>
            </w:r>
            <w:r>
              <w:t>：公司的卫星电源分系统的价值量如何？</w:t>
            </w:r>
          </w:p>
          <w:p w14:paraId="51920304" w14:textId="7500095D" w:rsidR="00053498" w:rsidRDefault="00000000" w:rsidP="00CD6232">
            <w:pPr>
              <w:spacing w:before="40" w:after="80"/>
              <w:ind w:firstLine="480"/>
              <w:jc w:val="both"/>
            </w:pPr>
            <w:r>
              <w:t>A3</w:t>
            </w:r>
            <w:r>
              <w:t>：卫星主要由平台和载荷两部分构成，不同卫星因功能不同成本结构差异较大。公司此前已在招股书及问询中披露：根据艾瑞咨询数据，定制卫星的平台成本占比约为</w:t>
            </w:r>
            <w:r>
              <w:t>50%</w:t>
            </w:r>
            <w:r>
              <w:t>，批量卫星的平台成本占比约为</w:t>
            </w:r>
            <w:r>
              <w:t>30%</w:t>
            </w:r>
            <w:r>
              <w:t>，姿控系统和电源系统的成本之和约占全卫星平台的</w:t>
            </w:r>
            <w:r>
              <w:t>60%</w:t>
            </w:r>
            <w:r>
              <w:t>以上。</w:t>
            </w:r>
          </w:p>
          <w:p w14:paraId="698A96CE" w14:textId="77777777" w:rsidR="00053498" w:rsidRDefault="00000000" w:rsidP="00CD6232">
            <w:pPr>
              <w:spacing w:before="80" w:after="40"/>
              <w:ind w:firstLine="480"/>
              <w:jc w:val="both"/>
            </w:pPr>
            <w:r>
              <w:t>Q4</w:t>
            </w:r>
            <w:r>
              <w:t>：公司在市值管理方面的计划？</w:t>
            </w:r>
          </w:p>
          <w:p w14:paraId="04C83B53" w14:textId="1D743AE9" w:rsidR="00053498" w:rsidRDefault="00000000" w:rsidP="00CD6232">
            <w:pPr>
              <w:spacing w:before="40" w:after="80"/>
              <w:ind w:firstLine="480"/>
              <w:jc w:val="both"/>
            </w:pPr>
            <w:r>
              <w:t>A4</w:t>
            </w:r>
            <w:r>
              <w:t>：公司已建立系统的投资者关系与价值回报机制。公司始终专注主业发展，努力提升核心竞争力，持续巩固行业地位，严格按照信息披露要求及时公告重大进展，积极回报投资者信任。</w:t>
            </w:r>
          </w:p>
          <w:p w14:paraId="10989481" w14:textId="77777777" w:rsidR="00053498" w:rsidRDefault="00000000" w:rsidP="00CD6232">
            <w:pPr>
              <w:spacing w:before="80" w:after="40"/>
              <w:ind w:firstLine="480"/>
              <w:jc w:val="both"/>
            </w:pPr>
            <w:r>
              <w:t>Q5</w:t>
            </w:r>
            <w:r>
              <w:t>：商业航天领域未来需求展望？这两年是否会迎来爆发式增长？</w:t>
            </w:r>
          </w:p>
          <w:p w14:paraId="4885D8ED" w14:textId="77777777" w:rsidR="00053498" w:rsidRDefault="00000000" w:rsidP="00CD6232">
            <w:pPr>
              <w:spacing w:before="40" w:after="80"/>
              <w:ind w:firstLine="480"/>
              <w:jc w:val="both"/>
            </w:pPr>
            <w:r>
              <w:t>A5</w:t>
            </w:r>
            <w:r>
              <w:t>：从国家政策支持来看，航天强国战略持续深化，国家将航空航天产业纳入</w:t>
            </w:r>
            <w:r>
              <w:t>“</w:t>
            </w:r>
            <w:r>
              <w:t>十五五</w:t>
            </w:r>
            <w:r>
              <w:t>”</w:t>
            </w:r>
            <w:r>
              <w:t>规划重点发展的战略性新兴产业，商业航天领域</w:t>
            </w:r>
            <w:r>
              <w:lastRenderedPageBreak/>
              <w:t>政策持续放开，</w:t>
            </w:r>
            <w:r>
              <w:t>2025</w:t>
            </w:r>
            <w:r>
              <w:t>年</w:t>
            </w:r>
            <w:r>
              <w:t>11</w:t>
            </w:r>
            <w:r>
              <w:t>月，国家航天局印发《国家航天局推进商业航天高质量安全发展行动计划（</w:t>
            </w:r>
            <w:r>
              <w:t>2025—2027</w:t>
            </w:r>
            <w:r>
              <w:t>年）》，明确加强商业航天全产业链系统谋划和布局，到</w:t>
            </w:r>
            <w:r>
              <w:t>2027</w:t>
            </w:r>
            <w:r>
              <w:t>年基本实现商业航天高质量发展。</w:t>
            </w:r>
            <w:r>
              <w:t>2025</w:t>
            </w:r>
            <w:r>
              <w:t>年我国主要星座进入全面建设阶段，星座加速组网；千帆星座计划</w:t>
            </w:r>
            <w:r>
              <w:t>2025/2027/2030</w:t>
            </w:r>
            <w:r>
              <w:t>年底规模分别达到</w:t>
            </w:r>
            <w:r>
              <w:t>648/1,296/15,000</w:t>
            </w:r>
            <w:r>
              <w:t>颗，国网星座计划</w:t>
            </w:r>
            <w:r>
              <w:t>2029/2035</w:t>
            </w:r>
            <w:r>
              <w:t>年底规模分别达到</w:t>
            </w:r>
            <w:r>
              <w:t>1,299/12,992</w:t>
            </w:r>
            <w:r>
              <w:t>颗，两大星座到</w:t>
            </w:r>
            <w:r>
              <w:t>2030</w:t>
            </w:r>
            <w:r>
              <w:t>年和</w:t>
            </w:r>
            <w:r>
              <w:t>2035</w:t>
            </w:r>
            <w:r>
              <w:t>年合计需求卫星分别约</w:t>
            </w:r>
            <w:r>
              <w:t>1.8</w:t>
            </w:r>
            <w:r>
              <w:t>万颗和</w:t>
            </w:r>
            <w:r>
              <w:t>2.8</w:t>
            </w:r>
            <w:r>
              <w:t>万颗。随着商业航天产业发展步入快车道，低轨卫星星座规模化组网、卫星批量化制造成为产业核心趋势。</w:t>
            </w:r>
          </w:p>
          <w:p w14:paraId="51DFE18D" w14:textId="77777777" w:rsidR="00053498" w:rsidRDefault="00000000" w:rsidP="00CD6232">
            <w:pPr>
              <w:spacing w:before="80" w:after="40"/>
              <w:ind w:firstLine="480"/>
              <w:jc w:val="both"/>
            </w:pPr>
            <w:r>
              <w:t>Q6</w:t>
            </w:r>
            <w:r>
              <w:t>：公司如何看待太阳电池的未来技术路线，如何看待</w:t>
            </w:r>
            <w:r>
              <w:t>HJT</w:t>
            </w:r>
            <w:r>
              <w:t>、钙钛矿等新兴技术？</w:t>
            </w:r>
          </w:p>
          <w:p w14:paraId="14DCB5D1" w14:textId="3124A649" w:rsidR="00053498" w:rsidRDefault="00000000" w:rsidP="00CD6232">
            <w:pPr>
              <w:spacing w:before="40" w:after="80"/>
              <w:ind w:firstLine="480"/>
              <w:jc w:val="both"/>
            </w:pPr>
            <w:r>
              <w:t>A6</w:t>
            </w:r>
            <w:r>
              <w:t>：太阳电池技术路线的演进是行业持续关注的课题。空间应用场景对太阳电池有严苛的准入门槛，这是评估任何新技术路线适用性的前提，每一种技术路线都需要受可靠性、环境适应性、功率质量比、技术成熟度等多个维度的约束，这导致了空间电源领域技术迭代相对稳健，新技术从实验室到在轨应用通常需要较长的验证周期。公司目前主要采取砷化镓的技术路线，系该技术经过多年的积累，已经满足上述各项条件，在行业中有较高的接受度，公司也时刻保持对各类新兴技术领域的关注。</w:t>
            </w:r>
          </w:p>
          <w:p w14:paraId="7237D35D" w14:textId="77777777" w:rsidR="00053498" w:rsidRDefault="00000000" w:rsidP="00CD6232">
            <w:pPr>
              <w:spacing w:before="80" w:after="40"/>
              <w:ind w:firstLine="480"/>
              <w:jc w:val="both"/>
            </w:pPr>
            <w:r>
              <w:t>Q7</w:t>
            </w:r>
            <w:r>
              <w:t>：商业航天产品的交付时长？</w:t>
            </w:r>
          </w:p>
          <w:p w14:paraId="62B478B7" w14:textId="77777777" w:rsidR="00053498" w:rsidRDefault="00000000" w:rsidP="00CD6232">
            <w:pPr>
              <w:spacing w:before="40" w:after="80"/>
              <w:ind w:firstLine="480"/>
              <w:jc w:val="both"/>
            </w:pPr>
            <w:r>
              <w:t>A7</w:t>
            </w:r>
            <w:r>
              <w:t>：具体交付周期属于核心商业秘密，项目交付时间因技术状态、批量规模、验证要求等因素差异很大，公司不提供统一标准时长，亦不进行横向对比，请以公告为准。</w:t>
            </w:r>
          </w:p>
          <w:p w14:paraId="4087EDE8" w14:textId="327A4E3B" w:rsidR="00053498" w:rsidRDefault="00000000" w:rsidP="00CD6232">
            <w:pPr>
              <w:spacing w:before="80" w:after="40"/>
              <w:ind w:firstLine="480"/>
              <w:jc w:val="both"/>
            </w:pPr>
            <w:r>
              <w:t>Q8</w:t>
            </w:r>
            <w:r>
              <w:t>：公司特种电源产品的内容？</w:t>
            </w:r>
            <w:r>
              <w:t>2025</w:t>
            </w:r>
            <w:r>
              <w:t>年下滑</w:t>
            </w:r>
            <w:r w:rsidR="003B52F7">
              <w:rPr>
                <w:rFonts w:hint="eastAsia"/>
              </w:rPr>
              <w:t>的原因</w:t>
            </w:r>
            <w:r>
              <w:t>？</w:t>
            </w:r>
          </w:p>
          <w:p w14:paraId="39BEA690" w14:textId="08D6E2A6" w:rsidR="00053498" w:rsidRDefault="00000000" w:rsidP="00CD6232">
            <w:pPr>
              <w:spacing w:before="40" w:after="80"/>
              <w:ind w:firstLine="480"/>
              <w:jc w:val="both"/>
            </w:pPr>
            <w:r>
              <w:t>A8</w:t>
            </w:r>
            <w:r>
              <w:t>：公司特种电源业务聚焦国防军工和民品产业特种应用场景，为各类携行装备、特种车辆、特种工业设备提供定制化特种锂离子电池及电源系统解决方案，是国内特种电源领域的骨干企业。产品针对特种场景下宽温区、高倍率、高安全、快充电、小型化等定制化需求，突破多项</w:t>
            </w:r>
            <w:r>
              <w:t>“</w:t>
            </w:r>
            <w:r>
              <w:t>卡脖子</w:t>
            </w:r>
            <w:r>
              <w:t>”</w:t>
            </w:r>
            <w:r>
              <w:t>核心技术，实现了对进口产品的全面国产化替</w:t>
            </w:r>
            <w:r>
              <w:lastRenderedPageBreak/>
              <w:t>代，深度服务于国防装备现代化建设。在工业机器人电源领域，公司目前主攻</w:t>
            </w:r>
            <w:r>
              <w:t>AGV</w:t>
            </w:r>
            <w:r>
              <w:t>锂离子电池方向，已成为国内</w:t>
            </w:r>
            <w:r>
              <w:t>AGV</w:t>
            </w:r>
            <w:r>
              <w:t>锂离子电池组的重要供应商之一。公司特种电源核心产品为定制化特种锂离子电池组及配套电源管理系统、燃料电池系统。</w:t>
            </w:r>
            <w:r>
              <w:t>2025</w:t>
            </w:r>
            <w:r>
              <w:t>年受锂电价格下行及军工行业宏观因素及周期性影响，特种电源订单受到一定冲击。</w:t>
            </w:r>
          </w:p>
          <w:p w14:paraId="6208AE83" w14:textId="058CD6CB" w:rsidR="00053498" w:rsidRDefault="00000000" w:rsidP="00CD6232">
            <w:pPr>
              <w:spacing w:before="80" w:after="40"/>
              <w:ind w:firstLine="480"/>
              <w:jc w:val="both"/>
            </w:pPr>
            <w:r>
              <w:t>Q9</w:t>
            </w:r>
            <w:r>
              <w:t>：公司新能源应用与服务业务的内容？</w:t>
            </w:r>
            <w:r w:rsidR="00E874E7">
              <w:rPr>
                <w:rFonts w:hint="eastAsia"/>
              </w:rPr>
              <w:t>对</w:t>
            </w:r>
            <w:r>
              <w:t>光伏业务</w:t>
            </w:r>
            <w:r w:rsidR="00E874E7">
              <w:rPr>
                <w:rFonts w:hint="eastAsia"/>
              </w:rPr>
              <w:t>的未来计划</w:t>
            </w:r>
            <w:r>
              <w:t>？</w:t>
            </w:r>
          </w:p>
          <w:p w14:paraId="021BCD62" w14:textId="77777777" w:rsidR="00053498" w:rsidRDefault="00000000" w:rsidP="00CD6232">
            <w:pPr>
              <w:spacing w:before="40" w:after="80"/>
              <w:ind w:firstLine="480"/>
              <w:jc w:val="both"/>
            </w:pPr>
            <w:r>
              <w:t>A9</w:t>
            </w:r>
            <w:r>
              <w:t>：公司新能源应用及服务业务的主要产品和服务包括智能微电网解决方案、储能系统及储能</w:t>
            </w:r>
            <w:r>
              <w:t>EPC</w:t>
            </w:r>
            <w:r>
              <w:t>业务、电源检测服务，以及锂电正极材料</w:t>
            </w:r>
            <w:r>
              <w:t>/</w:t>
            </w:r>
            <w:r>
              <w:t>钠电正极材料、消费类锂电池、钠离子电池、光伏解决方案等。</w:t>
            </w:r>
            <w:r>
              <w:t>2024</w:t>
            </w:r>
            <w:r>
              <w:t>年以来，公司聚焦核心主业，为避免同业竞争风险，主动收缩光伏解决方案业务。公司决定不再新增地面大规模集中式光伏电站</w:t>
            </w:r>
            <w:r>
              <w:t>EPC</w:t>
            </w:r>
            <w:r>
              <w:t>业务和工商业分布式光伏电站</w:t>
            </w:r>
            <w:r>
              <w:t>EPC</w:t>
            </w:r>
            <w:r>
              <w:t>业务。</w:t>
            </w:r>
          </w:p>
          <w:p w14:paraId="7FA2CA64" w14:textId="77777777" w:rsidR="00053498" w:rsidRDefault="00000000" w:rsidP="00CD6232">
            <w:pPr>
              <w:spacing w:before="80" w:after="40"/>
              <w:ind w:firstLine="480"/>
              <w:jc w:val="both"/>
            </w:pPr>
            <w:r>
              <w:t>Q10</w:t>
            </w:r>
            <w:r>
              <w:t>：后续有进一步融资或并购等计划吗？</w:t>
            </w:r>
          </w:p>
          <w:p w14:paraId="2B6F644A" w14:textId="193EFF18" w:rsidR="00053498" w:rsidRDefault="00000000" w:rsidP="00596914">
            <w:pPr>
              <w:spacing w:before="40" w:after="80"/>
              <w:ind w:firstLine="480"/>
              <w:jc w:val="both"/>
            </w:pPr>
            <w:r>
              <w:t>A10</w:t>
            </w:r>
            <w:r>
              <w:t>：公司未披露后续再融资或并购的具体计划。如有进一步资本运作计划并达到信息披露标准，公司将及时履行董事会、股东会审议程序及信息披露义务。</w:t>
            </w:r>
          </w:p>
        </w:tc>
      </w:tr>
      <w:tr w:rsidR="00053498" w14:paraId="7E08C4D5" w14:textId="77777777" w:rsidTr="00582156">
        <w:tc>
          <w:tcPr>
            <w:tcW w:w="1608" w:type="dxa"/>
            <w:vAlign w:val="center"/>
          </w:tcPr>
          <w:p w14:paraId="71A4F752" w14:textId="77777777" w:rsidR="00053498" w:rsidRDefault="00000000">
            <w:pPr>
              <w:spacing w:before="60" w:after="60"/>
              <w:jc w:val="center"/>
            </w:pPr>
            <w:r>
              <w:lastRenderedPageBreak/>
              <w:t>附件清单</w:t>
            </w:r>
          </w:p>
        </w:tc>
        <w:tc>
          <w:tcPr>
            <w:tcW w:w="7438" w:type="dxa"/>
            <w:vAlign w:val="center"/>
          </w:tcPr>
          <w:p w14:paraId="60B0E9DE" w14:textId="77777777" w:rsidR="00053498" w:rsidRDefault="00000000">
            <w:pPr>
              <w:spacing w:before="60" w:after="60"/>
            </w:pPr>
            <w:r>
              <w:t>无</w:t>
            </w:r>
          </w:p>
        </w:tc>
      </w:tr>
    </w:tbl>
    <w:p w14:paraId="317421C1" w14:textId="77777777" w:rsidR="00EE52EB" w:rsidRDefault="00EE52EB"/>
    <w:sectPr w:rsidR="00EE52EB">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1161E" w14:textId="77777777" w:rsidR="00780CD2" w:rsidRDefault="00780CD2" w:rsidP="00451D8F">
      <w:pPr>
        <w:spacing w:line="240" w:lineRule="auto"/>
      </w:pPr>
      <w:r>
        <w:separator/>
      </w:r>
    </w:p>
  </w:endnote>
  <w:endnote w:type="continuationSeparator" w:id="0">
    <w:p w14:paraId="28B9D76A" w14:textId="77777777" w:rsidR="00780CD2" w:rsidRDefault="00780CD2" w:rsidP="00451D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72AF9" w14:textId="77777777" w:rsidR="00780CD2" w:rsidRDefault="00780CD2" w:rsidP="00451D8F">
      <w:pPr>
        <w:spacing w:line="240" w:lineRule="auto"/>
      </w:pPr>
      <w:r>
        <w:separator/>
      </w:r>
    </w:p>
  </w:footnote>
  <w:footnote w:type="continuationSeparator" w:id="0">
    <w:p w14:paraId="08B19A9D" w14:textId="77777777" w:rsidR="00780CD2" w:rsidRDefault="00780CD2" w:rsidP="00451D8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53498"/>
    <w:rsid w:val="00040B9D"/>
    <w:rsid w:val="00053498"/>
    <w:rsid w:val="00081D43"/>
    <w:rsid w:val="00087358"/>
    <w:rsid w:val="001846D1"/>
    <w:rsid w:val="00191C37"/>
    <w:rsid w:val="003B484A"/>
    <w:rsid w:val="003B52F7"/>
    <w:rsid w:val="00406375"/>
    <w:rsid w:val="00451D8F"/>
    <w:rsid w:val="004C638C"/>
    <w:rsid w:val="00564B47"/>
    <w:rsid w:val="00582156"/>
    <w:rsid w:val="00596914"/>
    <w:rsid w:val="005F691A"/>
    <w:rsid w:val="006665B4"/>
    <w:rsid w:val="00780CD2"/>
    <w:rsid w:val="008D1EEB"/>
    <w:rsid w:val="00972531"/>
    <w:rsid w:val="00BA2D17"/>
    <w:rsid w:val="00CD6232"/>
    <w:rsid w:val="00D15021"/>
    <w:rsid w:val="00D84D51"/>
    <w:rsid w:val="00E46C21"/>
    <w:rsid w:val="00E874E7"/>
    <w:rsid w:val="00EE5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EFE8E"/>
  <w15:docId w15:val="{02996CEC-AB19-4F9E-BF9B-232E39610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360" w:lineRule="auto"/>
    </w:pPr>
    <w:rPr>
      <w:rFonts w:ascii="Times New Roman" w:eastAsia="宋体"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1D8F"/>
    <w:pP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451D8F"/>
    <w:rPr>
      <w:rFonts w:ascii="Times New Roman" w:eastAsia="宋体" w:hAnsi="Times New Roman"/>
      <w:sz w:val="18"/>
      <w:szCs w:val="18"/>
    </w:rPr>
  </w:style>
  <w:style w:type="paragraph" w:styleId="a5">
    <w:name w:val="footer"/>
    <w:basedOn w:val="a"/>
    <w:link w:val="a6"/>
    <w:uiPriority w:val="99"/>
    <w:unhideWhenUsed/>
    <w:rsid w:val="00451D8F"/>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451D8F"/>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372</Words>
  <Characters>2122</Characters>
  <Application>Microsoft Office Word</Application>
  <DocSecurity>0</DocSecurity>
  <Lines>17</Lines>
  <Paragraphs>4</Paragraphs>
  <ScaleCrop>false</ScaleCrop>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User7</cp:lastModifiedBy>
  <cp:revision>16</cp:revision>
  <dcterms:created xsi:type="dcterms:W3CDTF">2026-05-15T04:45:00Z</dcterms:created>
  <dcterms:modified xsi:type="dcterms:W3CDTF">2026-05-15T07:48:00Z</dcterms:modified>
</cp:coreProperties>
</file>