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DD6" w:rsidRDefault="00D008DF">
      <w:pPr>
        <w:jc w:val="left"/>
        <w:rPr>
          <w:rFonts w:ascii="宋体" w:hAnsi="宋体"/>
          <w:sz w:val="24"/>
          <w:szCs w:val="24"/>
        </w:rPr>
      </w:pPr>
      <w:r>
        <w:rPr>
          <w:rFonts w:ascii="宋体" w:hAnsi="宋体" w:hint="eastAsia"/>
          <w:sz w:val="24"/>
          <w:szCs w:val="24"/>
        </w:rPr>
        <w:t>证券代码：</w:t>
      </w:r>
      <w:r>
        <w:rPr>
          <w:rFonts w:ascii="宋体" w:hAnsi="宋体"/>
          <w:sz w:val="24"/>
          <w:szCs w:val="24"/>
        </w:rPr>
        <w:t>688558</w:t>
      </w:r>
      <w:r>
        <w:rPr>
          <w:rFonts w:ascii="宋体" w:hAnsi="宋体" w:hint="eastAsia"/>
          <w:sz w:val="24"/>
          <w:szCs w:val="24"/>
        </w:rPr>
        <w:t xml:space="preserve">                      </w:t>
      </w:r>
      <w:r>
        <w:rPr>
          <w:rFonts w:ascii="宋体" w:hAnsi="宋体"/>
          <w:sz w:val="24"/>
          <w:szCs w:val="24"/>
        </w:rPr>
        <w:t xml:space="preserve">     </w:t>
      </w:r>
      <w:r w:rsidR="00AF76BA">
        <w:rPr>
          <w:rFonts w:ascii="宋体" w:hAnsi="宋体"/>
          <w:sz w:val="24"/>
          <w:szCs w:val="24"/>
        </w:rPr>
        <w:t xml:space="preserve">    </w:t>
      </w:r>
      <w:r>
        <w:rPr>
          <w:rFonts w:ascii="宋体" w:hAnsi="宋体" w:hint="eastAsia"/>
          <w:sz w:val="24"/>
          <w:szCs w:val="24"/>
        </w:rPr>
        <w:t>公司简称：</w:t>
      </w:r>
      <w:r>
        <w:rPr>
          <w:rFonts w:ascii="宋体" w:hAnsi="宋体"/>
          <w:sz w:val="24"/>
          <w:szCs w:val="24"/>
        </w:rPr>
        <w:t>国盛智科</w:t>
      </w:r>
    </w:p>
    <w:p w:rsidR="009F1DD6" w:rsidRPr="0032721B" w:rsidRDefault="00D008DF">
      <w:pPr>
        <w:jc w:val="center"/>
        <w:rPr>
          <w:rFonts w:ascii="宋体" w:hAnsi="宋体"/>
          <w:b/>
          <w:sz w:val="36"/>
          <w:szCs w:val="36"/>
        </w:rPr>
      </w:pPr>
      <w:proofErr w:type="gramStart"/>
      <w:r w:rsidRPr="0032721B">
        <w:rPr>
          <w:rFonts w:ascii="宋体" w:hAnsi="宋体" w:hint="eastAsia"/>
          <w:b/>
          <w:sz w:val="36"/>
          <w:szCs w:val="36"/>
        </w:rPr>
        <w:t>南通国</w:t>
      </w:r>
      <w:proofErr w:type="gramEnd"/>
      <w:r w:rsidRPr="0032721B">
        <w:rPr>
          <w:rFonts w:ascii="宋体" w:hAnsi="宋体" w:hint="eastAsia"/>
          <w:b/>
          <w:sz w:val="36"/>
          <w:szCs w:val="36"/>
        </w:rPr>
        <w:t>盛智能科技集团股份有限公司</w:t>
      </w:r>
    </w:p>
    <w:p w:rsidR="009F1DD6" w:rsidRPr="0032721B" w:rsidRDefault="00D008DF">
      <w:pPr>
        <w:jc w:val="center"/>
        <w:rPr>
          <w:rFonts w:ascii="宋体" w:hAnsi="宋体"/>
          <w:b/>
          <w:sz w:val="36"/>
          <w:szCs w:val="36"/>
        </w:rPr>
      </w:pPr>
      <w:r w:rsidRPr="0032721B">
        <w:rPr>
          <w:rFonts w:ascii="宋体" w:hAnsi="宋体" w:hint="eastAsia"/>
          <w:b/>
          <w:sz w:val="36"/>
          <w:szCs w:val="36"/>
        </w:rPr>
        <w:t>投资者关系活动记录表</w:t>
      </w:r>
    </w:p>
    <w:p w:rsidR="009F1DD6" w:rsidRPr="00D008DF" w:rsidRDefault="009F1DD6">
      <w:pPr>
        <w:ind w:right="720"/>
        <w:jc w:val="right"/>
        <w:rPr>
          <w:rFonts w:ascii="宋体" w:hAnsi="宋体"/>
          <w:b/>
          <w:sz w:val="24"/>
          <w:szCs w:val="24"/>
        </w:rPr>
      </w:pP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9F1DD6" w:rsidTr="00D008DF">
        <w:trPr>
          <w:trHeight w:val="838"/>
        </w:trPr>
        <w:tc>
          <w:tcPr>
            <w:tcW w:w="1526" w:type="dxa"/>
            <w:shd w:val="clear" w:color="auto" w:fill="auto"/>
            <w:vAlign w:val="center"/>
          </w:tcPr>
          <w:p w:rsidR="009F1DD6" w:rsidRPr="00D008DF" w:rsidRDefault="00D008DF" w:rsidP="006C46B7">
            <w:pPr>
              <w:rPr>
                <w:rFonts w:ascii="宋体" w:hAnsi="宋体"/>
                <w:b/>
                <w:sz w:val="24"/>
                <w:szCs w:val="24"/>
              </w:rPr>
            </w:pPr>
            <w:r w:rsidRPr="00D008DF">
              <w:rPr>
                <w:rFonts w:ascii="宋体" w:hAnsi="宋体" w:hint="eastAsia"/>
                <w:b/>
                <w:sz w:val="24"/>
                <w:szCs w:val="24"/>
              </w:rPr>
              <w:t>投资者关系活动类别</w:t>
            </w:r>
          </w:p>
        </w:tc>
        <w:tc>
          <w:tcPr>
            <w:tcW w:w="7191" w:type="dxa"/>
            <w:shd w:val="clear" w:color="auto" w:fill="auto"/>
            <w:vAlign w:val="center"/>
          </w:tcPr>
          <w:p w:rsidR="009F1DD6" w:rsidRPr="00D008DF" w:rsidRDefault="00D008DF" w:rsidP="006C46B7">
            <w:pPr>
              <w:rPr>
                <w:rFonts w:ascii="宋体" w:hAnsi="宋体"/>
                <w:sz w:val="24"/>
                <w:szCs w:val="24"/>
              </w:rPr>
            </w:pPr>
            <w:r w:rsidRPr="00D008DF">
              <w:rPr>
                <w:rFonts w:ascii="宋体" w:hAnsi="宋体" w:cs="宋体" w:hint="eastAsia"/>
                <w:sz w:val="24"/>
                <w:szCs w:val="24"/>
              </w:rPr>
              <w:t>业绩说明会</w:t>
            </w:r>
          </w:p>
        </w:tc>
      </w:tr>
      <w:tr w:rsidR="009F1DD6" w:rsidTr="00D008DF">
        <w:trPr>
          <w:trHeight w:val="838"/>
        </w:trPr>
        <w:tc>
          <w:tcPr>
            <w:tcW w:w="1526" w:type="dxa"/>
            <w:shd w:val="clear" w:color="auto" w:fill="auto"/>
            <w:vAlign w:val="center"/>
          </w:tcPr>
          <w:p w:rsidR="009F1DD6" w:rsidRPr="00D008DF" w:rsidRDefault="00D008DF" w:rsidP="006C46B7">
            <w:pPr>
              <w:rPr>
                <w:rFonts w:ascii="宋体" w:hAnsi="宋体"/>
                <w:b/>
                <w:sz w:val="24"/>
                <w:szCs w:val="24"/>
              </w:rPr>
            </w:pPr>
            <w:r w:rsidRPr="00D008DF">
              <w:rPr>
                <w:rFonts w:ascii="宋体" w:hAnsi="宋体" w:hint="eastAsia"/>
                <w:b/>
                <w:sz w:val="24"/>
                <w:szCs w:val="24"/>
              </w:rPr>
              <w:t>活动主题</w:t>
            </w:r>
          </w:p>
        </w:tc>
        <w:tc>
          <w:tcPr>
            <w:tcW w:w="7191" w:type="dxa"/>
            <w:shd w:val="clear" w:color="auto" w:fill="auto"/>
            <w:vAlign w:val="center"/>
          </w:tcPr>
          <w:p w:rsidR="009F1DD6" w:rsidRPr="00D008DF" w:rsidRDefault="00D008DF" w:rsidP="006C46B7">
            <w:pPr>
              <w:rPr>
                <w:rFonts w:ascii="宋体" w:hAnsi="宋体"/>
                <w:sz w:val="24"/>
                <w:szCs w:val="24"/>
              </w:rPr>
            </w:pPr>
            <w:r w:rsidRPr="00D008DF">
              <w:rPr>
                <w:rFonts w:ascii="宋体" w:hAnsi="宋体" w:cs="宋体" w:hint="eastAsia"/>
                <w:bCs/>
                <w:iCs/>
                <w:color w:val="000000"/>
                <w:sz w:val="24"/>
                <w:szCs w:val="24"/>
                <w:lang w:val="en-GB"/>
              </w:rPr>
              <w:t>国盛智科2025年年度暨2026年第一季度业绩说明会</w:t>
            </w:r>
          </w:p>
        </w:tc>
      </w:tr>
      <w:tr w:rsidR="009F1DD6" w:rsidTr="00D008DF">
        <w:trPr>
          <w:trHeight w:val="799"/>
        </w:trPr>
        <w:tc>
          <w:tcPr>
            <w:tcW w:w="1526" w:type="dxa"/>
            <w:shd w:val="clear" w:color="auto" w:fill="auto"/>
            <w:vAlign w:val="center"/>
          </w:tcPr>
          <w:p w:rsidR="009F1DD6" w:rsidRPr="00D008DF" w:rsidRDefault="00D008DF" w:rsidP="006C46B7">
            <w:pPr>
              <w:rPr>
                <w:rFonts w:ascii="宋体" w:hAnsi="宋体"/>
                <w:b/>
                <w:sz w:val="24"/>
                <w:szCs w:val="24"/>
              </w:rPr>
            </w:pPr>
            <w:r w:rsidRPr="00D008DF">
              <w:rPr>
                <w:rFonts w:ascii="宋体" w:hAnsi="宋体" w:hint="eastAsia"/>
                <w:b/>
                <w:sz w:val="24"/>
                <w:szCs w:val="24"/>
              </w:rPr>
              <w:t>时间</w:t>
            </w:r>
          </w:p>
        </w:tc>
        <w:tc>
          <w:tcPr>
            <w:tcW w:w="7191" w:type="dxa"/>
            <w:shd w:val="clear" w:color="auto" w:fill="auto"/>
            <w:vAlign w:val="center"/>
          </w:tcPr>
          <w:p w:rsidR="009F1DD6" w:rsidRPr="00D008DF" w:rsidRDefault="007803CA" w:rsidP="006C46B7">
            <w:pPr>
              <w:rPr>
                <w:rFonts w:ascii="宋体" w:hAnsi="宋体"/>
                <w:sz w:val="24"/>
                <w:szCs w:val="24"/>
              </w:rPr>
            </w:pPr>
            <w:r w:rsidRPr="00D008DF">
              <w:rPr>
                <w:rFonts w:ascii="宋体" w:hAnsi="宋体" w:cs="宋体" w:hint="eastAsia"/>
                <w:bCs/>
                <w:iCs/>
                <w:color w:val="000000"/>
                <w:sz w:val="24"/>
                <w:szCs w:val="24"/>
              </w:rPr>
              <w:t>2026年</w:t>
            </w:r>
            <w:r w:rsidRPr="00D008DF">
              <w:rPr>
                <w:rFonts w:ascii="宋体" w:hAnsi="宋体" w:cs="宋体"/>
                <w:bCs/>
                <w:iCs/>
                <w:color w:val="000000"/>
                <w:sz w:val="24"/>
                <w:szCs w:val="24"/>
              </w:rPr>
              <w:t>5</w:t>
            </w:r>
            <w:r w:rsidRPr="00D008DF">
              <w:rPr>
                <w:rFonts w:ascii="宋体" w:hAnsi="宋体" w:cs="宋体" w:hint="eastAsia"/>
                <w:bCs/>
                <w:iCs/>
                <w:color w:val="000000"/>
                <w:sz w:val="24"/>
                <w:szCs w:val="24"/>
              </w:rPr>
              <w:t>月</w:t>
            </w:r>
            <w:r w:rsidR="00D008DF" w:rsidRPr="00D008DF">
              <w:rPr>
                <w:rFonts w:ascii="宋体" w:hAnsi="宋体" w:cs="宋体" w:hint="eastAsia"/>
                <w:bCs/>
                <w:iCs/>
                <w:color w:val="000000"/>
                <w:sz w:val="24"/>
                <w:szCs w:val="24"/>
              </w:rPr>
              <w:t>19</w:t>
            </w:r>
            <w:r w:rsidRPr="00D008DF">
              <w:rPr>
                <w:rFonts w:ascii="宋体" w:hAnsi="宋体" w:cs="宋体" w:hint="eastAsia"/>
                <w:bCs/>
                <w:iCs/>
                <w:color w:val="000000"/>
                <w:sz w:val="24"/>
                <w:szCs w:val="24"/>
              </w:rPr>
              <w:t>日</w:t>
            </w:r>
            <w:r w:rsidR="00D008DF" w:rsidRPr="00D008DF">
              <w:rPr>
                <w:rFonts w:ascii="宋体" w:hAnsi="宋体" w:cs="宋体" w:hint="eastAsia"/>
                <w:bCs/>
                <w:iCs/>
                <w:color w:val="000000"/>
                <w:sz w:val="24"/>
                <w:szCs w:val="24"/>
              </w:rPr>
              <w:t>13:00-14:00</w:t>
            </w:r>
          </w:p>
        </w:tc>
      </w:tr>
      <w:tr w:rsidR="009F1DD6" w:rsidTr="00D008DF">
        <w:trPr>
          <w:trHeight w:val="838"/>
        </w:trPr>
        <w:tc>
          <w:tcPr>
            <w:tcW w:w="1526" w:type="dxa"/>
            <w:shd w:val="clear" w:color="auto" w:fill="auto"/>
            <w:vAlign w:val="center"/>
          </w:tcPr>
          <w:p w:rsidR="009F1DD6" w:rsidRPr="00D008DF" w:rsidRDefault="00D008DF" w:rsidP="006C46B7">
            <w:pPr>
              <w:rPr>
                <w:rFonts w:ascii="宋体" w:hAnsi="宋体"/>
                <w:b/>
                <w:sz w:val="24"/>
                <w:szCs w:val="24"/>
              </w:rPr>
            </w:pPr>
            <w:r w:rsidRPr="00D008DF">
              <w:rPr>
                <w:rFonts w:ascii="宋体" w:hAnsi="宋体" w:hint="eastAsia"/>
                <w:b/>
                <w:sz w:val="24"/>
                <w:szCs w:val="24"/>
              </w:rPr>
              <w:t>地点/方式</w:t>
            </w:r>
          </w:p>
        </w:tc>
        <w:tc>
          <w:tcPr>
            <w:tcW w:w="7191" w:type="dxa"/>
            <w:shd w:val="clear" w:color="auto" w:fill="auto"/>
            <w:vAlign w:val="center"/>
          </w:tcPr>
          <w:p w:rsidR="00220F52" w:rsidRDefault="00220F52" w:rsidP="00D008DF">
            <w:pPr>
              <w:jc w:val="left"/>
              <w:rPr>
                <w:rStyle w:val="fontstyle01"/>
                <w:rFonts w:hint="default"/>
              </w:rPr>
            </w:pPr>
            <w:r>
              <w:rPr>
                <w:rStyle w:val="fontstyle01"/>
                <w:rFonts w:hint="default"/>
              </w:rPr>
              <w:t>上海证券交易所</w:t>
            </w:r>
            <w:proofErr w:type="gramStart"/>
            <w:r>
              <w:rPr>
                <w:rStyle w:val="fontstyle01"/>
                <w:rFonts w:hint="default"/>
              </w:rPr>
              <w:t>上证路演</w:t>
            </w:r>
            <w:proofErr w:type="gramEnd"/>
            <w:r>
              <w:rPr>
                <w:rStyle w:val="fontstyle01"/>
                <w:rFonts w:hint="default"/>
              </w:rPr>
              <w:t>中心</w:t>
            </w:r>
          </w:p>
          <w:p w:rsidR="009F1DD6" w:rsidRPr="00D008DF" w:rsidRDefault="00220F52" w:rsidP="00D008DF">
            <w:pPr>
              <w:jc w:val="left"/>
              <w:rPr>
                <w:rFonts w:ascii="宋体" w:hAnsi="宋体"/>
                <w:bCs/>
                <w:sz w:val="24"/>
                <w:szCs w:val="24"/>
              </w:rPr>
            </w:pPr>
            <w:r>
              <w:rPr>
                <w:rStyle w:val="fontstyle01"/>
                <w:rFonts w:hint="default"/>
              </w:rPr>
              <w:t>（网址：http://roadshow.sseinfo.com/）</w:t>
            </w:r>
          </w:p>
          <w:p w:rsidR="009F1DD6" w:rsidRPr="00D008DF" w:rsidRDefault="007803CA" w:rsidP="006C46B7">
            <w:pPr>
              <w:rPr>
                <w:rFonts w:ascii="宋体" w:hAnsi="宋体"/>
                <w:sz w:val="24"/>
                <w:szCs w:val="24"/>
              </w:rPr>
            </w:pPr>
            <w:r w:rsidRPr="00D008DF">
              <w:rPr>
                <w:rStyle w:val="fontstyle01"/>
                <w:rFonts w:hint="default"/>
              </w:rPr>
              <w:t>南通市崇川区港</w:t>
            </w:r>
            <w:proofErr w:type="gramStart"/>
            <w:r w:rsidRPr="00D008DF">
              <w:rPr>
                <w:rStyle w:val="fontstyle01"/>
                <w:rFonts w:hint="default"/>
              </w:rPr>
              <w:t>闸经济</w:t>
            </w:r>
            <w:proofErr w:type="gramEnd"/>
            <w:r w:rsidRPr="00D008DF">
              <w:rPr>
                <w:rStyle w:val="fontstyle01"/>
                <w:rFonts w:hint="default"/>
              </w:rPr>
              <w:t>开发区永通路</w:t>
            </w:r>
            <w:r w:rsidR="00E03C46" w:rsidRPr="00D008DF">
              <w:rPr>
                <w:rStyle w:val="fontstyle01"/>
                <w:rFonts w:hint="default"/>
              </w:rPr>
              <w:t>2</w:t>
            </w:r>
            <w:r w:rsidRPr="00D008DF">
              <w:rPr>
                <w:rStyle w:val="fontstyle01"/>
                <w:rFonts w:hint="default"/>
              </w:rPr>
              <w:t>号办公大楼会议室</w:t>
            </w:r>
          </w:p>
        </w:tc>
      </w:tr>
      <w:tr w:rsidR="009F1DD6" w:rsidTr="00D008DF">
        <w:trPr>
          <w:trHeight w:val="838"/>
        </w:trPr>
        <w:tc>
          <w:tcPr>
            <w:tcW w:w="1526" w:type="dxa"/>
            <w:shd w:val="clear" w:color="auto" w:fill="auto"/>
            <w:vAlign w:val="center"/>
          </w:tcPr>
          <w:p w:rsidR="009F1DD6" w:rsidRPr="00D008DF" w:rsidRDefault="00D008DF" w:rsidP="006C46B7">
            <w:pPr>
              <w:rPr>
                <w:rFonts w:ascii="宋体" w:hAnsi="宋体"/>
                <w:b/>
                <w:sz w:val="24"/>
                <w:szCs w:val="24"/>
              </w:rPr>
            </w:pPr>
            <w:r w:rsidRPr="00D008DF">
              <w:rPr>
                <w:rFonts w:ascii="宋体" w:hAnsi="宋体" w:hint="eastAsia"/>
                <w:b/>
                <w:sz w:val="24"/>
                <w:szCs w:val="24"/>
              </w:rPr>
              <w:t>参会人员</w:t>
            </w:r>
          </w:p>
        </w:tc>
        <w:tc>
          <w:tcPr>
            <w:tcW w:w="7191" w:type="dxa"/>
            <w:shd w:val="clear" w:color="auto" w:fill="auto"/>
            <w:vAlign w:val="center"/>
          </w:tcPr>
          <w:p w:rsidR="007803CA" w:rsidRPr="00D008DF" w:rsidRDefault="007803CA" w:rsidP="006C46B7">
            <w:pPr>
              <w:rPr>
                <w:rFonts w:ascii="宋体" w:hAnsi="宋体" w:cs="宋体"/>
                <w:sz w:val="24"/>
                <w:szCs w:val="24"/>
              </w:rPr>
            </w:pPr>
            <w:r w:rsidRPr="00D008DF">
              <w:rPr>
                <w:rFonts w:ascii="宋体" w:hAnsi="宋体" w:cs="宋体" w:hint="eastAsia"/>
                <w:sz w:val="24"/>
                <w:szCs w:val="24"/>
              </w:rPr>
              <w:t>董事长：潘卫国</w:t>
            </w:r>
          </w:p>
          <w:p w:rsidR="007803CA" w:rsidRPr="00D008DF" w:rsidRDefault="007803CA" w:rsidP="006C46B7">
            <w:pPr>
              <w:rPr>
                <w:rFonts w:ascii="宋体" w:hAnsi="宋体" w:cs="宋体"/>
                <w:sz w:val="24"/>
                <w:szCs w:val="24"/>
              </w:rPr>
            </w:pPr>
            <w:r w:rsidRPr="00D008DF">
              <w:rPr>
                <w:rFonts w:ascii="宋体" w:hAnsi="宋体" w:cs="宋体" w:hint="eastAsia"/>
                <w:sz w:val="24"/>
                <w:szCs w:val="24"/>
              </w:rPr>
              <w:t>副董事长、总经理：卫小虎</w:t>
            </w:r>
          </w:p>
          <w:p w:rsidR="007803CA" w:rsidRPr="00D008DF" w:rsidRDefault="007803CA" w:rsidP="006C46B7">
            <w:pPr>
              <w:rPr>
                <w:rFonts w:ascii="宋体" w:hAnsi="宋体" w:cs="宋体"/>
                <w:sz w:val="24"/>
                <w:szCs w:val="24"/>
              </w:rPr>
            </w:pPr>
            <w:r w:rsidRPr="00D008DF">
              <w:rPr>
                <w:rFonts w:ascii="宋体" w:hAnsi="宋体" w:cs="宋体" w:hint="eastAsia"/>
                <w:sz w:val="24"/>
                <w:szCs w:val="24"/>
              </w:rPr>
              <w:t>董事、副总经理、董事会秘书、财务负责人：卫红燕</w:t>
            </w:r>
          </w:p>
          <w:p w:rsidR="009F1DD6" w:rsidRPr="00D008DF" w:rsidRDefault="00D008DF" w:rsidP="006C46B7">
            <w:pPr>
              <w:rPr>
                <w:rFonts w:ascii="宋体" w:hAnsi="宋体"/>
                <w:sz w:val="24"/>
                <w:szCs w:val="24"/>
              </w:rPr>
            </w:pPr>
            <w:r w:rsidRPr="00D008DF">
              <w:rPr>
                <w:rFonts w:ascii="宋体" w:hAnsi="宋体" w:cs="宋体" w:hint="eastAsia"/>
                <w:sz w:val="24"/>
                <w:szCs w:val="24"/>
              </w:rPr>
              <w:t>独立董事：邱自学</w:t>
            </w:r>
          </w:p>
        </w:tc>
      </w:tr>
      <w:tr w:rsidR="009F1DD6" w:rsidTr="00D008DF">
        <w:trPr>
          <w:trHeight w:val="557"/>
        </w:trPr>
        <w:tc>
          <w:tcPr>
            <w:tcW w:w="1526" w:type="dxa"/>
            <w:shd w:val="clear" w:color="auto" w:fill="auto"/>
            <w:vAlign w:val="center"/>
          </w:tcPr>
          <w:p w:rsidR="009F1DD6" w:rsidRPr="00D008DF" w:rsidRDefault="00D008DF">
            <w:pPr>
              <w:rPr>
                <w:b/>
                <w:sz w:val="24"/>
                <w:szCs w:val="24"/>
              </w:rPr>
            </w:pPr>
            <w:r w:rsidRPr="00D008DF">
              <w:rPr>
                <w:rFonts w:hint="eastAsia"/>
                <w:b/>
                <w:sz w:val="24"/>
                <w:szCs w:val="24"/>
              </w:rPr>
              <w:t>投资者关系活动主要内容介绍</w:t>
            </w:r>
          </w:p>
        </w:tc>
        <w:tc>
          <w:tcPr>
            <w:tcW w:w="7191" w:type="dxa"/>
            <w:shd w:val="clear" w:color="auto" w:fill="auto"/>
          </w:tcPr>
          <w:p w:rsidR="009F1DD6" w:rsidRPr="00D008DF" w:rsidRDefault="007803CA" w:rsidP="007803CA">
            <w:pPr>
              <w:rPr>
                <w:rFonts w:ascii="宋体" w:hAnsi="宋体"/>
                <w:b/>
              </w:rPr>
            </w:pPr>
            <w:r w:rsidRPr="00D008DF">
              <w:rPr>
                <w:rFonts w:ascii="宋体" w:hAnsi="宋体"/>
                <w:b/>
                <w:sz w:val="24"/>
              </w:rPr>
              <w:t>1</w:t>
            </w:r>
            <w:r w:rsidR="00D008DF" w:rsidRPr="00D008DF">
              <w:rPr>
                <w:rFonts w:ascii="宋体" w:hAnsi="宋体"/>
                <w:b/>
                <w:sz w:val="24"/>
              </w:rPr>
              <w:t>、请问公司在半导体设备领域的加工机床需求如何？公司在半导体加工设备方面有哪些产品布局？哪些客户？</w:t>
            </w:r>
          </w:p>
          <w:p w:rsidR="009F1DD6" w:rsidRPr="00D008DF" w:rsidRDefault="00D008DF" w:rsidP="007803CA">
            <w:pPr>
              <w:rPr>
                <w:rFonts w:ascii="宋体" w:hAnsi="宋体"/>
                <w:sz w:val="24"/>
              </w:rPr>
            </w:pPr>
            <w:r w:rsidRPr="00D008DF">
              <w:rPr>
                <w:rFonts w:ascii="宋体" w:hAnsi="宋体"/>
                <w:sz w:val="24"/>
              </w:rPr>
              <w:t>尊敬的投资者，您好！半导体设备领域确实是当前机床行业需求较旺、增长较快的赛道之一。我们的判断是，需求较强、门槛较高、国产替代正当时，公司已在该领域实现实质性突破。半导体设备零部件加工精度、洁净度、稳定性的要求可以说是制造业金字塔的顶端，其零部件主要分为精密金属零部件和非金属零部件，两种类型的零部件加工要求不同。公司2023年就开始为半导体行业配套精密</w:t>
            </w:r>
            <w:proofErr w:type="gramStart"/>
            <w:r w:rsidRPr="00D008DF">
              <w:rPr>
                <w:rFonts w:ascii="宋体" w:hAnsi="宋体"/>
                <w:sz w:val="24"/>
              </w:rPr>
              <w:t>钣</w:t>
            </w:r>
            <w:proofErr w:type="gramEnd"/>
            <w:r w:rsidRPr="00D008DF">
              <w:rPr>
                <w:rFonts w:ascii="宋体" w:hAnsi="宋体"/>
                <w:sz w:val="24"/>
              </w:rPr>
              <w:t>焊件，满足其精密度高、洁净度高、后处理要求高的高洁净</w:t>
            </w:r>
            <w:proofErr w:type="gramStart"/>
            <w:r w:rsidRPr="00D008DF">
              <w:rPr>
                <w:rFonts w:ascii="宋体" w:hAnsi="宋体"/>
                <w:sz w:val="24"/>
              </w:rPr>
              <w:t>钣</w:t>
            </w:r>
            <w:proofErr w:type="gramEnd"/>
            <w:r w:rsidRPr="00D008DF">
              <w:rPr>
                <w:rFonts w:ascii="宋体" w:hAnsi="宋体"/>
                <w:sz w:val="24"/>
              </w:rPr>
              <w:t>金要求。2024年逐步开始针对半导体领域的数控机床产品进行深入研发，并将半导体设备零部件加工机床列为重点布局行业之一。专门开发了高速立车/高速卧加（针对半导体腔体类零件）、高速龙门（针对半导体设备底座类零件）、</w:t>
            </w:r>
            <w:proofErr w:type="gramStart"/>
            <w:r w:rsidRPr="00D008DF">
              <w:rPr>
                <w:rFonts w:ascii="宋体" w:hAnsi="宋体"/>
                <w:sz w:val="24"/>
              </w:rPr>
              <w:t>摇篮五轴加工</w:t>
            </w:r>
            <w:proofErr w:type="gramEnd"/>
            <w:r w:rsidRPr="00D008DF">
              <w:rPr>
                <w:rFonts w:ascii="宋体" w:hAnsi="宋体"/>
                <w:sz w:val="24"/>
              </w:rPr>
              <w:t>中心（叶轮类零件）、</w:t>
            </w:r>
            <w:proofErr w:type="gramStart"/>
            <w:r w:rsidRPr="00D008DF">
              <w:rPr>
                <w:rFonts w:ascii="宋体" w:hAnsi="宋体"/>
                <w:sz w:val="24"/>
              </w:rPr>
              <w:t>高速立加</w:t>
            </w:r>
            <w:proofErr w:type="gramEnd"/>
            <w:r w:rsidRPr="00D008DF">
              <w:rPr>
                <w:rFonts w:ascii="宋体" w:hAnsi="宋体"/>
                <w:sz w:val="24"/>
              </w:rPr>
              <w:t>/高速卧车（针对陶瓷等非金属类的治具）、高精度立式磨床（针对非金属脆性材料零件）。目前公司已经完成了从“产品突破”到“批量供货”的产业化升级，并已经在半导体领域头部客户实现批量应用。关于具体客户名称，涉及商业机密不便透露，敬请理解。未来公司将继续围绕半导体行业加工应用场景进行定制开发，加快核心功能部件研发，扩大在国产替代中的份额。感谢您的关注！</w:t>
            </w:r>
          </w:p>
          <w:p w:rsidR="005C20DD" w:rsidRPr="00D008DF" w:rsidRDefault="005C20DD" w:rsidP="007803CA">
            <w:pPr>
              <w:rPr>
                <w:rFonts w:ascii="宋体" w:hAnsi="宋体"/>
                <w:sz w:val="24"/>
              </w:rPr>
            </w:pPr>
          </w:p>
          <w:p w:rsidR="009F1DD6" w:rsidRPr="00D008DF" w:rsidRDefault="005C20DD" w:rsidP="007803CA">
            <w:pPr>
              <w:rPr>
                <w:rFonts w:ascii="宋体" w:hAnsi="宋体"/>
                <w:b/>
              </w:rPr>
            </w:pPr>
            <w:r w:rsidRPr="00D008DF">
              <w:rPr>
                <w:rFonts w:ascii="宋体" w:hAnsi="宋体"/>
                <w:b/>
                <w:sz w:val="24"/>
              </w:rPr>
              <w:t>2</w:t>
            </w:r>
            <w:r w:rsidR="00D008DF" w:rsidRPr="00D008DF">
              <w:rPr>
                <w:rFonts w:ascii="宋体" w:hAnsi="宋体"/>
                <w:b/>
                <w:sz w:val="24"/>
              </w:rPr>
              <w:t>、公司对2026年行业景气度的判断是什么？面对行业发展趋势，公司有何应对策略？公司2026年重点经营计划和目标是什么？</w:t>
            </w:r>
          </w:p>
          <w:p w:rsidR="009F1DD6" w:rsidRPr="00D008DF" w:rsidRDefault="00D008DF" w:rsidP="007803CA">
            <w:pPr>
              <w:rPr>
                <w:rFonts w:ascii="宋体" w:hAnsi="宋体"/>
                <w:sz w:val="24"/>
              </w:rPr>
            </w:pPr>
            <w:r w:rsidRPr="00D008DF">
              <w:rPr>
                <w:rFonts w:ascii="宋体" w:hAnsi="宋体"/>
                <w:sz w:val="24"/>
              </w:rPr>
              <w:t>尊敬的投资者，您好！今年以来，部分景气行业需求带动国内机床</w:t>
            </w:r>
            <w:r w:rsidRPr="00D008DF">
              <w:rPr>
                <w:rFonts w:ascii="宋体" w:hAnsi="宋体"/>
                <w:sz w:val="24"/>
              </w:rPr>
              <w:lastRenderedPageBreak/>
              <w:t>行业订单有所复苏，目前行业整体处于结构性复苏阶段，高端化、智能化方向的</w:t>
            </w:r>
            <w:proofErr w:type="gramStart"/>
            <w:r w:rsidRPr="00D008DF">
              <w:rPr>
                <w:rFonts w:ascii="宋体" w:hAnsi="宋体"/>
                <w:sz w:val="24"/>
              </w:rPr>
              <w:t>景气度向好</w:t>
            </w:r>
            <w:proofErr w:type="gramEnd"/>
            <w:r w:rsidRPr="00D008DF">
              <w:rPr>
                <w:rFonts w:ascii="宋体" w:hAnsi="宋体"/>
                <w:sz w:val="24"/>
              </w:rPr>
              <w:t>。宏观数据方面，根据中国机床工具工业协会的数据，2026年1-2月，金属加工机床新增订单、在手订单、产量和营收同比均为增长。这些数据说明，行业底部在逐步过去，需求回暖趋势显现。尤其是新兴领域的需求加大，政策红利的持续释放，结构分化是本轮景气周期的明显特征。从公司自身经营来看，2026年一季度公司营收同比增长11.89%，</w:t>
            </w:r>
            <w:proofErr w:type="gramStart"/>
            <w:r w:rsidRPr="00D008DF">
              <w:rPr>
                <w:rFonts w:ascii="宋体" w:hAnsi="宋体"/>
                <w:sz w:val="24"/>
              </w:rPr>
              <w:t>归母净利润</w:t>
            </w:r>
            <w:proofErr w:type="gramEnd"/>
            <w:r w:rsidRPr="00D008DF">
              <w:rPr>
                <w:rFonts w:ascii="宋体" w:hAnsi="宋体"/>
                <w:sz w:val="24"/>
              </w:rPr>
              <w:t>同比增长18.53%，毛利率同比增加0.68个百分点，净利率同比增加0.05个百分点。目前公司在手订单充足，综合来看，我们对2026年行业</w:t>
            </w:r>
            <w:proofErr w:type="gramStart"/>
            <w:r w:rsidRPr="00D008DF">
              <w:rPr>
                <w:rFonts w:ascii="宋体" w:hAnsi="宋体"/>
                <w:sz w:val="24"/>
              </w:rPr>
              <w:t>景气度持谨慎</w:t>
            </w:r>
            <w:proofErr w:type="gramEnd"/>
            <w:r w:rsidRPr="00D008DF">
              <w:rPr>
                <w:rFonts w:ascii="宋体" w:hAnsi="宋体"/>
                <w:sz w:val="24"/>
              </w:rPr>
              <w:t>乐观态度。 数控机床是装备制造业的工业母机，对国民经济的发展至关重要。未来，新兴行业的迅猛发展和传统行业的提质增效，都将持续推动机床行业的增长。面对行业高端化、智能化等发展趋势，以及新兴赛道快速崛起的结构性机遇，公司的应对策略清晰且聚焦，可以概括为“内外协同”——对外，将价值融入产业生态，一切围绕市场；对内，以数据驱动内生之力，一切服务生产。 公司2026年重点经营计划在2025年年报中已有披露相关内容，在此我们再提炼一下，我们将围绕：市场开拓、技术突破、</w:t>
            </w:r>
            <w:proofErr w:type="gramStart"/>
            <w:r w:rsidRPr="00D008DF">
              <w:rPr>
                <w:rFonts w:ascii="宋体" w:hAnsi="宋体"/>
                <w:sz w:val="24"/>
              </w:rPr>
              <w:t>产效提升</w:t>
            </w:r>
            <w:proofErr w:type="gramEnd"/>
            <w:r w:rsidRPr="00D008DF">
              <w:rPr>
                <w:rFonts w:ascii="宋体" w:hAnsi="宋体"/>
                <w:sz w:val="24"/>
              </w:rPr>
              <w:t>、成本精进、价值提升五个方面重点开展工作。我们相信，只有把这几方面做实做深，才能在行业结构性复苏中持续扩大市场份额，提升公司经营质量。感谢您的关注！</w:t>
            </w:r>
          </w:p>
          <w:p w:rsidR="005C20DD" w:rsidRPr="00D008DF" w:rsidRDefault="005C20DD" w:rsidP="007803CA">
            <w:pPr>
              <w:rPr>
                <w:rFonts w:ascii="宋体" w:hAnsi="宋体"/>
                <w:sz w:val="24"/>
              </w:rPr>
            </w:pPr>
          </w:p>
          <w:p w:rsidR="009F1DD6" w:rsidRPr="00D008DF" w:rsidRDefault="00434484" w:rsidP="007803CA">
            <w:pPr>
              <w:rPr>
                <w:rFonts w:ascii="宋体" w:hAnsi="宋体"/>
                <w:b/>
              </w:rPr>
            </w:pPr>
            <w:r>
              <w:rPr>
                <w:rFonts w:ascii="宋体" w:hAnsi="宋体"/>
                <w:b/>
                <w:sz w:val="24"/>
              </w:rPr>
              <w:t>3</w:t>
            </w:r>
            <w:r w:rsidR="00D008DF" w:rsidRPr="00D008DF">
              <w:rPr>
                <w:rFonts w:ascii="宋体" w:hAnsi="宋体"/>
                <w:b/>
                <w:sz w:val="24"/>
              </w:rPr>
              <w:t>、一季度净利润增长18.53%，</w:t>
            </w:r>
            <w:proofErr w:type="gramStart"/>
            <w:r w:rsidR="00D008DF" w:rsidRPr="00D008DF">
              <w:rPr>
                <w:rFonts w:ascii="宋体" w:hAnsi="宋体"/>
                <w:b/>
                <w:sz w:val="24"/>
              </w:rPr>
              <w:t>但扣非净</w:t>
            </w:r>
            <w:proofErr w:type="gramEnd"/>
            <w:r w:rsidR="00D008DF" w:rsidRPr="00D008DF">
              <w:rPr>
                <w:rFonts w:ascii="宋体" w:hAnsi="宋体"/>
                <w:b/>
                <w:sz w:val="24"/>
              </w:rPr>
              <w:t>利润只增长18.65%，几乎没有差异。是不是意味着公司没有非经常性损益的干扰？</w:t>
            </w:r>
          </w:p>
          <w:p w:rsidR="005C20DD" w:rsidRPr="00D008DF" w:rsidRDefault="00D008DF" w:rsidP="005C20DD">
            <w:pPr>
              <w:rPr>
                <w:rFonts w:ascii="宋体" w:hAnsi="宋体"/>
                <w:sz w:val="24"/>
              </w:rPr>
            </w:pPr>
            <w:r w:rsidRPr="00D008DF">
              <w:rPr>
                <w:rFonts w:ascii="宋体" w:hAnsi="宋体"/>
                <w:sz w:val="24"/>
              </w:rPr>
              <w:t>尊敬的投资者，您好！公司2026年一季度非经常性损益约194万元，主要是政府补助和理财收益等，占净利润的比重较小。这也反映了：一是公司主业盈利质量比较扎实，不依赖一次性收益；二是公司财务结构健康，没有大额的资产处置或减值损失。当然，我们希望继续保持这种状态，让投资者更关注我们的主营业务表现，不被非经常性项目干扰判断。</w:t>
            </w:r>
            <w:r w:rsidR="005C20DD" w:rsidRPr="00D008DF">
              <w:rPr>
                <w:rFonts w:ascii="宋体" w:hAnsi="宋体"/>
                <w:sz w:val="24"/>
              </w:rPr>
              <w:t>感谢您的关注！</w:t>
            </w:r>
          </w:p>
          <w:p w:rsidR="009F1DD6" w:rsidRPr="00D008DF" w:rsidRDefault="009F1DD6" w:rsidP="007803CA">
            <w:pPr>
              <w:rPr>
                <w:rFonts w:ascii="宋体" w:hAnsi="宋体"/>
                <w:sz w:val="24"/>
              </w:rPr>
            </w:pPr>
          </w:p>
          <w:p w:rsidR="009F1DD6" w:rsidRPr="00D008DF" w:rsidRDefault="00434484" w:rsidP="007803CA">
            <w:pPr>
              <w:rPr>
                <w:rFonts w:ascii="宋体" w:hAnsi="宋体"/>
                <w:b/>
              </w:rPr>
            </w:pPr>
            <w:r>
              <w:rPr>
                <w:rFonts w:ascii="宋体" w:hAnsi="宋体"/>
                <w:b/>
                <w:sz w:val="24"/>
              </w:rPr>
              <w:t>4</w:t>
            </w:r>
            <w:r w:rsidR="00D008DF" w:rsidRPr="00D008DF">
              <w:rPr>
                <w:rFonts w:ascii="宋体" w:hAnsi="宋体"/>
                <w:b/>
                <w:sz w:val="24"/>
              </w:rPr>
              <w:t>、请问原材料涨价，对公司利润是否有影响？</w:t>
            </w:r>
          </w:p>
          <w:p w:rsidR="009F1DD6" w:rsidRPr="00D008DF" w:rsidRDefault="00D008DF" w:rsidP="007803CA">
            <w:pPr>
              <w:rPr>
                <w:rFonts w:ascii="宋体" w:hAnsi="宋体"/>
                <w:sz w:val="24"/>
              </w:rPr>
            </w:pPr>
            <w:r w:rsidRPr="00D008DF">
              <w:rPr>
                <w:rFonts w:ascii="宋体" w:hAnsi="宋体"/>
                <w:sz w:val="24"/>
              </w:rPr>
              <w:t>尊敬的投资者，您好！公司通过多年积累，凭借良好的付款信用体系，已建立长期稳固的供应链系统，并与主要供应</w:t>
            </w:r>
            <w:proofErr w:type="gramStart"/>
            <w:r w:rsidRPr="00D008DF">
              <w:rPr>
                <w:rFonts w:ascii="宋体" w:hAnsi="宋体"/>
                <w:sz w:val="24"/>
              </w:rPr>
              <w:t>商形成</w:t>
            </w:r>
            <w:proofErr w:type="gramEnd"/>
            <w:r w:rsidRPr="00D008DF">
              <w:rPr>
                <w:rFonts w:ascii="宋体" w:hAnsi="宋体"/>
                <w:sz w:val="24"/>
              </w:rPr>
              <w:t>良好的合作关系，有效控制了公司的采购成本，降低原材料价格波动风险。就目前而言，部分原材料的波动对公司利润的影响是可控的。当然，我们会持续关注原材料价格走势，做好供应</w:t>
            </w:r>
            <w:proofErr w:type="gramStart"/>
            <w:r w:rsidRPr="00D008DF">
              <w:rPr>
                <w:rFonts w:ascii="宋体" w:hAnsi="宋体"/>
                <w:sz w:val="24"/>
              </w:rPr>
              <w:t>链风险</w:t>
            </w:r>
            <w:proofErr w:type="gramEnd"/>
            <w:r w:rsidRPr="00D008DF">
              <w:rPr>
                <w:rFonts w:ascii="宋体" w:hAnsi="宋体"/>
                <w:sz w:val="24"/>
              </w:rPr>
              <w:t>管理。感谢您的关注！</w:t>
            </w:r>
          </w:p>
          <w:p w:rsidR="005C20DD" w:rsidRPr="00D008DF" w:rsidRDefault="005C20DD" w:rsidP="007803CA">
            <w:pPr>
              <w:rPr>
                <w:rFonts w:ascii="宋体" w:hAnsi="宋体"/>
                <w:sz w:val="24"/>
              </w:rPr>
            </w:pPr>
          </w:p>
          <w:p w:rsidR="009F1DD6" w:rsidRPr="00D008DF" w:rsidRDefault="00434484" w:rsidP="007803CA">
            <w:pPr>
              <w:rPr>
                <w:rFonts w:ascii="宋体" w:hAnsi="宋体"/>
                <w:b/>
              </w:rPr>
            </w:pPr>
            <w:r>
              <w:rPr>
                <w:rFonts w:ascii="宋体" w:hAnsi="宋体"/>
                <w:b/>
                <w:sz w:val="24"/>
              </w:rPr>
              <w:t>5</w:t>
            </w:r>
            <w:r w:rsidR="00D008DF" w:rsidRPr="00D008DF">
              <w:rPr>
                <w:rFonts w:ascii="宋体" w:hAnsi="宋体"/>
                <w:b/>
                <w:sz w:val="24"/>
              </w:rPr>
              <w:t>、一季度利润增长现金流反而下降，经营性现金流是负的，资金链会不会有问题？</w:t>
            </w:r>
          </w:p>
          <w:p w:rsidR="009F1DD6" w:rsidRPr="00D008DF" w:rsidRDefault="00D008DF" w:rsidP="007803CA">
            <w:pPr>
              <w:rPr>
                <w:rFonts w:ascii="宋体" w:hAnsi="宋体"/>
                <w:sz w:val="24"/>
              </w:rPr>
            </w:pPr>
            <w:r w:rsidRPr="00D008DF">
              <w:rPr>
                <w:rFonts w:ascii="宋体" w:hAnsi="宋体"/>
                <w:sz w:val="24"/>
              </w:rPr>
              <w:t>尊敬的投资者，您好！公司一季度在手订单充足，为保障订单交付，公司加大了原材料和一些核心采购件的备货力度，导致经营性现金流阶段性为负，这是订单驱动型的临时现象。另外，公司财务结构非常健康，资产负债率仅为24.5%，货币资金充裕，资金链不存在任</w:t>
            </w:r>
            <w:r w:rsidRPr="00D008DF">
              <w:rPr>
                <w:rFonts w:ascii="宋体" w:hAnsi="宋体"/>
                <w:sz w:val="24"/>
              </w:rPr>
              <w:lastRenderedPageBreak/>
              <w:t>何问题。随着后续订单的交付和回款，</w:t>
            </w:r>
            <w:proofErr w:type="gramStart"/>
            <w:r w:rsidRPr="00D008DF">
              <w:rPr>
                <w:rFonts w:ascii="宋体" w:hAnsi="宋体"/>
                <w:sz w:val="24"/>
              </w:rPr>
              <w:t>经营性现流会</w:t>
            </w:r>
            <w:proofErr w:type="gramEnd"/>
            <w:r w:rsidRPr="00D008DF">
              <w:rPr>
                <w:rFonts w:ascii="宋体" w:hAnsi="宋体"/>
                <w:sz w:val="24"/>
              </w:rPr>
              <w:t>明显改善。感谢您的关注！</w:t>
            </w:r>
          </w:p>
          <w:p w:rsidR="005C20DD" w:rsidRPr="00D008DF" w:rsidRDefault="005C20DD" w:rsidP="007803CA">
            <w:pPr>
              <w:rPr>
                <w:rFonts w:ascii="宋体" w:hAnsi="宋体"/>
                <w:sz w:val="24"/>
              </w:rPr>
            </w:pPr>
          </w:p>
          <w:p w:rsidR="009F1DD6" w:rsidRPr="00D008DF" w:rsidRDefault="00434484" w:rsidP="007803CA">
            <w:pPr>
              <w:rPr>
                <w:rFonts w:ascii="宋体" w:hAnsi="宋体"/>
                <w:b/>
              </w:rPr>
            </w:pPr>
            <w:r>
              <w:rPr>
                <w:rFonts w:ascii="宋体" w:hAnsi="宋体"/>
                <w:b/>
                <w:sz w:val="24"/>
              </w:rPr>
              <w:t>6</w:t>
            </w:r>
            <w:r w:rsidR="00D008DF" w:rsidRPr="00D008DF">
              <w:rPr>
                <w:rFonts w:ascii="宋体" w:hAnsi="宋体"/>
                <w:b/>
                <w:sz w:val="24"/>
              </w:rPr>
              <w:t>、公司2025年毛利率同比上升，请问是否还会有上升空间，是否会持续？</w:t>
            </w:r>
          </w:p>
          <w:p w:rsidR="009F1DD6" w:rsidRPr="00D008DF" w:rsidRDefault="00D008DF" w:rsidP="007803CA">
            <w:pPr>
              <w:rPr>
                <w:rFonts w:ascii="宋体" w:hAnsi="宋体"/>
                <w:sz w:val="24"/>
              </w:rPr>
            </w:pPr>
            <w:r w:rsidRPr="00D008DF">
              <w:rPr>
                <w:rFonts w:ascii="宋体" w:hAnsi="宋体"/>
                <w:sz w:val="24"/>
              </w:rPr>
              <w:t>尊敬的投资者，您好！感谢您关注到毛利率这个核心指标。公司2025年毛利率同比增加1.23个百分点，2026年一季度毛利率同比增加0.68个百分点，驱动毛利率提升的主要因素是产品结构的优化和降本增效的结果，2025年公司高档数控机床收入占比提升，同时推行全员成本管理成效显著。2026年，公司在去年全集团推行全员成本管理和全过程成本管理的基础上进一步升维，持续精进降本增效。并通过对批量产品成本结构优化，提升产品性价比；继续通过技术迭代、零部件集采、质量跃升、效率提升、工艺改进、服务升级、物流智能化、AI应用等方面进行成本管理升维，构筑公司持续竞争力。感谢您的关注！</w:t>
            </w:r>
          </w:p>
          <w:p w:rsidR="005C20DD" w:rsidRPr="00D008DF" w:rsidRDefault="005C20DD" w:rsidP="007803CA">
            <w:pPr>
              <w:rPr>
                <w:rFonts w:ascii="宋体" w:hAnsi="宋体"/>
                <w:sz w:val="24"/>
              </w:rPr>
            </w:pPr>
          </w:p>
          <w:p w:rsidR="009F1DD6" w:rsidRPr="00D008DF" w:rsidRDefault="00434484" w:rsidP="007803CA">
            <w:pPr>
              <w:rPr>
                <w:rFonts w:ascii="宋体" w:hAnsi="宋体"/>
                <w:b/>
              </w:rPr>
            </w:pPr>
            <w:r>
              <w:rPr>
                <w:rFonts w:ascii="宋体" w:hAnsi="宋体"/>
                <w:b/>
                <w:sz w:val="24"/>
              </w:rPr>
              <w:t>7</w:t>
            </w:r>
            <w:r w:rsidR="00D008DF" w:rsidRPr="00D008DF">
              <w:rPr>
                <w:rFonts w:ascii="宋体" w:hAnsi="宋体"/>
                <w:b/>
                <w:sz w:val="24"/>
              </w:rPr>
              <w:t>、“十五五”规划对工业母机领域的政策支持力度如何？公司将如何把握政策红利？</w:t>
            </w:r>
          </w:p>
          <w:p w:rsidR="009F1DD6" w:rsidRPr="00D008DF" w:rsidRDefault="00D008DF" w:rsidP="007803CA">
            <w:pPr>
              <w:rPr>
                <w:rFonts w:ascii="宋体" w:hAnsi="宋体"/>
                <w:sz w:val="24"/>
              </w:rPr>
            </w:pPr>
            <w:r w:rsidRPr="00D008DF">
              <w:rPr>
                <w:rFonts w:ascii="宋体" w:hAnsi="宋体"/>
                <w:sz w:val="24"/>
              </w:rPr>
              <w:t>尊敬的投资者，您好！“十五五”规划将工业母机列入采取超常规措施攻关的重点领域，数控机床行业正迎来前所未有的发展机遇。中央经济工作会议明确要实施更加积极的财政政策，持续支持“两重”项目和“两新”政策实施。 2026年作为“十五五”开局之年，数控机床行业站在了国家战略与产业升级的交叉点上，随着政策、技术、市场的多重驱动，未来行业将朝着更高水平的自主可控和智能化方向持续演进。总之，政策利好是长期稳定的，公司当下的重点是：围绕客户需求，把产品做好做精，不断满足客户更高要求，持续为客户创造价值，让政策红利自然体现在公司订单和业绩端。感谢您的关注！</w:t>
            </w:r>
          </w:p>
          <w:p w:rsidR="005C20DD" w:rsidRPr="00D008DF" w:rsidRDefault="005C20DD" w:rsidP="007803CA">
            <w:pPr>
              <w:rPr>
                <w:rFonts w:ascii="宋体" w:hAnsi="宋体"/>
                <w:sz w:val="24"/>
              </w:rPr>
            </w:pPr>
          </w:p>
          <w:p w:rsidR="009F1DD6" w:rsidRPr="00D008DF" w:rsidRDefault="00434484" w:rsidP="007803CA">
            <w:pPr>
              <w:rPr>
                <w:rFonts w:ascii="宋体" w:hAnsi="宋体"/>
                <w:b/>
              </w:rPr>
            </w:pPr>
            <w:r>
              <w:rPr>
                <w:rFonts w:ascii="宋体" w:hAnsi="宋体"/>
                <w:b/>
                <w:sz w:val="24"/>
              </w:rPr>
              <w:t>8</w:t>
            </w:r>
            <w:r w:rsidR="00D008DF" w:rsidRPr="00D008DF">
              <w:rPr>
                <w:rFonts w:ascii="宋体" w:hAnsi="宋体"/>
                <w:b/>
                <w:sz w:val="24"/>
              </w:rPr>
              <w:t>、请问公司目前订单情况如何？目前产能利用率处于什么状态？产能是否还有提升空间？</w:t>
            </w:r>
          </w:p>
          <w:p w:rsidR="009F1DD6" w:rsidRPr="00D008DF" w:rsidRDefault="00D008DF" w:rsidP="007803CA">
            <w:pPr>
              <w:rPr>
                <w:rFonts w:ascii="宋体" w:hAnsi="宋体"/>
                <w:sz w:val="24"/>
              </w:rPr>
            </w:pPr>
            <w:r w:rsidRPr="00D008DF">
              <w:rPr>
                <w:rFonts w:ascii="宋体" w:hAnsi="宋体"/>
                <w:sz w:val="24"/>
              </w:rPr>
              <w:t>尊敬的投资者，您好！公司近期接单情况良好，目前在手订单充足。目前公司产能利用率处于较高水平，核心生产基地高效运行。得益于公司持续推进生产基地改扩建和数字化改造，2026年生产效率将进一步提升，现有产能的挖掘和突破是公司近期工作重点之一，产能提升计划正有序推进。感谢您的关注！</w:t>
            </w:r>
          </w:p>
          <w:p w:rsidR="005C20DD" w:rsidRPr="00D008DF" w:rsidRDefault="005C20DD" w:rsidP="007803CA">
            <w:pPr>
              <w:rPr>
                <w:rFonts w:ascii="宋体" w:hAnsi="宋体"/>
                <w:sz w:val="24"/>
              </w:rPr>
            </w:pPr>
          </w:p>
          <w:p w:rsidR="007803CA" w:rsidRPr="00D008DF" w:rsidRDefault="00434484" w:rsidP="007803CA">
            <w:pPr>
              <w:rPr>
                <w:rFonts w:ascii="宋体" w:hAnsi="宋体"/>
                <w:b/>
              </w:rPr>
            </w:pPr>
            <w:r>
              <w:rPr>
                <w:rFonts w:ascii="宋体" w:hAnsi="宋体"/>
                <w:b/>
                <w:sz w:val="24"/>
              </w:rPr>
              <w:t>9</w:t>
            </w:r>
            <w:r w:rsidR="007803CA" w:rsidRPr="00D008DF">
              <w:rPr>
                <w:rFonts w:ascii="宋体" w:hAnsi="宋体" w:hint="eastAsia"/>
                <w:b/>
                <w:sz w:val="24"/>
              </w:rPr>
              <w:t>、</w:t>
            </w:r>
            <w:r w:rsidR="007803CA" w:rsidRPr="00D008DF">
              <w:rPr>
                <w:rFonts w:ascii="宋体" w:hAnsi="宋体"/>
                <w:b/>
                <w:sz w:val="24"/>
              </w:rPr>
              <w:t>请问贵公司的一季度经营活动现金流为负（-1047万元），贵公司解释是加大备货所致。那么二季度随着订单交付，经营性现金</w:t>
            </w:r>
            <w:proofErr w:type="gramStart"/>
            <w:r w:rsidR="007803CA" w:rsidRPr="00D008DF">
              <w:rPr>
                <w:rFonts w:ascii="宋体" w:hAnsi="宋体"/>
                <w:b/>
                <w:sz w:val="24"/>
              </w:rPr>
              <w:t>流能否</w:t>
            </w:r>
            <w:proofErr w:type="gramEnd"/>
            <w:r w:rsidR="007803CA" w:rsidRPr="00D008DF">
              <w:rPr>
                <w:rFonts w:ascii="宋体" w:hAnsi="宋体"/>
                <w:b/>
                <w:sz w:val="24"/>
              </w:rPr>
              <w:t>确定转正？公司内部是否有“经营活动现金流净额不低于净利润80%”的硬性目标呢？</w:t>
            </w:r>
          </w:p>
          <w:p w:rsidR="009F1DD6" w:rsidRPr="00BA2503" w:rsidRDefault="007803CA" w:rsidP="00BA2503">
            <w:pPr>
              <w:rPr>
                <w:rFonts w:ascii="宋体" w:hAnsi="宋体" w:hint="eastAsia"/>
                <w:sz w:val="24"/>
              </w:rPr>
            </w:pPr>
            <w:r w:rsidRPr="00D008DF">
              <w:rPr>
                <w:rFonts w:ascii="宋体" w:hAnsi="宋体"/>
                <w:sz w:val="24"/>
              </w:rPr>
              <w:t>尊敬的投资者，您好！公司一季度在手订单充足，为保障订单交付，公司加大了原材料和一些核心采购件的备货力度，导致经营性现金流阶段性为负，这是订单驱动型的临时现象。随着后续订单的交付</w:t>
            </w:r>
            <w:r w:rsidRPr="00D008DF">
              <w:rPr>
                <w:rFonts w:ascii="宋体" w:hAnsi="宋体"/>
                <w:sz w:val="24"/>
              </w:rPr>
              <w:lastRenderedPageBreak/>
              <w:t>和回款，</w:t>
            </w:r>
            <w:proofErr w:type="gramStart"/>
            <w:r w:rsidRPr="00D008DF">
              <w:rPr>
                <w:rFonts w:ascii="宋体" w:hAnsi="宋体"/>
                <w:sz w:val="24"/>
              </w:rPr>
              <w:t>经营性现流会</w:t>
            </w:r>
            <w:proofErr w:type="gramEnd"/>
            <w:r w:rsidRPr="00D008DF">
              <w:rPr>
                <w:rFonts w:ascii="宋体" w:hAnsi="宋体"/>
                <w:sz w:val="24"/>
              </w:rPr>
              <w:t>明显改善。公司近两年现金流净额均超过2亿元。感谢您的关注！</w:t>
            </w:r>
            <w:bookmarkStart w:id="0" w:name="_GoBack"/>
            <w:bookmarkEnd w:id="0"/>
          </w:p>
        </w:tc>
      </w:tr>
    </w:tbl>
    <w:p w:rsidR="009F1DD6" w:rsidRDefault="009F1DD6"/>
    <w:p w:rsidR="009F1DD6" w:rsidRDefault="009F1DD6"/>
    <w:sectPr w:rsidR="009F1DD6">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FE5" w:rsidRDefault="005B3FE5">
      <w:r>
        <w:separator/>
      </w:r>
    </w:p>
  </w:endnote>
  <w:endnote w:type="continuationSeparator" w:id="0">
    <w:p w:rsidR="005B3FE5" w:rsidRDefault="005B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FE5" w:rsidRDefault="005B3FE5">
      <w:r>
        <w:separator/>
      </w:r>
    </w:p>
  </w:footnote>
  <w:footnote w:type="continuationSeparator" w:id="0">
    <w:p w:rsidR="005B3FE5" w:rsidRDefault="005B3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DD6" w:rsidRDefault="00D008DF">
    <w:pPr>
      <w:pStyle w:val="a3"/>
      <w:tabs>
        <w:tab w:val="clear" w:pos="4153"/>
      </w:tabs>
      <w:jc w:val="right"/>
    </w:pPr>
    <w:proofErr w:type="gramStart"/>
    <w:r>
      <w:rPr>
        <w:rFonts w:hint="eastAsia"/>
      </w:rPr>
      <w:t>南通国</w:t>
    </w:r>
    <w:proofErr w:type="gramEnd"/>
    <w:r>
      <w:rPr>
        <w:rFonts w:hint="eastAsia"/>
      </w:rPr>
      <w:t>盛智能科技集团股份有限公司投资者关系活动记录表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9F1DD6"/>
    <w:rsid w:val="00220F52"/>
    <w:rsid w:val="002C0F7D"/>
    <w:rsid w:val="002D1BD6"/>
    <w:rsid w:val="0032721B"/>
    <w:rsid w:val="003556AE"/>
    <w:rsid w:val="00434484"/>
    <w:rsid w:val="00434A02"/>
    <w:rsid w:val="004B3653"/>
    <w:rsid w:val="004C4070"/>
    <w:rsid w:val="004D4E28"/>
    <w:rsid w:val="005B3FE5"/>
    <w:rsid w:val="005C20DD"/>
    <w:rsid w:val="005F3FE3"/>
    <w:rsid w:val="006C46B7"/>
    <w:rsid w:val="007803CA"/>
    <w:rsid w:val="008A7BE9"/>
    <w:rsid w:val="009F1DD6"/>
    <w:rsid w:val="00AF76BA"/>
    <w:rsid w:val="00BA2503"/>
    <w:rsid w:val="00CD30D3"/>
    <w:rsid w:val="00D008DF"/>
    <w:rsid w:val="00D86591"/>
    <w:rsid w:val="00E03C46"/>
    <w:rsid w:val="00F00563"/>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E2C5B5-9350-4EC2-919E-12786C7D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fontstyle01">
    <w:name w:val="fontstyle01"/>
    <w:rsid w:val="007803CA"/>
    <w:rPr>
      <w:rFonts w:ascii="宋体" w:eastAsia="宋体" w:hAnsi="宋体" w:hint="eastAsia"/>
      <w:b w:val="0"/>
      <w:bCs w:val="0"/>
      <w:i w:val="0"/>
      <w:iCs w:val="0"/>
      <w:color w:val="000000"/>
      <w:sz w:val="24"/>
      <w:szCs w:val="24"/>
    </w:rPr>
  </w:style>
  <w:style w:type="paragraph" w:styleId="a6">
    <w:name w:val="footer"/>
    <w:basedOn w:val="a"/>
    <w:link w:val="Char"/>
    <w:rsid w:val="00F00563"/>
    <w:pPr>
      <w:tabs>
        <w:tab w:val="center" w:pos="4153"/>
        <w:tab w:val="right" w:pos="8306"/>
      </w:tabs>
      <w:snapToGrid w:val="0"/>
      <w:jc w:val="left"/>
    </w:pPr>
    <w:rPr>
      <w:sz w:val="18"/>
      <w:szCs w:val="18"/>
    </w:rPr>
  </w:style>
  <w:style w:type="character" w:customStyle="1" w:styleId="Char">
    <w:name w:val="页脚 Char"/>
    <w:basedOn w:val="a0"/>
    <w:link w:val="a6"/>
    <w:rsid w:val="00F005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郭濮衔</cp:lastModifiedBy>
  <cp:revision>18</cp:revision>
  <dcterms:created xsi:type="dcterms:W3CDTF">2026-05-19T06:28:00Z</dcterms:created>
  <dcterms:modified xsi:type="dcterms:W3CDTF">2026-05-19T08:49:00Z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