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tcPr>
          <w:p w14:paraId="03E1EE1E" w14:textId="481AF753" w:rsidR="00DC2966" w:rsidRDefault="00F85993"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bookmarkStart w:id="0" w:name="OLE_LINK1"/>
            <w:r w:rsidR="00DC2966">
              <w:rPr>
                <w:rFonts w:ascii="宋体" w:eastAsia="宋体" w:hAnsi="宋体" w:cs="Times New Roman" w:hint="eastAsia"/>
                <w:bCs/>
                <w:iCs/>
                <w:color w:val="000000" w:themeColor="text1"/>
                <w:sz w:val="24"/>
                <w:szCs w:val="24"/>
              </w:rPr>
              <w:t>□</w:t>
            </w:r>
            <w:bookmarkEnd w:id="0"/>
            <w:r w:rsidR="00DC2966">
              <w:rPr>
                <w:rFonts w:ascii="宋体" w:eastAsia="宋体" w:hAnsi="宋体" w:cs="Times New Roman" w:hint="eastAsia"/>
                <w:color w:val="000000" w:themeColor="text1"/>
                <w:sz w:val="24"/>
                <w:szCs w:val="24"/>
              </w:rPr>
              <w:t>分析师会议</w:t>
            </w:r>
          </w:p>
          <w:p w14:paraId="0D789C8A" w14:textId="0E5FCABC"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7A487B">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6F8F848F"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CF5C6D">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proofErr w:type="gramStart"/>
            <w:r>
              <w:rPr>
                <w:rFonts w:ascii="宋体" w:eastAsia="宋体" w:hAnsi="宋体" w:cs="Times New Roman" w:hint="eastAsia"/>
                <w:color w:val="000000" w:themeColor="text1"/>
                <w:sz w:val="24"/>
                <w:szCs w:val="24"/>
                <w:u w:val="single"/>
              </w:rPr>
              <w:t>请文字</w:t>
            </w:r>
            <w:proofErr w:type="gramEnd"/>
            <w:r>
              <w:rPr>
                <w:rFonts w:ascii="宋体" w:eastAsia="宋体" w:hAnsi="宋体" w:cs="Times New Roman" w:hint="eastAsia"/>
                <w:color w:val="000000" w:themeColor="text1"/>
                <w:sz w:val="24"/>
                <w:szCs w:val="24"/>
                <w:u w:val="single"/>
              </w:rPr>
              <w:t>说明其他活动内容）</w:t>
            </w:r>
          </w:p>
        </w:tc>
      </w:tr>
      <w:tr w:rsidR="00DC2966" w14:paraId="73B783D5" w14:textId="77777777" w:rsidTr="00173FBE">
        <w:tc>
          <w:tcPr>
            <w:tcW w:w="1731" w:type="dxa"/>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tcPr>
          <w:p w14:paraId="6507B4FF" w14:textId="39D8A774" w:rsidR="00DC2966" w:rsidRPr="00832774" w:rsidRDefault="00CE1791" w:rsidP="009B0EF2">
            <w:pPr>
              <w:spacing w:line="276" w:lineRule="auto"/>
              <w:rPr>
                <w:rFonts w:ascii="宋体" w:eastAsia="宋体" w:hAnsi="宋体" w:cs="Times New Roman" w:hint="eastAsia"/>
                <w:bCs/>
                <w:iCs/>
                <w:color w:val="000000" w:themeColor="text1"/>
                <w:sz w:val="24"/>
                <w:szCs w:val="24"/>
              </w:rPr>
            </w:pPr>
            <w:r w:rsidRPr="00CE1791">
              <w:rPr>
                <w:rFonts w:ascii="宋体" w:eastAsia="宋体" w:hAnsi="宋体" w:cs="Times New Roman" w:hint="eastAsia"/>
                <w:bCs/>
                <w:iCs/>
                <w:color w:val="000000" w:themeColor="text1"/>
                <w:sz w:val="24"/>
                <w:szCs w:val="24"/>
              </w:rPr>
              <w:t>华</w:t>
            </w:r>
            <w:proofErr w:type="gramStart"/>
            <w:r w:rsidRPr="00CE1791">
              <w:rPr>
                <w:rFonts w:ascii="宋体" w:eastAsia="宋体" w:hAnsi="宋体" w:cs="Times New Roman" w:hint="eastAsia"/>
                <w:bCs/>
                <w:iCs/>
                <w:color w:val="000000" w:themeColor="text1"/>
                <w:sz w:val="24"/>
                <w:szCs w:val="24"/>
              </w:rPr>
              <w:t>福证券</w:t>
            </w:r>
            <w:proofErr w:type="gramEnd"/>
            <w:r w:rsidRPr="00CE1791">
              <w:rPr>
                <w:rFonts w:ascii="宋体" w:eastAsia="宋体" w:hAnsi="宋体" w:cs="Times New Roman" w:hint="eastAsia"/>
                <w:bCs/>
                <w:iCs/>
                <w:color w:val="000000" w:themeColor="text1"/>
                <w:sz w:val="24"/>
                <w:szCs w:val="24"/>
              </w:rPr>
              <w:t>有限责任公司</w:t>
            </w:r>
            <w:r>
              <w:rPr>
                <w:rFonts w:ascii="宋体" w:eastAsia="宋体" w:hAnsi="宋体" w:cs="Times New Roman" w:hint="eastAsia"/>
                <w:bCs/>
                <w:iCs/>
                <w:color w:val="000000" w:themeColor="text1"/>
                <w:sz w:val="24"/>
                <w:szCs w:val="24"/>
              </w:rPr>
              <w:t>、</w:t>
            </w:r>
            <w:r w:rsidRPr="00CE1791">
              <w:rPr>
                <w:rFonts w:ascii="宋体" w:eastAsia="宋体" w:hAnsi="宋体" w:cs="Times New Roman" w:hint="eastAsia"/>
                <w:bCs/>
                <w:iCs/>
                <w:color w:val="000000" w:themeColor="text1"/>
                <w:sz w:val="24"/>
                <w:szCs w:val="24"/>
              </w:rPr>
              <w:t>太平洋证券股份有限公司</w:t>
            </w:r>
            <w:r>
              <w:rPr>
                <w:rFonts w:ascii="宋体" w:eastAsia="宋体" w:hAnsi="宋体" w:cs="Times New Roman" w:hint="eastAsia"/>
                <w:bCs/>
                <w:iCs/>
                <w:color w:val="000000" w:themeColor="text1"/>
                <w:sz w:val="24"/>
                <w:szCs w:val="24"/>
              </w:rPr>
              <w:t>、</w:t>
            </w:r>
            <w:r w:rsidRPr="00CE1791">
              <w:rPr>
                <w:rFonts w:ascii="宋体" w:eastAsia="宋体" w:hAnsi="宋体" w:cs="Times New Roman" w:hint="eastAsia"/>
                <w:bCs/>
                <w:iCs/>
                <w:color w:val="000000" w:themeColor="text1"/>
                <w:sz w:val="24"/>
                <w:szCs w:val="24"/>
              </w:rPr>
              <w:t>开源证券股份有限公司</w:t>
            </w:r>
            <w:r>
              <w:rPr>
                <w:rFonts w:ascii="宋体" w:eastAsia="宋体" w:hAnsi="宋体" w:cs="Times New Roman" w:hint="eastAsia"/>
                <w:bCs/>
                <w:iCs/>
                <w:color w:val="000000" w:themeColor="text1"/>
                <w:sz w:val="24"/>
                <w:szCs w:val="24"/>
              </w:rPr>
              <w:t>、</w:t>
            </w:r>
            <w:r w:rsidRPr="00CE1791">
              <w:rPr>
                <w:rFonts w:ascii="宋体" w:eastAsia="宋体" w:hAnsi="宋体" w:cs="Times New Roman" w:hint="eastAsia"/>
                <w:bCs/>
                <w:iCs/>
                <w:color w:val="000000" w:themeColor="text1"/>
                <w:sz w:val="24"/>
                <w:szCs w:val="24"/>
              </w:rPr>
              <w:t>方正证券股份有限公司</w:t>
            </w:r>
            <w:r w:rsidR="002507C6">
              <w:rPr>
                <w:rFonts w:ascii="宋体" w:eastAsia="宋体" w:hAnsi="宋体" w:cs="Times New Roman" w:hint="eastAsia"/>
                <w:bCs/>
                <w:iCs/>
                <w:color w:val="000000" w:themeColor="text1"/>
                <w:sz w:val="24"/>
                <w:szCs w:val="24"/>
              </w:rPr>
              <w:t>等</w:t>
            </w:r>
          </w:p>
        </w:tc>
      </w:tr>
      <w:tr w:rsidR="00DC2966" w14:paraId="486EEB6C" w14:textId="77777777" w:rsidTr="00173FBE">
        <w:tc>
          <w:tcPr>
            <w:tcW w:w="1731" w:type="dxa"/>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tcPr>
          <w:p w14:paraId="3945DE53" w14:textId="7362774F"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F85993">
              <w:rPr>
                <w:rFonts w:ascii="宋体" w:eastAsia="宋体" w:hAnsi="宋体" w:cs="Times New Roman" w:hint="eastAsia"/>
                <w:bCs/>
                <w:iCs/>
                <w:color w:val="000000" w:themeColor="text1"/>
                <w:sz w:val="24"/>
                <w:szCs w:val="24"/>
              </w:rPr>
              <w:t>6</w:t>
            </w:r>
            <w:r>
              <w:rPr>
                <w:rFonts w:ascii="宋体" w:eastAsia="宋体" w:hAnsi="宋体" w:cs="Times New Roman" w:hint="eastAsia"/>
                <w:bCs/>
                <w:iCs/>
                <w:color w:val="000000" w:themeColor="text1"/>
                <w:sz w:val="24"/>
                <w:szCs w:val="24"/>
              </w:rPr>
              <w:t>年</w:t>
            </w:r>
            <w:r w:rsidR="006705DC">
              <w:rPr>
                <w:rFonts w:ascii="宋体" w:eastAsia="宋体" w:hAnsi="宋体" w:cs="Times New Roman" w:hint="eastAsia"/>
                <w:bCs/>
                <w:iCs/>
                <w:color w:val="000000" w:themeColor="text1"/>
                <w:sz w:val="24"/>
                <w:szCs w:val="24"/>
              </w:rPr>
              <w:t>5</w:t>
            </w:r>
            <w:r>
              <w:rPr>
                <w:rFonts w:ascii="宋体" w:eastAsia="宋体" w:hAnsi="宋体" w:cs="Times New Roman" w:hint="eastAsia"/>
                <w:iCs/>
                <w:color w:val="000000" w:themeColor="text1"/>
                <w:sz w:val="24"/>
                <w:szCs w:val="24"/>
              </w:rPr>
              <w:t xml:space="preserve">月 </w:t>
            </w:r>
            <w:r w:rsidR="006705DC">
              <w:rPr>
                <w:rFonts w:ascii="宋体" w:eastAsia="宋体" w:hAnsi="宋体" w:cs="Times New Roman" w:hint="eastAsia"/>
                <w:iCs/>
                <w:color w:val="000000" w:themeColor="text1"/>
                <w:sz w:val="24"/>
                <w:szCs w:val="24"/>
              </w:rPr>
              <w:t>19</w:t>
            </w:r>
            <w:r>
              <w:rPr>
                <w:rFonts w:ascii="宋体" w:eastAsia="宋体" w:hAnsi="宋体" w:cs="Times New Roman" w:hint="eastAsia"/>
                <w:iCs/>
                <w:color w:val="000000" w:themeColor="text1"/>
                <w:sz w:val="24"/>
                <w:szCs w:val="24"/>
              </w:rPr>
              <w:t>日</w:t>
            </w:r>
            <w:r w:rsidR="007A487B">
              <w:rPr>
                <w:rFonts w:ascii="宋体" w:eastAsia="宋体" w:hAnsi="宋体" w:cs="Times New Roman" w:hint="eastAsia"/>
                <w:iCs/>
                <w:color w:val="000000" w:themeColor="text1"/>
                <w:sz w:val="24"/>
                <w:szCs w:val="24"/>
              </w:rPr>
              <w:t>、</w:t>
            </w:r>
            <w:r w:rsidR="007A487B">
              <w:rPr>
                <w:rFonts w:ascii="宋体" w:eastAsia="宋体" w:hAnsi="宋体" w:cs="Times New Roman" w:hint="eastAsia"/>
                <w:bCs/>
                <w:iCs/>
                <w:color w:val="000000" w:themeColor="text1"/>
                <w:sz w:val="24"/>
                <w:szCs w:val="24"/>
              </w:rPr>
              <w:t>2026年5</w:t>
            </w:r>
            <w:r w:rsidR="007A487B">
              <w:rPr>
                <w:rFonts w:ascii="宋体" w:eastAsia="宋体" w:hAnsi="宋体" w:cs="Times New Roman" w:hint="eastAsia"/>
                <w:iCs/>
                <w:color w:val="000000" w:themeColor="text1"/>
                <w:sz w:val="24"/>
                <w:szCs w:val="24"/>
              </w:rPr>
              <w:t>月 20日</w:t>
            </w:r>
          </w:p>
        </w:tc>
      </w:tr>
      <w:tr w:rsidR="00DC2966" w14:paraId="59013F31" w14:textId="77777777" w:rsidTr="00173FBE">
        <w:tc>
          <w:tcPr>
            <w:tcW w:w="1731" w:type="dxa"/>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tcPr>
          <w:p w14:paraId="59D845F9" w14:textId="11896F45" w:rsidR="00DC2966" w:rsidRDefault="00F85993"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线下</w:t>
            </w:r>
            <w:r w:rsidR="002C5221">
              <w:rPr>
                <w:rFonts w:ascii="宋体" w:eastAsia="宋体" w:hAnsi="宋体" w:cs="Times New Roman" w:hint="eastAsia"/>
                <w:bCs/>
                <w:iCs/>
                <w:color w:val="000000" w:themeColor="text1"/>
                <w:sz w:val="24"/>
                <w:szCs w:val="24"/>
              </w:rPr>
              <w:t>、线上</w:t>
            </w:r>
          </w:p>
        </w:tc>
      </w:tr>
      <w:tr w:rsidR="00DC2966" w14:paraId="7979417F" w14:textId="77777777" w:rsidTr="00173FBE">
        <w:tc>
          <w:tcPr>
            <w:tcW w:w="1731" w:type="dxa"/>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tcPr>
          <w:p w14:paraId="7E48215B" w14:textId="1B5771DF" w:rsidR="008D4461" w:rsidRDefault="001244C8" w:rsidP="00173FBE">
            <w:pPr>
              <w:spacing w:line="360" w:lineRule="auto"/>
              <w:rPr>
                <w:rFonts w:ascii="宋体" w:eastAsia="宋体" w:hAnsi="宋体" w:cs="Times New Roman" w:hint="eastAsia"/>
                <w:bCs/>
                <w:iCs/>
                <w:color w:val="000000" w:themeColor="text1"/>
                <w:sz w:val="24"/>
                <w:szCs w:val="24"/>
              </w:rPr>
            </w:pPr>
            <w:r w:rsidRPr="001244C8">
              <w:rPr>
                <w:rFonts w:ascii="宋体" w:eastAsia="宋体" w:hAnsi="宋体" w:cs="Times New Roman" w:hint="eastAsia"/>
                <w:bCs/>
                <w:iCs/>
                <w:color w:val="000000" w:themeColor="text1"/>
                <w:sz w:val="24"/>
                <w:szCs w:val="24"/>
              </w:rPr>
              <w:t>董事长</w:t>
            </w:r>
            <w:r>
              <w:rPr>
                <w:rFonts w:ascii="宋体" w:eastAsia="宋体" w:hAnsi="宋体" w:cs="Times New Roman" w:hint="eastAsia"/>
                <w:bCs/>
                <w:iCs/>
                <w:color w:val="000000" w:themeColor="text1"/>
                <w:sz w:val="24"/>
                <w:szCs w:val="24"/>
              </w:rPr>
              <w:t>、</w:t>
            </w:r>
            <w:r w:rsidRPr="001244C8">
              <w:rPr>
                <w:rFonts w:ascii="宋体" w:eastAsia="宋体" w:hAnsi="宋体" w:cs="Times New Roman" w:hint="eastAsia"/>
                <w:bCs/>
                <w:iCs/>
                <w:color w:val="000000" w:themeColor="text1"/>
                <w:sz w:val="24"/>
                <w:szCs w:val="24"/>
              </w:rPr>
              <w:t>总经理</w:t>
            </w:r>
            <w:r>
              <w:rPr>
                <w:rFonts w:ascii="宋体" w:eastAsia="宋体" w:hAnsi="宋体" w:cs="Times New Roman" w:hint="eastAsia"/>
                <w:bCs/>
                <w:iCs/>
                <w:color w:val="000000" w:themeColor="text1"/>
                <w:sz w:val="24"/>
                <w:szCs w:val="24"/>
              </w:rPr>
              <w:t>：韩江龙</w:t>
            </w:r>
          </w:p>
          <w:p w14:paraId="0A81E832" w14:textId="7C059C3F" w:rsidR="00FB226B"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董事会秘书：</w:t>
            </w:r>
            <w:proofErr w:type="gramStart"/>
            <w:r>
              <w:rPr>
                <w:rFonts w:ascii="宋体" w:eastAsia="宋体" w:hAnsi="宋体" w:cs="Times New Roman" w:hint="eastAsia"/>
                <w:bCs/>
                <w:iCs/>
                <w:color w:val="000000" w:themeColor="text1"/>
                <w:sz w:val="24"/>
                <w:szCs w:val="24"/>
              </w:rPr>
              <w:t>董东峰</w:t>
            </w:r>
            <w:proofErr w:type="gramEnd"/>
          </w:p>
          <w:p w14:paraId="215DB584" w14:textId="77777777"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4437ED16"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证券事务专员：张雅婷</w:t>
            </w:r>
          </w:p>
        </w:tc>
      </w:tr>
      <w:tr w:rsidR="00DC2966" w14:paraId="6CF86377" w14:textId="77777777" w:rsidTr="00173FBE">
        <w:trPr>
          <w:trHeight w:val="1125"/>
        </w:trPr>
        <w:tc>
          <w:tcPr>
            <w:tcW w:w="1731" w:type="dxa"/>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tcPr>
          <w:p w14:paraId="116AF132" w14:textId="30877EF3" w:rsidR="008D0CB5" w:rsidRPr="00E929E3" w:rsidRDefault="008D0CB5" w:rsidP="008D0CB5">
            <w:pPr>
              <w:spacing w:line="360" w:lineRule="auto"/>
              <w:rPr>
                <w:color w:val="000000" w:themeColor="text1"/>
                <w:sz w:val="24"/>
              </w:rPr>
            </w:pPr>
            <w:r w:rsidRPr="00E929E3">
              <w:rPr>
                <w:rFonts w:hint="eastAsia"/>
                <w:color w:val="000000" w:themeColor="text1"/>
                <w:sz w:val="24"/>
              </w:rPr>
              <w:t>问题</w:t>
            </w:r>
            <w:proofErr w:type="gramStart"/>
            <w:r>
              <w:rPr>
                <w:rFonts w:hint="eastAsia"/>
                <w:color w:val="000000" w:themeColor="text1"/>
                <w:sz w:val="24"/>
              </w:rPr>
              <w:t>一</w:t>
            </w:r>
            <w:proofErr w:type="gramEnd"/>
            <w:r w:rsidRPr="00E929E3">
              <w:rPr>
                <w:rFonts w:hint="eastAsia"/>
                <w:color w:val="000000" w:themeColor="text1"/>
                <w:sz w:val="24"/>
              </w:rPr>
              <w:t>：请问公司如今的产品布局是怎样的？</w:t>
            </w:r>
          </w:p>
          <w:p w14:paraId="4EB3D68B" w14:textId="77777777" w:rsidR="008D0CB5" w:rsidRDefault="008D0CB5" w:rsidP="008D0CB5">
            <w:pPr>
              <w:spacing w:line="360" w:lineRule="auto"/>
              <w:rPr>
                <w:color w:val="000000" w:themeColor="text1"/>
                <w:sz w:val="24"/>
              </w:rPr>
            </w:pPr>
            <w:r w:rsidRPr="00E929E3">
              <w:rPr>
                <w:rFonts w:hint="eastAsia"/>
                <w:color w:val="000000" w:themeColor="text1"/>
                <w:sz w:val="24"/>
              </w:rPr>
              <w:t>回复：在传统封装领域，公司产品结构全面并已实现产业化，市场份额逐步扩大，在国内市场已具备较高的品牌知名度及市场影响力；在先进封装领域，</w:t>
            </w:r>
            <w:proofErr w:type="gramStart"/>
            <w:r w:rsidRPr="00E929E3">
              <w:rPr>
                <w:rFonts w:hint="eastAsia"/>
                <w:color w:val="000000" w:themeColor="text1"/>
                <w:sz w:val="24"/>
              </w:rPr>
              <w:t>颗粒状环氧</w:t>
            </w:r>
            <w:proofErr w:type="gramEnd"/>
            <w:r w:rsidRPr="00E929E3">
              <w:rPr>
                <w:rFonts w:hint="eastAsia"/>
                <w:color w:val="000000" w:themeColor="text1"/>
                <w:sz w:val="24"/>
              </w:rPr>
              <w:t>塑封料（</w:t>
            </w:r>
            <w:r w:rsidRPr="00E929E3">
              <w:rPr>
                <w:rFonts w:hint="eastAsia"/>
                <w:color w:val="000000" w:themeColor="text1"/>
                <w:sz w:val="24"/>
              </w:rPr>
              <w:t>GMC</w:t>
            </w:r>
            <w:r w:rsidRPr="00E929E3">
              <w:rPr>
                <w:rFonts w:hint="eastAsia"/>
                <w:color w:val="000000" w:themeColor="text1"/>
                <w:sz w:val="24"/>
              </w:rPr>
              <w:t>）、</w:t>
            </w:r>
            <w:r w:rsidRPr="00E929E3">
              <w:rPr>
                <w:rFonts w:hint="eastAsia"/>
                <w:color w:val="000000" w:themeColor="text1"/>
                <w:sz w:val="24"/>
              </w:rPr>
              <w:t>FC</w:t>
            </w:r>
            <w:proofErr w:type="gramStart"/>
            <w:r w:rsidRPr="00E929E3">
              <w:rPr>
                <w:rFonts w:hint="eastAsia"/>
                <w:color w:val="000000" w:themeColor="text1"/>
                <w:sz w:val="24"/>
              </w:rPr>
              <w:t>底填胶</w:t>
            </w:r>
            <w:proofErr w:type="gramEnd"/>
            <w:r w:rsidRPr="00E929E3">
              <w:rPr>
                <w:rFonts w:hint="eastAsia"/>
                <w:color w:val="000000" w:themeColor="text1"/>
                <w:sz w:val="24"/>
              </w:rPr>
              <w:t>等产品已陆续通过客户考核验证，技术水平取得业内主要封装厂商的认可。公司在加大核心技术开发的同时，注重实现核心技术的产业化，公司拥有独立自主的系统化知识产权。凭借扎实的研发实力、可靠的产品质量和优质的客户服务，公司已与相关业内领先及主要企业建立稳固的合作伙伴关系，业务规模持续扩大，有序实现研发技术的产业化落地，推动经营业绩的快速提升。公司与业内主流封装厂商均已建立长期稳定的合作关系。</w:t>
            </w:r>
          </w:p>
          <w:p w14:paraId="445DBBFD" w14:textId="7AF41245" w:rsidR="00950041" w:rsidRDefault="00950041" w:rsidP="00E929E3">
            <w:pPr>
              <w:spacing w:line="360" w:lineRule="auto"/>
              <w:rPr>
                <w:color w:val="000000" w:themeColor="text1"/>
                <w:sz w:val="24"/>
              </w:rPr>
            </w:pPr>
            <w:r>
              <w:rPr>
                <w:rFonts w:hint="eastAsia"/>
                <w:color w:val="000000" w:themeColor="text1"/>
                <w:sz w:val="24"/>
              </w:rPr>
              <w:lastRenderedPageBreak/>
              <w:t>问题二：公司</w:t>
            </w:r>
            <w:r>
              <w:rPr>
                <w:rFonts w:hint="eastAsia"/>
                <w:color w:val="000000" w:themeColor="text1"/>
                <w:sz w:val="24"/>
              </w:rPr>
              <w:t>2025</w:t>
            </w:r>
            <w:r>
              <w:rPr>
                <w:rFonts w:hint="eastAsia"/>
                <w:color w:val="000000" w:themeColor="text1"/>
                <w:sz w:val="24"/>
              </w:rPr>
              <w:t>年度研发费用与</w:t>
            </w:r>
            <w:r>
              <w:rPr>
                <w:rFonts w:hint="eastAsia"/>
                <w:color w:val="000000" w:themeColor="text1"/>
                <w:sz w:val="24"/>
              </w:rPr>
              <w:t>2024</w:t>
            </w:r>
            <w:r>
              <w:rPr>
                <w:rFonts w:hint="eastAsia"/>
                <w:color w:val="000000" w:themeColor="text1"/>
                <w:sz w:val="24"/>
              </w:rPr>
              <w:t>年相比变动较大，请解释一下原因？</w:t>
            </w:r>
          </w:p>
          <w:p w14:paraId="628E4AE6" w14:textId="1976DBEE" w:rsidR="00950041" w:rsidRDefault="00950041" w:rsidP="00950041">
            <w:pPr>
              <w:spacing w:line="360" w:lineRule="auto"/>
              <w:rPr>
                <w:color w:val="000000" w:themeColor="text1"/>
                <w:sz w:val="24"/>
              </w:rPr>
            </w:pPr>
            <w:r>
              <w:rPr>
                <w:rFonts w:hint="eastAsia"/>
                <w:color w:val="000000" w:themeColor="text1"/>
                <w:sz w:val="24"/>
              </w:rPr>
              <w:t>回复：</w:t>
            </w:r>
            <w:r w:rsidRPr="00950041">
              <w:rPr>
                <w:rFonts w:hint="eastAsia"/>
                <w:color w:val="000000" w:themeColor="text1"/>
                <w:sz w:val="24"/>
              </w:rPr>
              <w:t>研发费用变动主要系研发人员薪酬、股权激励费用、</w:t>
            </w:r>
            <w:proofErr w:type="gramStart"/>
            <w:r w:rsidRPr="00950041">
              <w:rPr>
                <w:rFonts w:hint="eastAsia"/>
                <w:color w:val="000000" w:themeColor="text1"/>
                <w:sz w:val="24"/>
              </w:rPr>
              <w:t>募投项目</w:t>
            </w:r>
            <w:proofErr w:type="gramEnd"/>
            <w:r w:rsidRPr="00950041">
              <w:rPr>
                <w:rFonts w:hint="eastAsia"/>
                <w:color w:val="000000" w:themeColor="text1"/>
                <w:sz w:val="24"/>
              </w:rPr>
              <w:t>新购研发设备折旧费用增加所致</w:t>
            </w:r>
            <w:r>
              <w:rPr>
                <w:rFonts w:hint="eastAsia"/>
                <w:color w:val="000000" w:themeColor="text1"/>
                <w:sz w:val="24"/>
              </w:rPr>
              <w:t>。</w:t>
            </w:r>
          </w:p>
          <w:p w14:paraId="528F17DA" w14:textId="77777777" w:rsidR="00950041" w:rsidRPr="00E929E3" w:rsidRDefault="00950041" w:rsidP="00950041">
            <w:pPr>
              <w:spacing w:line="360" w:lineRule="auto"/>
              <w:rPr>
                <w:color w:val="000000" w:themeColor="text1"/>
                <w:sz w:val="24"/>
              </w:rPr>
            </w:pPr>
            <w:r w:rsidRPr="00E929E3">
              <w:rPr>
                <w:rFonts w:hint="eastAsia"/>
                <w:color w:val="000000" w:themeColor="text1"/>
                <w:sz w:val="24"/>
              </w:rPr>
              <w:t>问题三：目前，华</w:t>
            </w:r>
            <w:proofErr w:type="gramStart"/>
            <w:r w:rsidRPr="00E929E3">
              <w:rPr>
                <w:rFonts w:hint="eastAsia"/>
                <w:color w:val="000000" w:themeColor="text1"/>
                <w:sz w:val="24"/>
              </w:rPr>
              <w:t>海诚科和衡所</w:t>
            </w:r>
            <w:proofErr w:type="gramEnd"/>
            <w:r w:rsidRPr="00E929E3">
              <w:rPr>
                <w:rFonts w:hint="eastAsia"/>
                <w:color w:val="000000" w:themeColor="text1"/>
                <w:sz w:val="24"/>
              </w:rPr>
              <w:t>华威整合情况如何？</w:t>
            </w:r>
          </w:p>
          <w:p w14:paraId="337DBF8F" w14:textId="1E900CC7" w:rsidR="00BC15C3" w:rsidRDefault="00950041" w:rsidP="00950041">
            <w:pPr>
              <w:spacing w:line="360" w:lineRule="auto"/>
              <w:rPr>
                <w:color w:val="000000" w:themeColor="text1"/>
                <w:sz w:val="24"/>
              </w:rPr>
            </w:pPr>
            <w:r w:rsidRPr="00E929E3">
              <w:rPr>
                <w:rFonts w:hint="eastAsia"/>
                <w:color w:val="000000" w:themeColor="text1"/>
                <w:sz w:val="24"/>
              </w:rPr>
              <w:t>回复：</w:t>
            </w:r>
            <w:r w:rsidR="00BC15C3" w:rsidRPr="00BC15C3">
              <w:rPr>
                <w:rFonts w:hint="eastAsia"/>
                <w:color w:val="000000" w:themeColor="text1"/>
                <w:sz w:val="24"/>
              </w:rPr>
              <w:t>公司积极推进高效整合，协同开展半导体封装材料工艺技术的迭代开发，以期快速取得高端封装材料技术突破。双方在市场布局、产品矩阵、供应链整合、</w:t>
            </w:r>
            <w:proofErr w:type="gramStart"/>
            <w:r w:rsidR="00BC15C3" w:rsidRPr="00BC15C3">
              <w:rPr>
                <w:rFonts w:hint="eastAsia"/>
                <w:color w:val="000000" w:themeColor="text1"/>
                <w:sz w:val="24"/>
              </w:rPr>
              <w:t>产线布局</w:t>
            </w:r>
            <w:proofErr w:type="gramEnd"/>
            <w:r w:rsidR="00BC15C3" w:rsidRPr="00BC15C3">
              <w:rPr>
                <w:rFonts w:hint="eastAsia"/>
                <w:color w:val="000000" w:themeColor="text1"/>
                <w:sz w:val="24"/>
              </w:rPr>
              <w:t>、研发资源、服务响应、联合运输、数据共享等多方面充分发挥协同效应，提升了运营效率和抗风险能力。</w:t>
            </w:r>
          </w:p>
          <w:p w14:paraId="5633205C" w14:textId="21A0FFC9" w:rsidR="008D0CB5" w:rsidRPr="00E929E3" w:rsidRDefault="008D0CB5" w:rsidP="008D0CB5">
            <w:pPr>
              <w:spacing w:line="360" w:lineRule="auto"/>
              <w:rPr>
                <w:color w:val="000000" w:themeColor="text1"/>
                <w:sz w:val="24"/>
              </w:rPr>
            </w:pPr>
            <w:r w:rsidRPr="00E929E3">
              <w:rPr>
                <w:rFonts w:hint="eastAsia"/>
                <w:color w:val="000000" w:themeColor="text1"/>
                <w:sz w:val="24"/>
              </w:rPr>
              <w:t>问题</w:t>
            </w:r>
            <w:r w:rsidR="005C77A9">
              <w:rPr>
                <w:rFonts w:hint="eastAsia"/>
                <w:color w:val="000000" w:themeColor="text1"/>
                <w:sz w:val="24"/>
              </w:rPr>
              <w:t>四</w:t>
            </w:r>
            <w:r w:rsidRPr="00E929E3">
              <w:rPr>
                <w:rFonts w:hint="eastAsia"/>
                <w:color w:val="000000" w:themeColor="text1"/>
                <w:sz w:val="24"/>
              </w:rPr>
              <w:t>：公司未来的发展战略</w:t>
            </w:r>
          </w:p>
          <w:p w14:paraId="026D5CBE" w14:textId="77777777" w:rsidR="008D0CB5" w:rsidRPr="00E929E3" w:rsidRDefault="008D0CB5" w:rsidP="008D0CB5">
            <w:pPr>
              <w:spacing w:line="360" w:lineRule="auto"/>
              <w:rPr>
                <w:color w:val="000000" w:themeColor="text1"/>
                <w:sz w:val="24"/>
              </w:rPr>
            </w:pPr>
            <w:r w:rsidRPr="00E929E3">
              <w:rPr>
                <w:rFonts w:hint="eastAsia"/>
                <w:color w:val="000000" w:themeColor="text1"/>
                <w:sz w:val="24"/>
              </w:rPr>
              <w:t>回复：公司始终遵循“诚信经营、科技创新、精益制造、品质卓越、共同发展”的企业核心价值观，坚持以市场为导向、以技术为支持、以诚实守信为根本原则，不断提高技术实力，坚持科技创新，重点关注科研成果产业化，为客户持续提供具有竞争力的半导体封装材料。</w:t>
            </w:r>
          </w:p>
          <w:p w14:paraId="388B870B" w14:textId="77777777" w:rsidR="008D0CB5" w:rsidRPr="00E929E3" w:rsidRDefault="008D0CB5" w:rsidP="008D0CB5">
            <w:pPr>
              <w:spacing w:line="360" w:lineRule="auto"/>
              <w:rPr>
                <w:color w:val="000000" w:themeColor="text1"/>
                <w:sz w:val="24"/>
              </w:rPr>
            </w:pPr>
            <w:r w:rsidRPr="00E929E3">
              <w:rPr>
                <w:rFonts w:hint="eastAsia"/>
                <w:color w:val="000000" w:themeColor="text1"/>
                <w:sz w:val="24"/>
              </w:rPr>
              <w:t>未来，公司将在巩固现有半导体封装材料竞争优势的基础上，以客户定制化需求为牵引，以先进封装技术发展趋势为导向，构建兼具前瞻性与创新性的技术研发体系，持续优化产品结构，增强企业核心竞争力。在传统封装用封装材料领域，公司依托既有优势产品加快对外资厂商产品替代，并积极围绕现有客户以及潜在客户的新增需求进行布局并开发特色产品，从而进一步扩大公司业务规模并提升市场占有率；在先进封装材料领域，华海</w:t>
            </w:r>
            <w:proofErr w:type="gramStart"/>
            <w:r w:rsidRPr="00E929E3">
              <w:rPr>
                <w:rFonts w:hint="eastAsia"/>
                <w:color w:val="000000" w:themeColor="text1"/>
                <w:sz w:val="24"/>
              </w:rPr>
              <w:t>诚科与衡所华</w:t>
            </w:r>
            <w:proofErr w:type="gramEnd"/>
            <w:r w:rsidRPr="00E929E3">
              <w:rPr>
                <w:rFonts w:hint="eastAsia"/>
                <w:color w:val="000000" w:themeColor="text1"/>
                <w:sz w:val="24"/>
              </w:rPr>
              <w:t>威将加快在技术资源、客户资源的整合，协同开展半导体封装材料工艺技术的迭代开发，加大对车载芯片、电容封装、存储类半导体器件用环氧塑封料的研发投入。同时优化产品结构、客户结构，快速提高在高性能和先进封装环氧塑封料应用领域的领先地位。</w:t>
            </w:r>
          </w:p>
          <w:p w14:paraId="5BC8764E" w14:textId="77777777" w:rsidR="008D0CB5" w:rsidRPr="00E929E3" w:rsidRDefault="008D0CB5" w:rsidP="008D0CB5">
            <w:pPr>
              <w:spacing w:line="360" w:lineRule="auto"/>
              <w:rPr>
                <w:color w:val="000000" w:themeColor="text1"/>
                <w:sz w:val="24"/>
              </w:rPr>
            </w:pPr>
            <w:r w:rsidRPr="00E929E3">
              <w:rPr>
                <w:rFonts w:hint="eastAsia"/>
                <w:color w:val="000000" w:themeColor="text1"/>
                <w:sz w:val="24"/>
              </w:rPr>
              <w:t>公司聚焦于封装材料的研发及产业化，致力于成长为中国半导体</w:t>
            </w:r>
            <w:r w:rsidRPr="00E929E3">
              <w:rPr>
                <w:rFonts w:hint="eastAsia"/>
                <w:color w:val="000000" w:themeColor="text1"/>
                <w:sz w:val="24"/>
              </w:rPr>
              <w:lastRenderedPageBreak/>
              <w:t>以及相关行业封装材料的引领者与全球强有力的竞争者，持续地以打造卓越的全球化企业为目标而努力，为我国半导体及相关行业产业</w:t>
            </w:r>
            <w:proofErr w:type="gramStart"/>
            <w:r w:rsidRPr="00E929E3">
              <w:rPr>
                <w:rFonts w:hint="eastAsia"/>
                <w:color w:val="000000" w:themeColor="text1"/>
                <w:sz w:val="24"/>
              </w:rPr>
              <w:t>链发展</w:t>
            </w:r>
            <w:proofErr w:type="gramEnd"/>
            <w:r w:rsidRPr="00E929E3">
              <w:rPr>
                <w:rFonts w:hint="eastAsia"/>
                <w:color w:val="000000" w:themeColor="text1"/>
                <w:sz w:val="24"/>
              </w:rPr>
              <w:t>壮大贡献力量。</w:t>
            </w:r>
          </w:p>
          <w:p w14:paraId="5F2619EC" w14:textId="0E2DE942" w:rsidR="00E929E3" w:rsidRPr="00E929E3" w:rsidRDefault="008D0CB5" w:rsidP="00E929E3">
            <w:pPr>
              <w:spacing w:line="360" w:lineRule="auto"/>
              <w:rPr>
                <w:color w:val="000000" w:themeColor="text1"/>
                <w:sz w:val="24"/>
              </w:rPr>
            </w:pPr>
            <w:r>
              <w:rPr>
                <w:rFonts w:hint="eastAsia"/>
                <w:color w:val="000000" w:themeColor="text1"/>
                <w:sz w:val="24"/>
              </w:rPr>
              <w:t>问题</w:t>
            </w:r>
            <w:r w:rsidR="005C77A9">
              <w:rPr>
                <w:rFonts w:hint="eastAsia"/>
                <w:color w:val="000000" w:themeColor="text1"/>
                <w:sz w:val="24"/>
              </w:rPr>
              <w:t>五</w:t>
            </w:r>
            <w:r>
              <w:rPr>
                <w:rFonts w:hint="eastAsia"/>
                <w:color w:val="000000" w:themeColor="text1"/>
                <w:sz w:val="24"/>
              </w:rPr>
              <w:t>：</w:t>
            </w:r>
            <w:r w:rsidR="00E929E3" w:rsidRPr="00E929E3">
              <w:rPr>
                <w:rFonts w:hint="eastAsia"/>
                <w:color w:val="000000" w:themeColor="text1"/>
                <w:sz w:val="24"/>
              </w:rPr>
              <w:t>请简要介绍一下子公司</w:t>
            </w:r>
            <w:proofErr w:type="gramStart"/>
            <w:r w:rsidR="00E929E3" w:rsidRPr="00E929E3">
              <w:rPr>
                <w:rFonts w:hint="eastAsia"/>
                <w:color w:val="000000" w:themeColor="text1"/>
                <w:sz w:val="24"/>
              </w:rPr>
              <w:t>衡所华</w:t>
            </w:r>
            <w:proofErr w:type="gramEnd"/>
            <w:r w:rsidR="00E929E3" w:rsidRPr="00E929E3">
              <w:rPr>
                <w:rFonts w:hint="eastAsia"/>
                <w:color w:val="000000" w:themeColor="text1"/>
                <w:sz w:val="24"/>
              </w:rPr>
              <w:t>威的</w:t>
            </w:r>
            <w:proofErr w:type="gramStart"/>
            <w:r w:rsidR="00E929E3" w:rsidRPr="00E929E3">
              <w:rPr>
                <w:rFonts w:hint="eastAsia"/>
                <w:color w:val="000000" w:themeColor="text1"/>
                <w:sz w:val="24"/>
              </w:rPr>
              <w:t>募投项目</w:t>
            </w:r>
            <w:proofErr w:type="gramEnd"/>
            <w:r w:rsidR="00E929E3" w:rsidRPr="00E929E3">
              <w:rPr>
                <w:rFonts w:hint="eastAsia"/>
                <w:color w:val="000000" w:themeColor="text1"/>
                <w:sz w:val="24"/>
              </w:rPr>
              <w:t>建设情况</w:t>
            </w:r>
          </w:p>
          <w:p w14:paraId="53BD6D64" w14:textId="77777777" w:rsidR="00E929E3" w:rsidRPr="00E929E3" w:rsidRDefault="00E929E3" w:rsidP="00E929E3">
            <w:pPr>
              <w:spacing w:line="360" w:lineRule="auto"/>
              <w:rPr>
                <w:color w:val="000000" w:themeColor="text1"/>
                <w:sz w:val="24"/>
              </w:rPr>
            </w:pPr>
            <w:r w:rsidRPr="00E929E3">
              <w:rPr>
                <w:rFonts w:hint="eastAsia"/>
                <w:color w:val="000000" w:themeColor="text1"/>
                <w:sz w:val="24"/>
              </w:rPr>
              <w:t>回复：</w:t>
            </w:r>
            <w:proofErr w:type="gramStart"/>
            <w:r w:rsidRPr="00E929E3">
              <w:rPr>
                <w:rFonts w:hint="eastAsia"/>
                <w:color w:val="000000" w:themeColor="text1"/>
                <w:sz w:val="24"/>
              </w:rPr>
              <w:t>衡所华威积极</w:t>
            </w:r>
            <w:proofErr w:type="gramEnd"/>
            <w:r w:rsidRPr="00E929E3">
              <w:rPr>
                <w:rFonts w:hint="eastAsia"/>
                <w:color w:val="000000" w:themeColor="text1"/>
                <w:sz w:val="24"/>
              </w:rPr>
              <w:t>推进现有生产线升级改造和</w:t>
            </w:r>
            <w:proofErr w:type="gramStart"/>
            <w:r w:rsidRPr="00E929E3">
              <w:rPr>
                <w:rFonts w:hint="eastAsia"/>
                <w:color w:val="000000" w:themeColor="text1"/>
                <w:sz w:val="24"/>
              </w:rPr>
              <w:t>新产线建设</w:t>
            </w:r>
            <w:proofErr w:type="gramEnd"/>
            <w:r w:rsidRPr="00E929E3">
              <w:rPr>
                <w:rFonts w:hint="eastAsia"/>
                <w:color w:val="000000" w:themeColor="text1"/>
                <w:sz w:val="24"/>
              </w:rPr>
              <w:t>调试工作，</w:t>
            </w:r>
            <w:proofErr w:type="gramStart"/>
            <w:r w:rsidRPr="00E929E3">
              <w:rPr>
                <w:rFonts w:hint="eastAsia"/>
                <w:color w:val="000000" w:themeColor="text1"/>
                <w:sz w:val="24"/>
              </w:rPr>
              <w:t>保障产线设备</w:t>
            </w:r>
            <w:proofErr w:type="gramEnd"/>
            <w:r w:rsidRPr="00E929E3">
              <w:rPr>
                <w:rFonts w:hint="eastAsia"/>
                <w:color w:val="000000" w:themeColor="text1"/>
                <w:sz w:val="24"/>
              </w:rPr>
              <w:t>长周期健康运行。同时对原材料预处理和材料</w:t>
            </w:r>
            <w:proofErr w:type="gramStart"/>
            <w:r w:rsidRPr="00E929E3">
              <w:rPr>
                <w:rFonts w:hint="eastAsia"/>
                <w:color w:val="000000" w:themeColor="text1"/>
                <w:sz w:val="24"/>
              </w:rPr>
              <w:t>分散提出</w:t>
            </w:r>
            <w:proofErr w:type="gramEnd"/>
            <w:r w:rsidRPr="00E929E3">
              <w:rPr>
                <w:rFonts w:hint="eastAsia"/>
                <w:color w:val="000000" w:themeColor="text1"/>
                <w:sz w:val="24"/>
              </w:rPr>
              <w:t>新的工艺研究和验证，科学验证和评估耐磨设备备件和陶瓷备件，不断提升金属颗粒的管控能力。在生产工序增购了多台新设备，有效提升自动化水平。总体生产良率和产出率稳步提升，产品各项指标更加趋于稳定。</w:t>
            </w:r>
          </w:p>
          <w:p w14:paraId="251A7C6E" w14:textId="77777777" w:rsidR="00E929E3" w:rsidRPr="00E929E3" w:rsidRDefault="00E929E3" w:rsidP="00E929E3">
            <w:pPr>
              <w:spacing w:line="360" w:lineRule="auto"/>
              <w:rPr>
                <w:color w:val="000000" w:themeColor="text1"/>
                <w:sz w:val="24"/>
              </w:rPr>
            </w:pPr>
            <w:r w:rsidRPr="00E929E3">
              <w:rPr>
                <w:rFonts w:hint="eastAsia"/>
                <w:color w:val="000000" w:themeColor="text1"/>
                <w:sz w:val="24"/>
              </w:rPr>
              <w:t>对于与生产配套的存储设施和低温库房，做了统筹规划，改建现有库房，数字化和智能化管理水平持续提升，显著提高生产效率，同时降低人力成本，减少设备运行故障。</w:t>
            </w:r>
          </w:p>
          <w:p w14:paraId="04245F68" w14:textId="2DE75C1F" w:rsidR="00E929E3" w:rsidRPr="00E929E3" w:rsidRDefault="00E929E3" w:rsidP="00E929E3">
            <w:pPr>
              <w:spacing w:line="360" w:lineRule="auto"/>
              <w:rPr>
                <w:color w:val="000000" w:themeColor="text1"/>
                <w:sz w:val="24"/>
              </w:rPr>
            </w:pPr>
            <w:r w:rsidRPr="00E929E3">
              <w:rPr>
                <w:rFonts w:hint="eastAsia"/>
                <w:color w:val="000000" w:themeColor="text1"/>
                <w:sz w:val="24"/>
              </w:rPr>
              <w:t>问题</w:t>
            </w:r>
            <w:r w:rsidR="005C77A9">
              <w:rPr>
                <w:rFonts w:hint="eastAsia"/>
                <w:color w:val="000000" w:themeColor="text1"/>
                <w:sz w:val="24"/>
              </w:rPr>
              <w:t>六</w:t>
            </w:r>
            <w:r w:rsidRPr="00E929E3">
              <w:rPr>
                <w:rFonts w:hint="eastAsia"/>
                <w:color w:val="000000" w:themeColor="text1"/>
                <w:sz w:val="24"/>
              </w:rPr>
              <w:t>：公司为国产化替代做了哪些努力？</w:t>
            </w:r>
          </w:p>
          <w:p w14:paraId="68944E37" w14:textId="655B8F11" w:rsidR="00E929E3" w:rsidRPr="00E929E3" w:rsidRDefault="00E929E3" w:rsidP="00E929E3">
            <w:pPr>
              <w:spacing w:line="360" w:lineRule="auto"/>
              <w:rPr>
                <w:rFonts w:hint="eastAsia"/>
                <w:color w:val="000000" w:themeColor="text1"/>
                <w:sz w:val="24"/>
              </w:rPr>
            </w:pPr>
            <w:r w:rsidRPr="00E929E3">
              <w:rPr>
                <w:rFonts w:hint="eastAsia"/>
                <w:color w:val="000000" w:themeColor="text1"/>
                <w:sz w:val="24"/>
              </w:rPr>
              <w:t>回复：长期以来，中国半导体关键材料因为缺乏技术被“卡脖子”，因而受制于人。公司以开发全系列先进封装材料为己任，专注关键技术攻关。公司以半导体产业及半导体封装行业的发展方向为指导，围绕现有产品及技术成果，在新产品研发、配方开发、工艺优化等方面进行持续研发及技术攻关，在保持行业内技术优势地位的同时不断拓展公司产品的应用领域，为我国半导体封装材料的国产化提供了材料保障。</w:t>
            </w:r>
          </w:p>
          <w:p w14:paraId="32EDEF0C" w14:textId="592936FE" w:rsidR="00D8717D" w:rsidRPr="00D8717D" w:rsidRDefault="00D8717D" w:rsidP="007B0E34">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vAlign w:val="center"/>
          </w:tcPr>
          <w:p w14:paraId="0837D25B" w14:textId="7C391D79"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177317">
              <w:rPr>
                <w:rFonts w:ascii="宋体" w:eastAsia="宋体" w:hAnsi="宋体" w:cs="Times New Roman" w:hint="eastAsia"/>
                <w:bCs/>
                <w:iCs/>
                <w:color w:val="000000" w:themeColor="text1"/>
                <w:sz w:val="24"/>
                <w:szCs w:val="24"/>
              </w:rPr>
              <w:t>6</w:t>
            </w:r>
            <w:r>
              <w:rPr>
                <w:rFonts w:ascii="宋体" w:eastAsia="宋体" w:hAnsi="宋体" w:cs="Times New Roman" w:hint="eastAsia"/>
                <w:bCs/>
                <w:iCs/>
                <w:color w:val="000000" w:themeColor="text1"/>
                <w:sz w:val="24"/>
                <w:szCs w:val="24"/>
              </w:rPr>
              <w:t>年</w:t>
            </w:r>
            <w:r w:rsidR="003A1399">
              <w:rPr>
                <w:rFonts w:ascii="宋体" w:eastAsia="宋体" w:hAnsi="宋体" w:cs="Times New Roman" w:hint="eastAsia"/>
                <w:bCs/>
                <w:iCs/>
                <w:color w:val="000000" w:themeColor="text1"/>
                <w:sz w:val="24"/>
                <w:szCs w:val="24"/>
              </w:rPr>
              <w:t>5</w:t>
            </w:r>
            <w:r>
              <w:rPr>
                <w:rFonts w:ascii="宋体" w:eastAsia="宋体" w:hAnsi="宋体" w:cs="Times New Roman" w:hint="eastAsia"/>
                <w:iCs/>
                <w:color w:val="000000" w:themeColor="text1"/>
                <w:sz w:val="24"/>
                <w:szCs w:val="24"/>
              </w:rPr>
              <w:t xml:space="preserve">月 </w:t>
            </w:r>
            <w:r w:rsidR="003A1399">
              <w:rPr>
                <w:rFonts w:ascii="宋体" w:eastAsia="宋体" w:hAnsi="宋体" w:cs="Times New Roman" w:hint="eastAsia"/>
                <w:iCs/>
                <w:color w:val="000000" w:themeColor="text1"/>
                <w:sz w:val="24"/>
                <w:szCs w:val="24"/>
              </w:rPr>
              <w:t>19</w:t>
            </w:r>
            <w:r>
              <w:rPr>
                <w:rFonts w:ascii="宋体" w:eastAsia="宋体" w:hAnsi="宋体" w:cs="Times New Roman" w:hint="eastAsia"/>
                <w:iCs/>
                <w:color w:val="000000" w:themeColor="text1"/>
                <w:sz w:val="24"/>
                <w:szCs w:val="24"/>
              </w:rPr>
              <w:t>日</w:t>
            </w:r>
            <w:r w:rsidR="007A487B">
              <w:rPr>
                <w:rFonts w:ascii="宋体" w:eastAsia="宋体" w:hAnsi="宋体" w:cs="Times New Roman" w:hint="eastAsia"/>
                <w:iCs/>
                <w:color w:val="000000" w:themeColor="text1"/>
                <w:sz w:val="24"/>
                <w:szCs w:val="24"/>
              </w:rPr>
              <w:t>、</w:t>
            </w:r>
            <w:r w:rsidR="007A487B">
              <w:rPr>
                <w:rFonts w:ascii="宋体" w:eastAsia="宋体" w:hAnsi="宋体" w:cs="Times New Roman" w:hint="eastAsia"/>
                <w:bCs/>
                <w:iCs/>
                <w:color w:val="000000" w:themeColor="text1"/>
                <w:sz w:val="24"/>
                <w:szCs w:val="24"/>
              </w:rPr>
              <w:t>2026年5</w:t>
            </w:r>
            <w:r w:rsidR="007A487B">
              <w:rPr>
                <w:rFonts w:ascii="宋体" w:eastAsia="宋体" w:hAnsi="宋体" w:cs="Times New Roman" w:hint="eastAsia"/>
                <w:iCs/>
                <w:color w:val="000000" w:themeColor="text1"/>
                <w:sz w:val="24"/>
                <w:szCs w:val="24"/>
              </w:rPr>
              <w:t>月 20日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7DF2" w14:textId="77777777" w:rsidR="009B44D3" w:rsidRDefault="009B44D3" w:rsidP="00C81FD8">
      <w:r>
        <w:separator/>
      </w:r>
    </w:p>
  </w:endnote>
  <w:endnote w:type="continuationSeparator" w:id="0">
    <w:p w14:paraId="765149A4" w14:textId="77777777" w:rsidR="009B44D3" w:rsidRDefault="009B44D3"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62C3" w14:textId="77777777" w:rsidR="009B44D3" w:rsidRDefault="009B44D3" w:rsidP="00C81FD8">
      <w:r>
        <w:separator/>
      </w:r>
    </w:p>
  </w:footnote>
  <w:footnote w:type="continuationSeparator" w:id="0">
    <w:p w14:paraId="45261207" w14:textId="77777777" w:rsidR="009B44D3" w:rsidRDefault="009B44D3"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807BD4"/>
    <w:multiLevelType w:val="hybridMultilevel"/>
    <w:tmpl w:val="E1646F08"/>
    <w:lvl w:ilvl="0" w:tplc="8F36B4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ED7EEB"/>
    <w:multiLevelType w:val="hybridMultilevel"/>
    <w:tmpl w:val="AD4CB8E2"/>
    <w:lvl w:ilvl="0" w:tplc="7EA04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4551669">
    <w:abstractNumId w:val="0"/>
  </w:num>
  <w:num w:numId="2" w16cid:durableId="647713787">
    <w:abstractNumId w:val="2"/>
  </w:num>
  <w:num w:numId="3" w16cid:durableId="2100326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0AFA"/>
    <w:rsid w:val="00026AD9"/>
    <w:rsid w:val="00027353"/>
    <w:rsid w:val="00030C08"/>
    <w:rsid w:val="000348AC"/>
    <w:rsid w:val="00041798"/>
    <w:rsid w:val="00047287"/>
    <w:rsid w:val="0007023E"/>
    <w:rsid w:val="00072983"/>
    <w:rsid w:val="00072A3C"/>
    <w:rsid w:val="0007733E"/>
    <w:rsid w:val="000774A0"/>
    <w:rsid w:val="00090480"/>
    <w:rsid w:val="00092858"/>
    <w:rsid w:val="000967E4"/>
    <w:rsid w:val="00096B43"/>
    <w:rsid w:val="000A344F"/>
    <w:rsid w:val="000A493D"/>
    <w:rsid w:val="000B3F86"/>
    <w:rsid w:val="000C5599"/>
    <w:rsid w:val="000C64F0"/>
    <w:rsid w:val="000C7C8A"/>
    <w:rsid w:val="000D0DC1"/>
    <w:rsid w:val="000D7168"/>
    <w:rsid w:val="000E4DF3"/>
    <w:rsid w:val="000F6608"/>
    <w:rsid w:val="001244C8"/>
    <w:rsid w:val="00132240"/>
    <w:rsid w:val="00133A11"/>
    <w:rsid w:val="001370DD"/>
    <w:rsid w:val="00141650"/>
    <w:rsid w:val="00153176"/>
    <w:rsid w:val="00161159"/>
    <w:rsid w:val="0017023A"/>
    <w:rsid w:val="00177317"/>
    <w:rsid w:val="00177BA5"/>
    <w:rsid w:val="00185E0B"/>
    <w:rsid w:val="00186169"/>
    <w:rsid w:val="00187E96"/>
    <w:rsid w:val="001A1D84"/>
    <w:rsid w:val="001A1E29"/>
    <w:rsid w:val="001A228E"/>
    <w:rsid w:val="001A59E0"/>
    <w:rsid w:val="001B0560"/>
    <w:rsid w:val="001B1AC3"/>
    <w:rsid w:val="001B230A"/>
    <w:rsid w:val="001B2F6C"/>
    <w:rsid w:val="001B3612"/>
    <w:rsid w:val="001B3784"/>
    <w:rsid w:val="001B443E"/>
    <w:rsid w:val="001C5E7C"/>
    <w:rsid w:val="001C672B"/>
    <w:rsid w:val="001D4281"/>
    <w:rsid w:val="001D5CCC"/>
    <w:rsid w:val="002009D6"/>
    <w:rsid w:val="00202597"/>
    <w:rsid w:val="00202B8E"/>
    <w:rsid w:val="0020490F"/>
    <w:rsid w:val="00217262"/>
    <w:rsid w:val="002216EE"/>
    <w:rsid w:val="00223F85"/>
    <w:rsid w:val="00231D86"/>
    <w:rsid w:val="002322F2"/>
    <w:rsid w:val="002330DA"/>
    <w:rsid w:val="00247556"/>
    <w:rsid w:val="002507C6"/>
    <w:rsid w:val="00252F50"/>
    <w:rsid w:val="00264BAF"/>
    <w:rsid w:val="00267DAF"/>
    <w:rsid w:val="00273235"/>
    <w:rsid w:val="00273A60"/>
    <w:rsid w:val="00276F11"/>
    <w:rsid w:val="00280149"/>
    <w:rsid w:val="0028252F"/>
    <w:rsid w:val="00285F24"/>
    <w:rsid w:val="00297D70"/>
    <w:rsid w:val="002A06BF"/>
    <w:rsid w:val="002A2E40"/>
    <w:rsid w:val="002A4A93"/>
    <w:rsid w:val="002B29A4"/>
    <w:rsid w:val="002C5221"/>
    <w:rsid w:val="002C6DC3"/>
    <w:rsid w:val="002E56DC"/>
    <w:rsid w:val="002E7C07"/>
    <w:rsid w:val="002F3907"/>
    <w:rsid w:val="002F4E17"/>
    <w:rsid w:val="003003F9"/>
    <w:rsid w:val="00304604"/>
    <w:rsid w:val="00316F49"/>
    <w:rsid w:val="00324C6F"/>
    <w:rsid w:val="00340983"/>
    <w:rsid w:val="00341940"/>
    <w:rsid w:val="0034653E"/>
    <w:rsid w:val="003507E5"/>
    <w:rsid w:val="00360E9E"/>
    <w:rsid w:val="0036208B"/>
    <w:rsid w:val="003634A1"/>
    <w:rsid w:val="00364AAD"/>
    <w:rsid w:val="00371450"/>
    <w:rsid w:val="00371D03"/>
    <w:rsid w:val="003834F2"/>
    <w:rsid w:val="00385B8B"/>
    <w:rsid w:val="00385E39"/>
    <w:rsid w:val="00390B13"/>
    <w:rsid w:val="00393485"/>
    <w:rsid w:val="00395BCD"/>
    <w:rsid w:val="003A08D3"/>
    <w:rsid w:val="003A1399"/>
    <w:rsid w:val="003A1540"/>
    <w:rsid w:val="003B6508"/>
    <w:rsid w:val="003C7FF2"/>
    <w:rsid w:val="003D6CD4"/>
    <w:rsid w:val="003F2963"/>
    <w:rsid w:val="003F5AC2"/>
    <w:rsid w:val="00404D59"/>
    <w:rsid w:val="00414BD5"/>
    <w:rsid w:val="004203AC"/>
    <w:rsid w:val="00425AE7"/>
    <w:rsid w:val="00440090"/>
    <w:rsid w:val="00442F31"/>
    <w:rsid w:val="00447C71"/>
    <w:rsid w:val="00451591"/>
    <w:rsid w:val="00452820"/>
    <w:rsid w:val="00454931"/>
    <w:rsid w:val="00455BF3"/>
    <w:rsid w:val="00463B6F"/>
    <w:rsid w:val="004709F7"/>
    <w:rsid w:val="004729F7"/>
    <w:rsid w:val="00476ADD"/>
    <w:rsid w:val="00493024"/>
    <w:rsid w:val="004A1AF7"/>
    <w:rsid w:val="004A5D05"/>
    <w:rsid w:val="004B18EF"/>
    <w:rsid w:val="004B3991"/>
    <w:rsid w:val="004B767C"/>
    <w:rsid w:val="004C0979"/>
    <w:rsid w:val="004C4514"/>
    <w:rsid w:val="004F120B"/>
    <w:rsid w:val="004F424C"/>
    <w:rsid w:val="005001FB"/>
    <w:rsid w:val="00506793"/>
    <w:rsid w:val="00510ABC"/>
    <w:rsid w:val="00511633"/>
    <w:rsid w:val="00512E65"/>
    <w:rsid w:val="00517BF1"/>
    <w:rsid w:val="005205A7"/>
    <w:rsid w:val="00521377"/>
    <w:rsid w:val="00523409"/>
    <w:rsid w:val="00543E6F"/>
    <w:rsid w:val="005546AD"/>
    <w:rsid w:val="00556E56"/>
    <w:rsid w:val="00557BE4"/>
    <w:rsid w:val="005602AE"/>
    <w:rsid w:val="005614C3"/>
    <w:rsid w:val="005749CA"/>
    <w:rsid w:val="00580B40"/>
    <w:rsid w:val="00586E5B"/>
    <w:rsid w:val="00590C1E"/>
    <w:rsid w:val="005942C7"/>
    <w:rsid w:val="005A37AC"/>
    <w:rsid w:val="005A4EAA"/>
    <w:rsid w:val="005A7510"/>
    <w:rsid w:val="005B01B6"/>
    <w:rsid w:val="005C3FFE"/>
    <w:rsid w:val="005C48A1"/>
    <w:rsid w:val="005C77A9"/>
    <w:rsid w:val="005D7E4D"/>
    <w:rsid w:val="005E1AF3"/>
    <w:rsid w:val="005E5CE7"/>
    <w:rsid w:val="005E6356"/>
    <w:rsid w:val="005E6406"/>
    <w:rsid w:val="005F1905"/>
    <w:rsid w:val="005F648A"/>
    <w:rsid w:val="00600047"/>
    <w:rsid w:val="00601574"/>
    <w:rsid w:val="00612D9C"/>
    <w:rsid w:val="00614358"/>
    <w:rsid w:val="006152AD"/>
    <w:rsid w:val="00615B99"/>
    <w:rsid w:val="00620B54"/>
    <w:rsid w:val="006220CD"/>
    <w:rsid w:val="00623CC4"/>
    <w:rsid w:val="0062767E"/>
    <w:rsid w:val="0063099F"/>
    <w:rsid w:val="00631237"/>
    <w:rsid w:val="00634202"/>
    <w:rsid w:val="0064156B"/>
    <w:rsid w:val="00644342"/>
    <w:rsid w:val="00653A40"/>
    <w:rsid w:val="006559A9"/>
    <w:rsid w:val="00660AE2"/>
    <w:rsid w:val="0066593B"/>
    <w:rsid w:val="006705DC"/>
    <w:rsid w:val="00683FE4"/>
    <w:rsid w:val="00696FAB"/>
    <w:rsid w:val="006B2A92"/>
    <w:rsid w:val="006C0E70"/>
    <w:rsid w:val="006C6893"/>
    <w:rsid w:val="006C71FD"/>
    <w:rsid w:val="006D0F13"/>
    <w:rsid w:val="006E1A86"/>
    <w:rsid w:val="006E5B0B"/>
    <w:rsid w:val="0070032D"/>
    <w:rsid w:val="0070688A"/>
    <w:rsid w:val="00710BE6"/>
    <w:rsid w:val="00712B4B"/>
    <w:rsid w:val="00723378"/>
    <w:rsid w:val="00724B3C"/>
    <w:rsid w:val="00725082"/>
    <w:rsid w:val="0072580B"/>
    <w:rsid w:val="007423FB"/>
    <w:rsid w:val="0074354E"/>
    <w:rsid w:val="00760908"/>
    <w:rsid w:val="0076223C"/>
    <w:rsid w:val="00767E6D"/>
    <w:rsid w:val="0077537C"/>
    <w:rsid w:val="00777A3C"/>
    <w:rsid w:val="0078522C"/>
    <w:rsid w:val="00785800"/>
    <w:rsid w:val="00786364"/>
    <w:rsid w:val="00787F41"/>
    <w:rsid w:val="0079126D"/>
    <w:rsid w:val="00792780"/>
    <w:rsid w:val="007961B3"/>
    <w:rsid w:val="00796C83"/>
    <w:rsid w:val="007A487B"/>
    <w:rsid w:val="007A7541"/>
    <w:rsid w:val="007B055F"/>
    <w:rsid w:val="007B0D79"/>
    <w:rsid w:val="007B0E34"/>
    <w:rsid w:val="007C63A7"/>
    <w:rsid w:val="007C7CC0"/>
    <w:rsid w:val="007D1EF1"/>
    <w:rsid w:val="007D532E"/>
    <w:rsid w:val="007D734E"/>
    <w:rsid w:val="007E5E64"/>
    <w:rsid w:val="007F10D6"/>
    <w:rsid w:val="007F756D"/>
    <w:rsid w:val="00800444"/>
    <w:rsid w:val="00800A99"/>
    <w:rsid w:val="0080461A"/>
    <w:rsid w:val="00812CBD"/>
    <w:rsid w:val="00821ABB"/>
    <w:rsid w:val="0082258E"/>
    <w:rsid w:val="00824411"/>
    <w:rsid w:val="00827159"/>
    <w:rsid w:val="0082747D"/>
    <w:rsid w:val="00827EDE"/>
    <w:rsid w:val="008314FC"/>
    <w:rsid w:val="0083270E"/>
    <w:rsid w:val="00832774"/>
    <w:rsid w:val="00832FE3"/>
    <w:rsid w:val="0083655A"/>
    <w:rsid w:val="00851B42"/>
    <w:rsid w:val="00857C25"/>
    <w:rsid w:val="00860F4D"/>
    <w:rsid w:val="0087114B"/>
    <w:rsid w:val="0087594E"/>
    <w:rsid w:val="008855A1"/>
    <w:rsid w:val="00895412"/>
    <w:rsid w:val="008A11AF"/>
    <w:rsid w:val="008A1DB7"/>
    <w:rsid w:val="008B2F54"/>
    <w:rsid w:val="008B4BDE"/>
    <w:rsid w:val="008B6640"/>
    <w:rsid w:val="008B6F69"/>
    <w:rsid w:val="008C2E1C"/>
    <w:rsid w:val="008D0B30"/>
    <w:rsid w:val="008D0CB5"/>
    <w:rsid w:val="008D3BD4"/>
    <w:rsid w:val="008D4461"/>
    <w:rsid w:val="008E5F8E"/>
    <w:rsid w:val="008E62F2"/>
    <w:rsid w:val="008E656C"/>
    <w:rsid w:val="008F3B29"/>
    <w:rsid w:val="00920D45"/>
    <w:rsid w:val="009319F9"/>
    <w:rsid w:val="00937627"/>
    <w:rsid w:val="00937AED"/>
    <w:rsid w:val="0094387A"/>
    <w:rsid w:val="00950041"/>
    <w:rsid w:val="00950349"/>
    <w:rsid w:val="009568D5"/>
    <w:rsid w:val="00981395"/>
    <w:rsid w:val="00987696"/>
    <w:rsid w:val="009A3E7F"/>
    <w:rsid w:val="009A4FCE"/>
    <w:rsid w:val="009B0419"/>
    <w:rsid w:val="009B0931"/>
    <w:rsid w:val="009B0EF2"/>
    <w:rsid w:val="009B1251"/>
    <w:rsid w:val="009B287C"/>
    <w:rsid w:val="009B44D3"/>
    <w:rsid w:val="009C34FF"/>
    <w:rsid w:val="009C6442"/>
    <w:rsid w:val="009D1244"/>
    <w:rsid w:val="009E3304"/>
    <w:rsid w:val="009E3981"/>
    <w:rsid w:val="009F738C"/>
    <w:rsid w:val="00A040EF"/>
    <w:rsid w:val="00A10F42"/>
    <w:rsid w:val="00A15C91"/>
    <w:rsid w:val="00A20B23"/>
    <w:rsid w:val="00A213D8"/>
    <w:rsid w:val="00A2292A"/>
    <w:rsid w:val="00A450B0"/>
    <w:rsid w:val="00A4627F"/>
    <w:rsid w:val="00A54EEE"/>
    <w:rsid w:val="00A54F8A"/>
    <w:rsid w:val="00A63DCF"/>
    <w:rsid w:val="00A656D3"/>
    <w:rsid w:val="00A744F3"/>
    <w:rsid w:val="00A833B5"/>
    <w:rsid w:val="00A83FBE"/>
    <w:rsid w:val="00A84B13"/>
    <w:rsid w:val="00A85B50"/>
    <w:rsid w:val="00A903C3"/>
    <w:rsid w:val="00A9341A"/>
    <w:rsid w:val="00AA17BB"/>
    <w:rsid w:val="00AA3E3F"/>
    <w:rsid w:val="00AB0916"/>
    <w:rsid w:val="00AB1067"/>
    <w:rsid w:val="00AB6B23"/>
    <w:rsid w:val="00AC5729"/>
    <w:rsid w:val="00AD17B2"/>
    <w:rsid w:val="00AD6B4F"/>
    <w:rsid w:val="00AE0431"/>
    <w:rsid w:val="00AE049C"/>
    <w:rsid w:val="00AF382E"/>
    <w:rsid w:val="00AF4778"/>
    <w:rsid w:val="00AF62C4"/>
    <w:rsid w:val="00B04F51"/>
    <w:rsid w:val="00B06CB1"/>
    <w:rsid w:val="00B134F3"/>
    <w:rsid w:val="00B2207E"/>
    <w:rsid w:val="00B24521"/>
    <w:rsid w:val="00B37E24"/>
    <w:rsid w:val="00B4061B"/>
    <w:rsid w:val="00B548BB"/>
    <w:rsid w:val="00B57A15"/>
    <w:rsid w:val="00B62749"/>
    <w:rsid w:val="00B905B1"/>
    <w:rsid w:val="00B90623"/>
    <w:rsid w:val="00B90663"/>
    <w:rsid w:val="00BA6F45"/>
    <w:rsid w:val="00BC15C3"/>
    <w:rsid w:val="00BC61FB"/>
    <w:rsid w:val="00BC695B"/>
    <w:rsid w:val="00BE3F8B"/>
    <w:rsid w:val="00BF0873"/>
    <w:rsid w:val="00C00C52"/>
    <w:rsid w:val="00C16861"/>
    <w:rsid w:val="00C31920"/>
    <w:rsid w:val="00C440C9"/>
    <w:rsid w:val="00C4641E"/>
    <w:rsid w:val="00C46AB1"/>
    <w:rsid w:val="00C51481"/>
    <w:rsid w:val="00C5773F"/>
    <w:rsid w:val="00C665E7"/>
    <w:rsid w:val="00C667F8"/>
    <w:rsid w:val="00C77372"/>
    <w:rsid w:val="00C81FD8"/>
    <w:rsid w:val="00C87D54"/>
    <w:rsid w:val="00C97769"/>
    <w:rsid w:val="00CA0D34"/>
    <w:rsid w:val="00CA75DC"/>
    <w:rsid w:val="00CB34B5"/>
    <w:rsid w:val="00CC2E65"/>
    <w:rsid w:val="00CC38AE"/>
    <w:rsid w:val="00CC75B8"/>
    <w:rsid w:val="00CD1CE3"/>
    <w:rsid w:val="00CD5A8B"/>
    <w:rsid w:val="00CD646E"/>
    <w:rsid w:val="00CE1791"/>
    <w:rsid w:val="00CE210A"/>
    <w:rsid w:val="00CE6EA9"/>
    <w:rsid w:val="00CF5503"/>
    <w:rsid w:val="00CF5C6D"/>
    <w:rsid w:val="00CF7A2E"/>
    <w:rsid w:val="00D00EA3"/>
    <w:rsid w:val="00D038D8"/>
    <w:rsid w:val="00D0577C"/>
    <w:rsid w:val="00D05C3F"/>
    <w:rsid w:val="00D116DB"/>
    <w:rsid w:val="00D12149"/>
    <w:rsid w:val="00D1289A"/>
    <w:rsid w:val="00D14C0A"/>
    <w:rsid w:val="00D152DE"/>
    <w:rsid w:val="00D15D59"/>
    <w:rsid w:val="00D22202"/>
    <w:rsid w:val="00D23FAF"/>
    <w:rsid w:val="00D24C37"/>
    <w:rsid w:val="00D35643"/>
    <w:rsid w:val="00D4662A"/>
    <w:rsid w:val="00D55519"/>
    <w:rsid w:val="00D56303"/>
    <w:rsid w:val="00D73607"/>
    <w:rsid w:val="00D8717D"/>
    <w:rsid w:val="00D93633"/>
    <w:rsid w:val="00DB4AA7"/>
    <w:rsid w:val="00DC21D5"/>
    <w:rsid w:val="00DC231F"/>
    <w:rsid w:val="00DC26BE"/>
    <w:rsid w:val="00DC2966"/>
    <w:rsid w:val="00DC2F1C"/>
    <w:rsid w:val="00DC58D3"/>
    <w:rsid w:val="00DD78E1"/>
    <w:rsid w:val="00DE40F5"/>
    <w:rsid w:val="00DF4C64"/>
    <w:rsid w:val="00DF55FC"/>
    <w:rsid w:val="00E03A06"/>
    <w:rsid w:val="00E04584"/>
    <w:rsid w:val="00E04698"/>
    <w:rsid w:val="00E17EA3"/>
    <w:rsid w:val="00E21E9C"/>
    <w:rsid w:val="00E23D72"/>
    <w:rsid w:val="00E3331D"/>
    <w:rsid w:val="00E37020"/>
    <w:rsid w:val="00E701EC"/>
    <w:rsid w:val="00E91F5F"/>
    <w:rsid w:val="00E929E3"/>
    <w:rsid w:val="00E96154"/>
    <w:rsid w:val="00EC1992"/>
    <w:rsid w:val="00EC7180"/>
    <w:rsid w:val="00ED17F3"/>
    <w:rsid w:val="00ED3E9E"/>
    <w:rsid w:val="00EE48E6"/>
    <w:rsid w:val="00EE6368"/>
    <w:rsid w:val="00EF35D7"/>
    <w:rsid w:val="00F00943"/>
    <w:rsid w:val="00F02743"/>
    <w:rsid w:val="00F35517"/>
    <w:rsid w:val="00F37A28"/>
    <w:rsid w:val="00F4441F"/>
    <w:rsid w:val="00F44AF3"/>
    <w:rsid w:val="00F45912"/>
    <w:rsid w:val="00F62040"/>
    <w:rsid w:val="00F65796"/>
    <w:rsid w:val="00F743EE"/>
    <w:rsid w:val="00F755F1"/>
    <w:rsid w:val="00F77E72"/>
    <w:rsid w:val="00F83CF6"/>
    <w:rsid w:val="00F85993"/>
    <w:rsid w:val="00F95650"/>
    <w:rsid w:val="00F96F52"/>
    <w:rsid w:val="00FB0728"/>
    <w:rsid w:val="00FB0D08"/>
    <w:rsid w:val="00FB0EF7"/>
    <w:rsid w:val="00FB226B"/>
    <w:rsid w:val="00FB4F76"/>
    <w:rsid w:val="00FB7753"/>
    <w:rsid w:val="00FC7C34"/>
    <w:rsid w:val="00FD350A"/>
    <w:rsid w:val="00FE175A"/>
    <w:rsid w:val="00FE549D"/>
    <w:rsid w:val="00FF2B2E"/>
    <w:rsid w:val="00FF376F"/>
    <w:rsid w:val="00FF7DCC"/>
    <w:rsid w:val="00FF7E9F"/>
    <w:rsid w:val="00FF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 w:type="paragraph" w:styleId="af0">
    <w:name w:val="Revision"/>
    <w:hidden/>
    <w:uiPriority w:val="99"/>
    <w:semiHidden/>
    <w:rsid w:val="00EC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2026-05-19T06:07:00Z</dcterms:created>
  <dcterms:modified xsi:type="dcterms:W3CDTF">2026-05-20T06:55:00Z</dcterms:modified>
</cp:coreProperties>
</file>