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D7CF2">
      <w:pPr>
        <w:spacing w:line="351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证券代码：688143     </w:t>
      </w:r>
      <w:r>
        <w:t xml:space="preserve">                                                                    </w:t>
      </w:r>
      <w:r>
        <w:rPr>
          <w:rFonts w:hint="eastAsia" w:ascii="宋体" w:hAnsi="宋体" w:eastAsia="宋体" w:cs="宋体"/>
        </w:rPr>
        <w:t>证券简称：长盈通</w:t>
      </w:r>
    </w:p>
    <w:p w14:paraId="60285EC1">
      <w:pPr>
        <w:spacing w:line="351" w:lineRule="auto"/>
        <w:ind w:firstLine="420" w:firstLineChars="200"/>
      </w:pPr>
      <w:r>
        <w:t xml:space="preserve"> </w:t>
      </w:r>
    </w:p>
    <w:p w14:paraId="2F97ADCB">
      <w:pPr>
        <w:spacing w:before="130" w:line="218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1"/>
          <w:sz w:val="40"/>
          <w:szCs w:val="40"/>
          <w14:textOutline w14:w="727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武</w:t>
      </w:r>
      <w:r>
        <w:rPr>
          <w:rFonts w:ascii="黑体" w:hAnsi="黑体" w:eastAsia="黑体" w:cs="黑体"/>
          <w:sz w:val="40"/>
          <w:szCs w:val="40"/>
          <w14:textOutline w14:w="727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汉长盈通光电技术股份有限公司</w:t>
      </w:r>
    </w:p>
    <w:p w14:paraId="1F2E83B0">
      <w:pPr>
        <w:spacing w:before="151" w:line="219" w:lineRule="auto"/>
        <w:jc w:val="center"/>
        <w:rPr>
          <w:rFonts w:ascii="黑体" w:hAnsi="黑体" w:eastAsia="黑体" w:cs="黑体"/>
          <w:sz w:val="40"/>
          <w:szCs w:val="40"/>
          <w14:textOutline w14:w="727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黑体" w:hAnsi="黑体" w:eastAsia="黑体" w:cs="黑体"/>
          <w:spacing w:val="1"/>
          <w:sz w:val="40"/>
          <w:szCs w:val="40"/>
          <w14:textOutline w14:w="727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投</w:t>
      </w:r>
      <w:r>
        <w:rPr>
          <w:rFonts w:ascii="黑体" w:hAnsi="黑体" w:eastAsia="黑体" w:cs="黑体"/>
          <w:sz w:val="40"/>
          <w:szCs w:val="40"/>
          <w14:textOutline w14:w="727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资者关系活动记录表</w:t>
      </w:r>
    </w:p>
    <w:p w14:paraId="75BC3E32">
      <w:pPr>
        <w:wordWrap w:val="0"/>
        <w:spacing w:before="71" w:line="360" w:lineRule="auto"/>
        <w:ind w:right="384" w:firstLine="476" w:firstLineChars="200"/>
        <w:jc w:val="right"/>
        <w:rPr>
          <w:rFonts w:hint="default" w:ascii="黑体" w:hAnsi="黑体" w:eastAsia="黑体" w:cs="黑体"/>
          <w:spacing w:val="-1"/>
          <w:sz w:val="24"/>
          <w:szCs w:val="24"/>
          <w:lang w:val="en-US" w:eastAsia="zh-CN"/>
        </w:rPr>
      </w:pPr>
      <w:r>
        <w:rPr>
          <w:rFonts w:ascii="黑体" w:hAnsi="黑体" w:eastAsia="黑体" w:cs="黑体"/>
          <w:spacing w:val="-1"/>
          <w:sz w:val="24"/>
          <w:szCs w:val="24"/>
        </w:rPr>
        <w:t>编号</w:t>
      </w:r>
      <w:r>
        <w:rPr>
          <w:rFonts w:hint="eastAsia" w:ascii="黑体" w:hAnsi="黑体" w:eastAsia="黑体" w:cs="黑体"/>
          <w:spacing w:val="-1"/>
          <w:sz w:val="24"/>
          <w:szCs w:val="24"/>
          <w:lang w:eastAsia="zh-CN"/>
        </w:rPr>
        <w:t>：</w:t>
      </w:r>
      <w:r>
        <w:rPr>
          <w:rFonts w:ascii="黑体" w:hAnsi="黑体" w:eastAsia="黑体" w:cs="黑体"/>
          <w:spacing w:val="-1"/>
          <w:sz w:val="24"/>
          <w:szCs w:val="24"/>
        </w:rPr>
        <w:t>202</w:t>
      </w:r>
      <w:r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  <w:t>6</w:t>
      </w:r>
      <w:r>
        <w:rPr>
          <w:rFonts w:hint="eastAsia" w:ascii="黑体" w:hAnsi="黑体" w:eastAsia="黑体" w:cs="黑体"/>
          <w:spacing w:val="-1"/>
          <w:sz w:val="24"/>
          <w:szCs w:val="24"/>
          <w:lang w:eastAsia="zh-CN"/>
        </w:rPr>
        <w:t>-00</w:t>
      </w:r>
      <w:r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  <w:t>1</w:t>
      </w:r>
    </w:p>
    <w:tbl>
      <w:tblPr>
        <w:tblStyle w:val="7"/>
        <w:tblpPr w:leftFromText="180" w:rightFromText="180" w:vertAnchor="text" w:tblpX="2" w:tblpY="1"/>
        <w:tblOverlap w:val="never"/>
        <w:tblW w:w="90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3"/>
        <w:gridCol w:w="2534"/>
        <w:gridCol w:w="3256"/>
      </w:tblGrid>
      <w:tr w14:paraId="7375F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0" w:hRule="atLeast"/>
        </w:trPr>
        <w:tc>
          <w:tcPr>
            <w:tcW w:w="3283" w:type="dxa"/>
            <w:vAlign w:val="center"/>
          </w:tcPr>
          <w:p w14:paraId="124DDFBB">
            <w:pPr>
              <w:spacing w:before="78" w:line="360" w:lineRule="auto"/>
              <w:ind w:left="434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投</w:t>
            </w:r>
            <w:r>
              <w:rPr>
                <w:rFonts w:ascii="黑体" w:hAnsi="黑体" w:eastAsia="黑体" w:cs="黑体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资者关系活动类别</w:t>
            </w:r>
          </w:p>
        </w:tc>
        <w:tc>
          <w:tcPr>
            <w:tcW w:w="2534" w:type="dxa"/>
            <w:tcBorders>
              <w:right w:val="nil"/>
            </w:tcBorders>
          </w:tcPr>
          <w:p w14:paraId="557DECA4">
            <w:pPr>
              <w:spacing w:before="195" w:line="240" w:lineRule="auto"/>
              <w:ind w:left="23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■</w:t>
            </w:r>
            <w:r>
              <w:rPr>
                <w:rFonts w:ascii="宋体" w:hAnsi="宋体" w:eastAsia="宋体" w:cs="宋体"/>
                <w:spacing w:val="-3"/>
              </w:rPr>
              <w:t>实</w:t>
            </w:r>
            <w:r>
              <w:rPr>
                <w:rFonts w:ascii="宋体" w:hAnsi="宋体" w:eastAsia="宋体" w:cs="宋体"/>
                <w:spacing w:val="-2"/>
              </w:rPr>
              <w:t>地调研</w:t>
            </w:r>
          </w:p>
          <w:p w14:paraId="45D5A93B">
            <w:pPr>
              <w:spacing w:line="240" w:lineRule="auto"/>
            </w:pPr>
          </w:p>
          <w:p w14:paraId="2ECCA2DC">
            <w:pPr>
              <w:spacing w:before="68" w:line="240" w:lineRule="auto"/>
              <w:ind w:left="23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rFonts w:ascii="宋体" w:hAnsi="宋体" w:eastAsia="宋体" w:cs="宋体"/>
                <w:spacing w:val="-3"/>
              </w:rPr>
              <w:t>媒</w:t>
            </w:r>
            <w:r>
              <w:rPr>
                <w:rFonts w:ascii="宋体" w:hAnsi="宋体" w:eastAsia="宋体" w:cs="宋体"/>
                <w:spacing w:val="-2"/>
              </w:rPr>
              <w:t>体采访</w:t>
            </w:r>
          </w:p>
          <w:p w14:paraId="4C5A6237">
            <w:pPr>
              <w:spacing w:line="240" w:lineRule="auto"/>
            </w:pPr>
          </w:p>
          <w:p w14:paraId="1BC410E5">
            <w:pPr>
              <w:spacing w:before="68" w:line="240" w:lineRule="auto"/>
              <w:ind w:left="23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宋体" w:hAnsi="宋体" w:eastAsia="宋体" w:cs="宋体"/>
                <w:spacing w:val="-2"/>
              </w:rPr>
              <w:t>新闻发布会</w:t>
            </w:r>
          </w:p>
          <w:p w14:paraId="6E724FE7">
            <w:pPr>
              <w:spacing w:line="240" w:lineRule="auto"/>
            </w:pPr>
          </w:p>
          <w:p w14:paraId="17BD432F">
            <w:pPr>
              <w:spacing w:before="68" w:line="240" w:lineRule="auto"/>
              <w:ind w:left="23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■</w:t>
            </w:r>
            <w:r>
              <w:rPr>
                <w:rFonts w:ascii="宋体" w:hAnsi="宋体" w:eastAsia="宋体" w:cs="宋体"/>
                <w:spacing w:val="-2"/>
              </w:rPr>
              <w:t>投资者交流</w:t>
            </w:r>
          </w:p>
          <w:p w14:paraId="19FCF95E">
            <w:pPr>
              <w:spacing w:line="240" w:lineRule="auto"/>
            </w:pPr>
          </w:p>
          <w:p w14:paraId="679ED1D7">
            <w:pPr>
              <w:spacing w:before="68" w:line="360" w:lineRule="auto"/>
              <w:ind w:left="23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宋体" w:hAnsi="宋体" w:eastAsia="宋体" w:cs="宋体"/>
                <w:spacing w:val="-1"/>
              </w:rPr>
              <w:t>其他</w:t>
            </w:r>
          </w:p>
        </w:tc>
        <w:tc>
          <w:tcPr>
            <w:tcW w:w="3256" w:type="dxa"/>
            <w:tcBorders>
              <w:left w:val="nil"/>
            </w:tcBorders>
          </w:tcPr>
          <w:p w14:paraId="490EC49F">
            <w:pPr>
              <w:spacing w:before="194" w:line="240" w:lineRule="auto"/>
              <w:ind w:left="462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宋体" w:hAnsi="宋体" w:eastAsia="宋体" w:cs="宋体"/>
                <w:spacing w:val="-2"/>
              </w:rPr>
              <w:t>分析师会议</w:t>
            </w:r>
          </w:p>
          <w:p w14:paraId="274492AB">
            <w:pPr>
              <w:spacing w:line="240" w:lineRule="auto"/>
            </w:pPr>
          </w:p>
          <w:p w14:paraId="0CDEC0CA">
            <w:pPr>
              <w:spacing w:before="68" w:line="240" w:lineRule="auto"/>
              <w:ind w:left="462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宋体" w:hAnsi="宋体" w:eastAsia="宋体" w:cs="宋体"/>
                <w:spacing w:val="-2"/>
              </w:rPr>
              <w:t>业绩说明会</w:t>
            </w:r>
          </w:p>
          <w:p w14:paraId="31E7C174">
            <w:pPr>
              <w:spacing w:line="240" w:lineRule="auto"/>
            </w:pPr>
          </w:p>
          <w:p w14:paraId="43E393D9">
            <w:pPr>
              <w:spacing w:before="68" w:line="240" w:lineRule="auto"/>
              <w:ind w:left="462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rFonts w:ascii="宋体" w:hAnsi="宋体" w:eastAsia="宋体" w:cs="宋体"/>
                <w:spacing w:val="-3"/>
              </w:rPr>
              <w:t>路</w:t>
            </w:r>
            <w:r>
              <w:rPr>
                <w:rFonts w:ascii="宋体" w:hAnsi="宋体" w:eastAsia="宋体" w:cs="宋体"/>
                <w:spacing w:val="-2"/>
              </w:rPr>
              <w:t>演活动</w:t>
            </w:r>
          </w:p>
          <w:p w14:paraId="08756C13">
            <w:pPr>
              <w:spacing w:line="240" w:lineRule="auto"/>
            </w:pPr>
          </w:p>
          <w:p w14:paraId="109D1919">
            <w:pPr>
              <w:spacing w:before="68" w:line="240" w:lineRule="auto"/>
              <w:ind w:left="462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宋体" w:hAnsi="宋体" w:eastAsia="宋体" w:cs="宋体"/>
                <w:spacing w:val="-3"/>
              </w:rPr>
              <w:t>电</w:t>
            </w:r>
            <w:r>
              <w:rPr>
                <w:rFonts w:ascii="宋体" w:hAnsi="宋体" w:eastAsia="宋体" w:cs="宋体"/>
                <w:spacing w:val="-2"/>
              </w:rPr>
              <w:t>话沟通</w:t>
            </w:r>
          </w:p>
        </w:tc>
      </w:tr>
      <w:tr w14:paraId="3548D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7" w:hRule="atLeast"/>
        </w:trPr>
        <w:tc>
          <w:tcPr>
            <w:tcW w:w="3283" w:type="dxa"/>
            <w:vAlign w:val="center"/>
          </w:tcPr>
          <w:p w14:paraId="727A0939">
            <w:pPr>
              <w:spacing w:line="360" w:lineRule="auto"/>
              <w:jc w:val="center"/>
              <w:rPr>
                <w:rFonts w:ascii="黑体" w:hAnsi="黑体" w:eastAsia="黑体" w:cs="黑体"/>
                <w:spacing w:val="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黑体" w:hAnsi="黑体" w:eastAsia="黑体" w:cs="黑体"/>
                <w:spacing w:val="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参与单位名称</w:t>
            </w:r>
          </w:p>
        </w:tc>
        <w:tc>
          <w:tcPr>
            <w:tcW w:w="5790" w:type="dxa"/>
            <w:gridSpan w:val="2"/>
            <w:vAlign w:val="top"/>
          </w:tcPr>
          <w:p w14:paraId="730074C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60" w:lineRule="auto"/>
              <w:ind w:left="23"/>
              <w:textAlignment w:val="baseline"/>
              <w:rPr>
                <w:rFonts w:hint="default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spacing w:val="-2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spacing w:val="-2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20</w:t>
            </w:r>
            <w:r>
              <w:rPr>
                <w:rFonts w:hint="default" w:ascii="宋体" w:hAnsi="宋体" w:eastAsia="宋体" w:cs="宋体"/>
                <w:spacing w:val="-2"/>
                <w:lang w:val="en-US" w:eastAsia="zh-CN"/>
              </w:rPr>
              <w:t>日</w:t>
            </w:r>
          </w:p>
          <w:p w14:paraId="600EE18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60" w:lineRule="auto"/>
              <w:ind w:left="23"/>
              <w:textAlignment w:val="baseline"/>
              <w:rPr>
                <w:rFonts w:hint="default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"/>
                <w:lang w:val="en-US" w:eastAsia="zh-CN"/>
              </w:rPr>
              <w:t>东方</w:t>
            </w: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证券，</w:t>
            </w:r>
            <w:r>
              <w:rPr>
                <w:rFonts w:hint="default" w:ascii="宋体" w:hAnsi="宋体" w:eastAsia="宋体" w:cs="宋体"/>
                <w:spacing w:val="-2"/>
                <w:lang w:val="en-US" w:eastAsia="zh-CN"/>
              </w:rPr>
              <w:t>兴全基金</w:t>
            </w: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spacing w:val="-2"/>
                <w:lang w:val="en-US" w:eastAsia="zh-CN"/>
              </w:rPr>
              <w:t>南土资产</w:t>
            </w: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spacing w:val="-2"/>
                <w:lang w:val="en-US" w:eastAsia="zh-CN"/>
              </w:rPr>
              <w:t>财通基金</w:t>
            </w: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spacing w:val="-2"/>
                <w:lang w:val="en-US" w:eastAsia="zh-CN"/>
              </w:rPr>
              <w:t>申万菱信</w:t>
            </w: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spacing w:val="-2"/>
                <w:lang w:val="en-US" w:eastAsia="zh-CN"/>
              </w:rPr>
              <w:t>国投瑞银</w:t>
            </w: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spacing w:val="-2"/>
                <w:lang w:val="en-US" w:eastAsia="zh-CN"/>
              </w:rPr>
              <w:t>国寿养老</w:t>
            </w: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spacing w:val="-2"/>
                <w:lang w:val="en-US" w:eastAsia="zh-CN"/>
              </w:rPr>
              <w:t>兴业证券</w:t>
            </w:r>
          </w:p>
        </w:tc>
      </w:tr>
      <w:tr w14:paraId="2BB33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3283" w:type="dxa"/>
            <w:vAlign w:val="center"/>
          </w:tcPr>
          <w:p w14:paraId="63898B28">
            <w:pPr>
              <w:spacing w:before="183" w:line="24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时间</w:t>
            </w:r>
          </w:p>
        </w:tc>
        <w:tc>
          <w:tcPr>
            <w:tcW w:w="5790" w:type="dxa"/>
            <w:gridSpan w:val="2"/>
            <w:vAlign w:val="center"/>
          </w:tcPr>
          <w:p w14:paraId="654C4B93">
            <w:pPr>
              <w:spacing w:before="197" w:line="240" w:lineRule="auto"/>
              <w:jc w:val="center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-1"/>
              </w:rPr>
              <w:t>02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-1"/>
              </w:rPr>
              <w:t>年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</w:rPr>
              <w:t>月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pacing w:val="-1"/>
              </w:rPr>
              <w:t xml:space="preserve">日 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09:30-12：00</w:t>
            </w:r>
          </w:p>
        </w:tc>
      </w:tr>
      <w:tr w14:paraId="34B40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3283" w:type="dxa"/>
          </w:tcPr>
          <w:p w14:paraId="4F513990">
            <w:pPr>
              <w:spacing w:before="180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地点</w:t>
            </w:r>
          </w:p>
        </w:tc>
        <w:tc>
          <w:tcPr>
            <w:tcW w:w="5790" w:type="dxa"/>
            <w:gridSpan w:val="2"/>
          </w:tcPr>
          <w:p w14:paraId="36107E82">
            <w:pPr>
              <w:spacing w:before="197" w:line="360" w:lineRule="auto"/>
              <w:jc w:val="center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武汉</w:t>
            </w:r>
          </w:p>
        </w:tc>
      </w:tr>
      <w:tr w14:paraId="283F9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3283" w:type="dxa"/>
          </w:tcPr>
          <w:p w14:paraId="27296E4E">
            <w:pPr>
              <w:spacing w:before="192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上市公司接</w:t>
            </w:r>
            <w:r>
              <w:rPr>
                <w:rFonts w:ascii="黑体" w:hAnsi="黑体" w:eastAsia="黑体" w:cs="黑体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待人员姓名</w:t>
            </w:r>
          </w:p>
        </w:tc>
        <w:tc>
          <w:tcPr>
            <w:tcW w:w="5790" w:type="dxa"/>
            <w:gridSpan w:val="2"/>
          </w:tcPr>
          <w:p w14:paraId="1599EC4B">
            <w:pPr>
              <w:spacing w:before="197" w:line="240" w:lineRule="auto"/>
              <w:jc w:val="center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市场总监：谌浩然</w:t>
            </w:r>
          </w:p>
        </w:tc>
      </w:tr>
      <w:tr w14:paraId="42191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283" w:type="dxa"/>
            <w:vAlign w:val="center"/>
          </w:tcPr>
          <w:p w14:paraId="359F5EE2">
            <w:pPr>
              <w:spacing w:before="78" w:line="480" w:lineRule="auto"/>
              <w:ind w:right="64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投资者关系活动</w:t>
            </w:r>
          </w:p>
          <w:p w14:paraId="59757864">
            <w:pPr>
              <w:spacing w:before="78" w:line="480" w:lineRule="auto"/>
              <w:ind w:right="64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主要内容介绍</w:t>
            </w:r>
          </w:p>
        </w:tc>
        <w:tc>
          <w:tcPr>
            <w:tcW w:w="5790" w:type="dxa"/>
            <w:gridSpan w:val="2"/>
            <w:vAlign w:val="top"/>
          </w:tcPr>
          <w:p w14:paraId="3B1B64AF">
            <w:pPr>
              <w:spacing w:line="360" w:lineRule="auto"/>
              <w:ind w:firstLine="418" w:firstLineChars="200"/>
              <w:rPr>
                <w:rFonts w:hint="default" w:ascii="宋体" w:hAnsi="宋体" w:eastAsia="宋体" w:cs="宋体"/>
                <w:b/>
                <w:bCs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pacing w:val="-1"/>
                <w:lang w:val="en-US" w:eastAsia="zh-CN"/>
              </w:rPr>
              <w:t>一、介绍公司基本情况</w:t>
            </w:r>
          </w:p>
          <w:p w14:paraId="512ED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16" w:firstLineChars="200"/>
              <w:textAlignment w:val="baseline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1、实地带领投资者参观公司产品展厅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工作场景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、生产基地</w:t>
            </w: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等；</w:t>
            </w:r>
          </w:p>
          <w:p w14:paraId="39861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16" w:firstLineChars="200"/>
              <w:textAlignment w:val="baseline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2、简要介绍公司历史沿革、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市场规模、</w:t>
            </w: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主营业务、主要产品、生产情况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发展战略规划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及未来展望</w:t>
            </w: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情况</w:t>
            </w: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。</w:t>
            </w:r>
          </w:p>
          <w:p w14:paraId="47A87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18" w:firstLineChars="200"/>
              <w:textAlignment w:val="baseline"/>
              <w:rPr>
                <w:rFonts w:hint="default" w:ascii="宋体" w:hAnsi="宋体" w:eastAsia="宋体" w:cs="宋体"/>
                <w:b/>
                <w:bCs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pacing w:val="-1"/>
                <w:lang w:val="en-US" w:eastAsia="zh-CN"/>
              </w:rPr>
              <w:t>二、投资者交流环节</w:t>
            </w:r>
          </w:p>
          <w:p w14:paraId="17C4BF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18" w:firstLineChars="20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spacing w:val="-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lang w:val="en-US" w:eastAsia="zh-CN"/>
              </w:rPr>
              <w:t>1、一季度收入增长，利润为什么没有增长？</w:t>
            </w:r>
          </w:p>
          <w:p w14:paraId="39284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16" w:firstLineChars="200"/>
              <w:textAlignment w:val="baseline"/>
              <w:rPr>
                <w:rFonts w:hint="default" w:ascii="宋体" w:hAnsi="宋体" w:eastAsia="宋体" w:cs="宋体"/>
                <w:b w:val="0"/>
                <w:bCs w:val="0"/>
                <w:spacing w:val="-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lang w:val="en-US" w:eastAsia="zh-CN"/>
              </w:rPr>
              <w:t>答：2026年一季度营业收入8,479.91万元，同比增长29.54%，归母净利润589.87万元，同比下降28.72%，出现增收不增利的原因有多种，主要因为长盈通2025年第四季度开始合并生一升收入，2026年一季度收入增长有生一升的业绩贡献，不过同期长盈通其他部分业务收缩，毛利率较低的产品在收入组合中的权重上升，毛利率压缩，蚕食了部分收入增量。另外研发费用由721.78万元增长至1,239.20万元，同比增长71.69%，研发投入加大也对公司利润有所影响。</w:t>
            </w:r>
          </w:p>
          <w:p w14:paraId="5FBCD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18" w:firstLineChars="200"/>
              <w:textAlignment w:val="baseline"/>
              <w:rPr>
                <w:rFonts w:hint="default" w:ascii="宋体" w:hAnsi="宋体" w:eastAsia="宋体" w:cs="宋体"/>
                <w:b/>
                <w:bCs/>
                <w:spacing w:val="-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1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lang w:val="en-US" w:eastAsia="zh-CN"/>
              </w:rPr>
              <w:t>生一升公司最新状况？</w:t>
            </w:r>
          </w:p>
          <w:p w14:paraId="148CE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16" w:firstLineChars="200"/>
              <w:textAlignment w:val="baseline"/>
              <w:rPr>
                <w:rFonts w:hint="default" w:ascii="宋体" w:hAnsi="宋体" w:eastAsia="宋体" w:cs="宋体"/>
                <w:b w:val="0"/>
                <w:bCs w:val="0"/>
                <w:spacing w:val="-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lang w:val="en-US" w:eastAsia="zh-CN"/>
              </w:rPr>
              <w:t>答：生一升当前客户结构整体稳定，未发生重大变动。受益于下游需求旺盛，生一升本身订单饱满。不过生一升业绩规模不大，受到市场需求、政策环境以及自身经营状况等多种因素的影响，存在业绩波动风险。</w:t>
            </w:r>
          </w:p>
          <w:p w14:paraId="7A90C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18" w:firstLineChars="200"/>
              <w:textAlignment w:val="baseline"/>
              <w:rPr>
                <w:rFonts w:hint="default" w:ascii="宋体" w:hAnsi="宋体" w:eastAsia="宋体" w:cs="宋体"/>
                <w:b/>
                <w:bCs/>
                <w:spacing w:val="-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lang w:val="en-US" w:eastAsia="zh-CN"/>
              </w:rPr>
              <w:t>3、光纤陀螺光子芯片最新进展？</w:t>
            </w:r>
          </w:p>
          <w:p w14:paraId="048F6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16" w:firstLineChars="200"/>
              <w:textAlignment w:val="baseline"/>
              <w:rPr>
                <w:rFonts w:hint="default" w:ascii="宋体" w:hAnsi="宋体" w:eastAsia="宋体" w:cs="宋体"/>
                <w:b w:val="0"/>
                <w:bCs w:val="0"/>
                <w:spacing w:val="-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lang w:val="en-US" w:eastAsia="zh-CN"/>
              </w:rPr>
              <w:t>答：公司第三代光纤陀螺光子芯片项目2025年底已经流片完成，正在做样机指标测试，进展正常。</w:t>
            </w:r>
          </w:p>
          <w:p w14:paraId="0C3BEA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18" w:firstLineChars="200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lang w:val="en-US" w:eastAsia="zh-CN"/>
              </w:rPr>
              <w:t>4、公司产品器件用保偏光纤业务规模怎么样？</w:t>
            </w:r>
          </w:p>
          <w:p w14:paraId="369FDB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16" w:firstLineChars="200"/>
              <w:textAlignment w:val="baseline"/>
              <w:rPr>
                <w:rFonts w:hint="default" w:ascii="宋体" w:hAnsi="宋体" w:eastAsia="宋体" w:cs="宋体"/>
                <w:b w:val="0"/>
                <w:bCs w:val="0"/>
                <w:spacing w:val="-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lang w:val="en-US" w:eastAsia="zh-CN"/>
              </w:rPr>
              <w:t>答：2025年公司通信器件用保偏光纤给客户送样验证，通过了几个客户的验证。现阶段营收占比不足1%，器件保偏光纤在手订单较少，业务体量相对有限。</w:t>
            </w:r>
            <w:bookmarkStart w:id="0" w:name="_GoBack"/>
            <w:bookmarkEnd w:id="0"/>
          </w:p>
        </w:tc>
      </w:tr>
      <w:tr w14:paraId="580EC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3283" w:type="dxa"/>
            <w:vAlign w:val="center"/>
          </w:tcPr>
          <w:p w14:paraId="745B3D15">
            <w:pPr>
              <w:spacing w:line="346" w:lineRule="auto"/>
              <w:jc w:val="center"/>
              <w:rPr>
                <w:rFonts w:hint="eastAsia" w:ascii="黑体" w:hAnsi="黑体" w:eastAsia="黑体" w:cs="黑体"/>
                <w:spacing w:val="11"/>
                <w:sz w:val="24"/>
                <w:szCs w:val="24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黑体" w:hAnsi="黑体" w:eastAsia="黑体" w:cs="黑体"/>
                <w:spacing w:val="11"/>
                <w:sz w:val="24"/>
                <w:szCs w:val="24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风险提示</w:t>
            </w:r>
          </w:p>
        </w:tc>
        <w:tc>
          <w:tcPr>
            <w:tcW w:w="5790" w:type="dxa"/>
            <w:gridSpan w:val="2"/>
            <w:vAlign w:val="center"/>
          </w:tcPr>
          <w:p w14:paraId="79A595E9">
            <w:pPr>
              <w:spacing w:before="131" w:line="360" w:lineRule="auto"/>
              <w:jc w:val="left"/>
              <w:rPr>
                <w:rFonts w:ascii="宋体" w:hAnsi="宋体" w:eastAsia="宋体" w:cs="仿宋"/>
              </w:rPr>
            </w:pPr>
            <w:r>
              <w:rPr>
                <w:rFonts w:hint="eastAsia"/>
              </w:rPr>
              <w:t>以上如涉及对行业的预测、公司发展战略规划等相关内容，不能视作公司或公司管理层对行业、公司发展或业绩的承诺和保证，敬请广大投资者注意投资风险。</w:t>
            </w:r>
          </w:p>
        </w:tc>
      </w:tr>
      <w:tr w14:paraId="35927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3283" w:type="dxa"/>
            <w:vAlign w:val="center"/>
          </w:tcPr>
          <w:p w14:paraId="598AC303">
            <w:pPr>
              <w:spacing w:line="346" w:lineRule="auto"/>
              <w:jc w:val="center"/>
              <w:rPr>
                <w:rFonts w:hint="eastAsia" w:ascii="黑体" w:hAnsi="黑体" w:eastAsia="黑体" w:cs="黑体"/>
                <w:spacing w:val="11"/>
                <w:sz w:val="24"/>
                <w:szCs w:val="24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黑体" w:hAnsi="黑体" w:eastAsia="黑体" w:cs="黑体"/>
                <w:spacing w:val="11"/>
                <w:sz w:val="24"/>
                <w:szCs w:val="24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关于本次活动是否涉及应当披露重大信息的说明</w:t>
            </w:r>
          </w:p>
        </w:tc>
        <w:tc>
          <w:tcPr>
            <w:tcW w:w="5790" w:type="dxa"/>
            <w:gridSpan w:val="2"/>
            <w:vAlign w:val="center"/>
          </w:tcPr>
          <w:p w14:paraId="5DDCAA82">
            <w:pPr>
              <w:spacing w:before="131"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本次活动不涉及未公开披露的重大信息。</w:t>
            </w:r>
          </w:p>
        </w:tc>
      </w:tr>
      <w:tr w14:paraId="080B9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3283" w:type="dxa"/>
            <w:vAlign w:val="center"/>
          </w:tcPr>
          <w:p w14:paraId="41523E92">
            <w:pPr>
              <w:spacing w:line="346" w:lineRule="auto"/>
              <w:jc w:val="center"/>
            </w:pPr>
            <w:r>
              <w:rPr>
                <w:rFonts w:ascii="黑体" w:hAnsi="黑体" w:eastAsia="黑体" w:cs="黑体"/>
                <w:spacing w:val="1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附件清单</w:t>
            </w:r>
            <w:r>
              <w:rPr>
                <w:rFonts w:hint="eastAsia" w:ascii="黑体" w:hAnsi="黑体" w:eastAsia="黑体" w:cs="黑体"/>
                <w:spacing w:val="11"/>
                <w:sz w:val="24"/>
                <w:szCs w:val="24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黑体" w:hAnsi="黑体" w:eastAsia="黑体" w:cs="黑体"/>
                <w:spacing w:val="1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如有</w:t>
            </w:r>
            <w:r>
              <w:rPr>
                <w:rFonts w:hint="eastAsia" w:ascii="黑体" w:hAnsi="黑体" w:eastAsia="黑体" w:cs="黑体"/>
                <w:spacing w:val="11"/>
                <w:sz w:val="24"/>
                <w:szCs w:val="24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5790" w:type="dxa"/>
            <w:gridSpan w:val="2"/>
            <w:vAlign w:val="center"/>
          </w:tcPr>
          <w:p w14:paraId="504202EE">
            <w:pPr>
              <w:spacing w:before="131"/>
              <w:jc w:val="center"/>
              <w:rPr>
                <w:rFonts w:ascii="宋体" w:hAnsi="宋体" w:eastAsia="宋体" w:cs="宋体"/>
                <w:spacing w:val="-1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仿宋"/>
              </w:rPr>
              <w:t>无</w:t>
            </w:r>
          </w:p>
        </w:tc>
      </w:tr>
    </w:tbl>
    <w:p w14:paraId="4C23E658">
      <w:pP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</w:pPr>
    </w:p>
    <w:sectPr>
      <w:pgSz w:w="11907" w:h="16839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粗圆简">
    <w:panose1 w:val="02010600000101010101"/>
    <w:charset w:val="86"/>
    <w:family w:val="roman"/>
    <w:pitch w:val="default"/>
    <w:sig w:usb0="00000001" w:usb1="080E0800" w:usb2="00000002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000000"/>
    <w:rsid w:val="00A37C1C"/>
    <w:rsid w:val="01545A05"/>
    <w:rsid w:val="01AE3588"/>
    <w:rsid w:val="01D32DCE"/>
    <w:rsid w:val="01D628BE"/>
    <w:rsid w:val="021D0874"/>
    <w:rsid w:val="021F6013"/>
    <w:rsid w:val="022A2F1B"/>
    <w:rsid w:val="02301FCF"/>
    <w:rsid w:val="02331ABF"/>
    <w:rsid w:val="029C58B6"/>
    <w:rsid w:val="02A91D81"/>
    <w:rsid w:val="03773C2D"/>
    <w:rsid w:val="03962305"/>
    <w:rsid w:val="03CF6F0E"/>
    <w:rsid w:val="03E31959"/>
    <w:rsid w:val="04210E57"/>
    <w:rsid w:val="04313670"/>
    <w:rsid w:val="04447FB3"/>
    <w:rsid w:val="05015EA4"/>
    <w:rsid w:val="05465FAD"/>
    <w:rsid w:val="06851B15"/>
    <w:rsid w:val="06930D7E"/>
    <w:rsid w:val="06C8301E"/>
    <w:rsid w:val="06F82B7E"/>
    <w:rsid w:val="075E75DE"/>
    <w:rsid w:val="075F5A26"/>
    <w:rsid w:val="07970828"/>
    <w:rsid w:val="07AB2F49"/>
    <w:rsid w:val="07BA47F6"/>
    <w:rsid w:val="07CB4548"/>
    <w:rsid w:val="07DB29DD"/>
    <w:rsid w:val="07F65A68"/>
    <w:rsid w:val="083E2F6B"/>
    <w:rsid w:val="0863333E"/>
    <w:rsid w:val="087F1701"/>
    <w:rsid w:val="0939608D"/>
    <w:rsid w:val="09CC2259"/>
    <w:rsid w:val="09D70151"/>
    <w:rsid w:val="09DD70BF"/>
    <w:rsid w:val="09FD62EE"/>
    <w:rsid w:val="0A1B3564"/>
    <w:rsid w:val="0A3463D4"/>
    <w:rsid w:val="0A905466"/>
    <w:rsid w:val="0AE40529"/>
    <w:rsid w:val="0AF17E80"/>
    <w:rsid w:val="0AFD710E"/>
    <w:rsid w:val="0B1E2DB5"/>
    <w:rsid w:val="0B3C7C36"/>
    <w:rsid w:val="0BF64289"/>
    <w:rsid w:val="0C4024A9"/>
    <w:rsid w:val="0C692CAD"/>
    <w:rsid w:val="0C8F023A"/>
    <w:rsid w:val="0CB3463E"/>
    <w:rsid w:val="0CBB102F"/>
    <w:rsid w:val="0DC15AA0"/>
    <w:rsid w:val="0DCA2888"/>
    <w:rsid w:val="0E156250"/>
    <w:rsid w:val="0E2A1FC8"/>
    <w:rsid w:val="0F0373B1"/>
    <w:rsid w:val="0FEE5277"/>
    <w:rsid w:val="109B71AD"/>
    <w:rsid w:val="10A058FA"/>
    <w:rsid w:val="10A73DA4"/>
    <w:rsid w:val="10CD5130"/>
    <w:rsid w:val="115A5307"/>
    <w:rsid w:val="118B7221"/>
    <w:rsid w:val="11D72467"/>
    <w:rsid w:val="11DC7A7D"/>
    <w:rsid w:val="1205799E"/>
    <w:rsid w:val="127E6D86"/>
    <w:rsid w:val="12C754BC"/>
    <w:rsid w:val="138F10FE"/>
    <w:rsid w:val="13F76DF0"/>
    <w:rsid w:val="13FF287E"/>
    <w:rsid w:val="14D914EE"/>
    <w:rsid w:val="14FB74F2"/>
    <w:rsid w:val="153C6A85"/>
    <w:rsid w:val="156D5C3E"/>
    <w:rsid w:val="16196B4E"/>
    <w:rsid w:val="161E0A1B"/>
    <w:rsid w:val="16404CC3"/>
    <w:rsid w:val="164A731D"/>
    <w:rsid w:val="164F4491"/>
    <w:rsid w:val="17842B8C"/>
    <w:rsid w:val="179E3A27"/>
    <w:rsid w:val="18003113"/>
    <w:rsid w:val="18562547"/>
    <w:rsid w:val="18AE6507"/>
    <w:rsid w:val="18B22F8F"/>
    <w:rsid w:val="18E24DE3"/>
    <w:rsid w:val="19C37774"/>
    <w:rsid w:val="1A475CB0"/>
    <w:rsid w:val="1A8D54AB"/>
    <w:rsid w:val="1A907FA2"/>
    <w:rsid w:val="1AA72145"/>
    <w:rsid w:val="1B1A668B"/>
    <w:rsid w:val="1BD47A17"/>
    <w:rsid w:val="1BDC68CC"/>
    <w:rsid w:val="1BF754B3"/>
    <w:rsid w:val="1C311C4C"/>
    <w:rsid w:val="1C37598E"/>
    <w:rsid w:val="1CE25505"/>
    <w:rsid w:val="1D2302DB"/>
    <w:rsid w:val="1D7019C1"/>
    <w:rsid w:val="1F5A2B07"/>
    <w:rsid w:val="1F6E1F30"/>
    <w:rsid w:val="1F852B38"/>
    <w:rsid w:val="1F953961"/>
    <w:rsid w:val="1FC87893"/>
    <w:rsid w:val="201E4236"/>
    <w:rsid w:val="21060CAB"/>
    <w:rsid w:val="21815F4B"/>
    <w:rsid w:val="21AD0AEE"/>
    <w:rsid w:val="228C7DBD"/>
    <w:rsid w:val="229E0D7F"/>
    <w:rsid w:val="22A53EBB"/>
    <w:rsid w:val="2303032F"/>
    <w:rsid w:val="239F090A"/>
    <w:rsid w:val="23E70F73"/>
    <w:rsid w:val="248875F1"/>
    <w:rsid w:val="25080A70"/>
    <w:rsid w:val="25253091"/>
    <w:rsid w:val="25B44BE3"/>
    <w:rsid w:val="26753BA5"/>
    <w:rsid w:val="26811471"/>
    <w:rsid w:val="274D290A"/>
    <w:rsid w:val="275B723E"/>
    <w:rsid w:val="27AB4EA2"/>
    <w:rsid w:val="28025A1A"/>
    <w:rsid w:val="280A3C36"/>
    <w:rsid w:val="28221B0A"/>
    <w:rsid w:val="28292E99"/>
    <w:rsid w:val="28577A06"/>
    <w:rsid w:val="28626BCE"/>
    <w:rsid w:val="28940C5A"/>
    <w:rsid w:val="28A349F9"/>
    <w:rsid w:val="291C1880"/>
    <w:rsid w:val="29470146"/>
    <w:rsid w:val="294966D6"/>
    <w:rsid w:val="29EC23D0"/>
    <w:rsid w:val="2A06146B"/>
    <w:rsid w:val="2A1D6A2D"/>
    <w:rsid w:val="2A574B8D"/>
    <w:rsid w:val="2A5F77C5"/>
    <w:rsid w:val="2AB23619"/>
    <w:rsid w:val="2AE01F34"/>
    <w:rsid w:val="2AE76B06"/>
    <w:rsid w:val="2BC76C50"/>
    <w:rsid w:val="2C0028BD"/>
    <w:rsid w:val="2C471B3F"/>
    <w:rsid w:val="2C7D0806"/>
    <w:rsid w:val="2C866B0B"/>
    <w:rsid w:val="2CE23E3F"/>
    <w:rsid w:val="2CF33E7C"/>
    <w:rsid w:val="2D256324"/>
    <w:rsid w:val="2D6F55FD"/>
    <w:rsid w:val="2D762DA4"/>
    <w:rsid w:val="2D964B2C"/>
    <w:rsid w:val="2EB931C8"/>
    <w:rsid w:val="2EC830D0"/>
    <w:rsid w:val="2F9652B7"/>
    <w:rsid w:val="2FE74253"/>
    <w:rsid w:val="30327943"/>
    <w:rsid w:val="303845C1"/>
    <w:rsid w:val="307C3A1B"/>
    <w:rsid w:val="308570DA"/>
    <w:rsid w:val="309A0DD7"/>
    <w:rsid w:val="30E107B4"/>
    <w:rsid w:val="314978EC"/>
    <w:rsid w:val="31C60848"/>
    <w:rsid w:val="31DD48DC"/>
    <w:rsid w:val="32300DF4"/>
    <w:rsid w:val="327B210D"/>
    <w:rsid w:val="32BA750F"/>
    <w:rsid w:val="32F444B2"/>
    <w:rsid w:val="33704071"/>
    <w:rsid w:val="339C09C3"/>
    <w:rsid w:val="33E04D53"/>
    <w:rsid w:val="340F5638"/>
    <w:rsid w:val="343C3F54"/>
    <w:rsid w:val="34727D99"/>
    <w:rsid w:val="34C24459"/>
    <w:rsid w:val="34E675D0"/>
    <w:rsid w:val="34FC3E0F"/>
    <w:rsid w:val="35233D58"/>
    <w:rsid w:val="3529097C"/>
    <w:rsid w:val="35DC59EE"/>
    <w:rsid w:val="35E05D71"/>
    <w:rsid w:val="36CC5A63"/>
    <w:rsid w:val="373F4487"/>
    <w:rsid w:val="375D1E78"/>
    <w:rsid w:val="37860CFA"/>
    <w:rsid w:val="37991DE9"/>
    <w:rsid w:val="383047CA"/>
    <w:rsid w:val="388A0452"/>
    <w:rsid w:val="392D37C9"/>
    <w:rsid w:val="394E6C03"/>
    <w:rsid w:val="39E25A5D"/>
    <w:rsid w:val="3A06303A"/>
    <w:rsid w:val="3A244B12"/>
    <w:rsid w:val="3A557B1D"/>
    <w:rsid w:val="3A6357CC"/>
    <w:rsid w:val="3A654204"/>
    <w:rsid w:val="3BED7890"/>
    <w:rsid w:val="3D9170BE"/>
    <w:rsid w:val="3D9B1520"/>
    <w:rsid w:val="3D9E46E1"/>
    <w:rsid w:val="3DC41A53"/>
    <w:rsid w:val="3DD5344F"/>
    <w:rsid w:val="3EED5823"/>
    <w:rsid w:val="3F513170"/>
    <w:rsid w:val="3F667892"/>
    <w:rsid w:val="3F6A7BC7"/>
    <w:rsid w:val="3F870779"/>
    <w:rsid w:val="3F8C2250"/>
    <w:rsid w:val="3FA15A86"/>
    <w:rsid w:val="401202C3"/>
    <w:rsid w:val="401C3B3D"/>
    <w:rsid w:val="40793ED7"/>
    <w:rsid w:val="40A21074"/>
    <w:rsid w:val="413E57AF"/>
    <w:rsid w:val="41406E31"/>
    <w:rsid w:val="41AC096A"/>
    <w:rsid w:val="41D91034"/>
    <w:rsid w:val="41E33C60"/>
    <w:rsid w:val="42097B6B"/>
    <w:rsid w:val="42E42CCB"/>
    <w:rsid w:val="43193DDE"/>
    <w:rsid w:val="437337B0"/>
    <w:rsid w:val="443D58AA"/>
    <w:rsid w:val="44CB55AC"/>
    <w:rsid w:val="44E126D9"/>
    <w:rsid w:val="45AC5A5D"/>
    <w:rsid w:val="466510E8"/>
    <w:rsid w:val="46761854"/>
    <w:rsid w:val="467B090B"/>
    <w:rsid w:val="46891BC8"/>
    <w:rsid w:val="46DE3850"/>
    <w:rsid w:val="47BE31A6"/>
    <w:rsid w:val="4800731A"/>
    <w:rsid w:val="48BA396D"/>
    <w:rsid w:val="49080B7C"/>
    <w:rsid w:val="49302F0F"/>
    <w:rsid w:val="493C25D4"/>
    <w:rsid w:val="49605AEE"/>
    <w:rsid w:val="49647D7D"/>
    <w:rsid w:val="49AD3239"/>
    <w:rsid w:val="49B740C9"/>
    <w:rsid w:val="4A1C0D50"/>
    <w:rsid w:val="4A2A4B22"/>
    <w:rsid w:val="4A3B0ADD"/>
    <w:rsid w:val="4A442B1E"/>
    <w:rsid w:val="4AD66A58"/>
    <w:rsid w:val="4B040685"/>
    <w:rsid w:val="4B1530DD"/>
    <w:rsid w:val="4B1B26BD"/>
    <w:rsid w:val="4B481704"/>
    <w:rsid w:val="4B6C4CC7"/>
    <w:rsid w:val="4C675BBA"/>
    <w:rsid w:val="4CA706AC"/>
    <w:rsid w:val="4D2F41FE"/>
    <w:rsid w:val="4D4F0235"/>
    <w:rsid w:val="4DB57566"/>
    <w:rsid w:val="4DFA480C"/>
    <w:rsid w:val="4E395334"/>
    <w:rsid w:val="4E9E788D"/>
    <w:rsid w:val="4EB946C7"/>
    <w:rsid w:val="4ED137BE"/>
    <w:rsid w:val="4F0442B5"/>
    <w:rsid w:val="4F053468"/>
    <w:rsid w:val="4F8A33FE"/>
    <w:rsid w:val="5115270F"/>
    <w:rsid w:val="527728CF"/>
    <w:rsid w:val="53310CD0"/>
    <w:rsid w:val="556F788D"/>
    <w:rsid w:val="557430F6"/>
    <w:rsid w:val="55D3606E"/>
    <w:rsid w:val="57E666CC"/>
    <w:rsid w:val="588875E4"/>
    <w:rsid w:val="58BC103B"/>
    <w:rsid w:val="58CD5C4E"/>
    <w:rsid w:val="58E40592"/>
    <w:rsid w:val="58F9403E"/>
    <w:rsid w:val="59D2488F"/>
    <w:rsid w:val="5A0E3BCE"/>
    <w:rsid w:val="5A5F6122"/>
    <w:rsid w:val="5AF53A87"/>
    <w:rsid w:val="5B3D683F"/>
    <w:rsid w:val="5B4C1654"/>
    <w:rsid w:val="5B607CF8"/>
    <w:rsid w:val="5B8A3673"/>
    <w:rsid w:val="5BEC1C38"/>
    <w:rsid w:val="5BF8682E"/>
    <w:rsid w:val="5C7A6129"/>
    <w:rsid w:val="5CD765E0"/>
    <w:rsid w:val="5D317F73"/>
    <w:rsid w:val="5D610403"/>
    <w:rsid w:val="5E624433"/>
    <w:rsid w:val="5E6A3173"/>
    <w:rsid w:val="5E912F6A"/>
    <w:rsid w:val="5EAC1B52"/>
    <w:rsid w:val="5F0B6879"/>
    <w:rsid w:val="5F3C4E3E"/>
    <w:rsid w:val="5FEE6985"/>
    <w:rsid w:val="601570D8"/>
    <w:rsid w:val="60206354"/>
    <w:rsid w:val="60490CEC"/>
    <w:rsid w:val="60C05441"/>
    <w:rsid w:val="621912AD"/>
    <w:rsid w:val="629F51E1"/>
    <w:rsid w:val="634343CD"/>
    <w:rsid w:val="63546E84"/>
    <w:rsid w:val="63847AD9"/>
    <w:rsid w:val="63860BC4"/>
    <w:rsid w:val="63CA7B95"/>
    <w:rsid w:val="63E27E8B"/>
    <w:rsid w:val="63E678B4"/>
    <w:rsid w:val="63F4600E"/>
    <w:rsid w:val="63FC3E19"/>
    <w:rsid w:val="6412144A"/>
    <w:rsid w:val="642301C1"/>
    <w:rsid w:val="657038D9"/>
    <w:rsid w:val="65A51A6C"/>
    <w:rsid w:val="65E63B9C"/>
    <w:rsid w:val="65F406D1"/>
    <w:rsid w:val="666920D7"/>
    <w:rsid w:val="66952ECC"/>
    <w:rsid w:val="672F2593"/>
    <w:rsid w:val="677F7E04"/>
    <w:rsid w:val="678C42CF"/>
    <w:rsid w:val="67D143D7"/>
    <w:rsid w:val="68224C33"/>
    <w:rsid w:val="68617509"/>
    <w:rsid w:val="68E352A2"/>
    <w:rsid w:val="68EA39A3"/>
    <w:rsid w:val="68F33297"/>
    <w:rsid w:val="69020CEC"/>
    <w:rsid w:val="690C1F68"/>
    <w:rsid w:val="693E01B9"/>
    <w:rsid w:val="69A01157"/>
    <w:rsid w:val="69E76134"/>
    <w:rsid w:val="6A8B4D12"/>
    <w:rsid w:val="6AB57FE0"/>
    <w:rsid w:val="6ABA195F"/>
    <w:rsid w:val="6B670AC3"/>
    <w:rsid w:val="6B7D0AFE"/>
    <w:rsid w:val="6B8E4AB9"/>
    <w:rsid w:val="6BAF4AC6"/>
    <w:rsid w:val="6C0C1250"/>
    <w:rsid w:val="6C69135C"/>
    <w:rsid w:val="6C6E0447"/>
    <w:rsid w:val="6CC22541"/>
    <w:rsid w:val="6D111B2A"/>
    <w:rsid w:val="6D41296A"/>
    <w:rsid w:val="6D711AC2"/>
    <w:rsid w:val="6DC46050"/>
    <w:rsid w:val="6DDD7632"/>
    <w:rsid w:val="6E4111F0"/>
    <w:rsid w:val="6EFE3E93"/>
    <w:rsid w:val="6F60051B"/>
    <w:rsid w:val="6F881820"/>
    <w:rsid w:val="6FC54822"/>
    <w:rsid w:val="6FCB7F43"/>
    <w:rsid w:val="6FFE7D34"/>
    <w:rsid w:val="70127ACB"/>
    <w:rsid w:val="70390D6C"/>
    <w:rsid w:val="709B5583"/>
    <w:rsid w:val="70ED2282"/>
    <w:rsid w:val="70F52E27"/>
    <w:rsid w:val="714D4ACF"/>
    <w:rsid w:val="719A7C6D"/>
    <w:rsid w:val="71AF3FCA"/>
    <w:rsid w:val="71CF1988"/>
    <w:rsid w:val="72263DBE"/>
    <w:rsid w:val="7266237A"/>
    <w:rsid w:val="72C214EC"/>
    <w:rsid w:val="73006781"/>
    <w:rsid w:val="737E3665"/>
    <w:rsid w:val="73F76F74"/>
    <w:rsid w:val="741144D9"/>
    <w:rsid w:val="74836A59"/>
    <w:rsid w:val="75220020"/>
    <w:rsid w:val="756339FF"/>
    <w:rsid w:val="758B02BC"/>
    <w:rsid w:val="75985E0F"/>
    <w:rsid w:val="75D37C3B"/>
    <w:rsid w:val="75FC2F67"/>
    <w:rsid w:val="76007DF5"/>
    <w:rsid w:val="76472434"/>
    <w:rsid w:val="76684865"/>
    <w:rsid w:val="7682521B"/>
    <w:rsid w:val="76CA086F"/>
    <w:rsid w:val="76D10464"/>
    <w:rsid w:val="7738222A"/>
    <w:rsid w:val="777F0BBD"/>
    <w:rsid w:val="77CD6969"/>
    <w:rsid w:val="77D777E8"/>
    <w:rsid w:val="77FA5285"/>
    <w:rsid w:val="78392611"/>
    <w:rsid w:val="78436C2C"/>
    <w:rsid w:val="7879264D"/>
    <w:rsid w:val="78F4247E"/>
    <w:rsid w:val="79772A57"/>
    <w:rsid w:val="797E185A"/>
    <w:rsid w:val="7A741675"/>
    <w:rsid w:val="7B207590"/>
    <w:rsid w:val="7B8025F1"/>
    <w:rsid w:val="7BA10DE3"/>
    <w:rsid w:val="7BB919DF"/>
    <w:rsid w:val="7BF85B9E"/>
    <w:rsid w:val="7C8141C6"/>
    <w:rsid w:val="7D2B161E"/>
    <w:rsid w:val="7D690EE2"/>
    <w:rsid w:val="7D747887"/>
    <w:rsid w:val="7E713C04"/>
    <w:rsid w:val="7E8104AE"/>
    <w:rsid w:val="7FEE39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1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Normal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9">
    <w:name w:val="列出段落1"/>
    <w:basedOn w:val="1"/>
    <w:qFormat/>
    <w:uiPriority w:val="0"/>
    <w:pPr>
      <w:widowControl w:val="0"/>
      <w:kinsoku/>
      <w:autoSpaceDE/>
      <w:autoSpaceDN/>
      <w:adjustRightInd/>
      <w:snapToGrid/>
      <w:ind w:firstLine="420" w:firstLineChars="200"/>
      <w:jc w:val="both"/>
      <w:textAlignment w:val="auto"/>
    </w:pPr>
    <w:rPr>
      <w:rFonts w:ascii="Calibri" w:hAnsi="Calibri" w:eastAsia="宋体" w:cs="Times New Roman"/>
      <w:color w:val="auto"/>
      <w:kern w:val="2"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字符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2">
    <w:name w:val="页脚 字符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843</Words>
  <Characters>928</Characters>
  <Lines>7</Lines>
  <Paragraphs>2</Paragraphs>
  <TotalTime>11</TotalTime>
  <ScaleCrop>false</ScaleCrop>
  <LinksUpToDate>false</LinksUpToDate>
  <CharactersWithSpaces>1003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2024-01-20T01:08:00Z</dcterms:created>
  <dc:creator>Data</dc:creator>
  <cp:lastModifiedBy>67</cp:lastModifiedBy>
  <cp:lastPrinted>2024-05-18T02:53:00Z</cp:lastPrinted>
  <dcterms:modified xsi:type="dcterms:W3CDTF">2026-05-20T07:51:38Z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2023-08-25T10:23:00Z</vt:filetime>
  </property>
  <property fmtid="{D5CDD505-2E9C-101B-9397-08002B2CF9AE}" pid="4" name="UsrData">
    <vt:lpwstr>64e8108ff7cc97001fbc8a0c</vt:lpwstr>
  </property>
  <property fmtid="{D5CDD505-2E9C-101B-9397-08002B2CF9AE}" pid="5" name="KSOProductBuildVer">
    <vt:lpwstr>2052-12.1.0.26375</vt:lpwstr>
  </property>
  <property fmtid="{D5CDD505-2E9C-101B-9397-08002B2CF9AE}" pid="6" name="ICV">
    <vt:lpwstr>2BFBE7A244364F8A881F2DE0A6AADD69_13</vt:lpwstr>
  </property>
  <property fmtid="{D5CDD505-2E9C-101B-9397-08002B2CF9AE}" pid="7" name="KSOTemplateDocerSaveRecord">
    <vt:lpwstr>eyJoZGlkIjoiMWFkYTQyMmJjYjQyNjg2OTJmNWY0MWY1Nzk4NGE3YWEiLCJ1c2VySWQiOiIyNzA4Njc4NzYifQ==</vt:lpwstr>
  </property>
</Properties>
</file>