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A058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证券代码：688334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</w:t>
      </w:r>
      <w:r>
        <w:rPr>
          <w:rFonts w:hint="eastAsia" w:ascii="宋体" w:hAnsi="宋体" w:eastAsia="宋体"/>
          <w:sz w:val="28"/>
          <w:szCs w:val="28"/>
        </w:rPr>
        <w:t>证券简称：西高院</w:t>
      </w:r>
    </w:p>
    <w:p w14:paraId="0496276A"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西安高压电器研究院股份有限公司</w:t>
      </w:r>
    </w:p>
    <w:p w14:paraId="23833E0D">
      <w:pPr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投资者关系活动记录表</w:t>
      </w:r>
    </w:p>
    <w:p w14:paraId="4A6E0161">
      <w:pPr>
        <w:ind w:firstLine="560" w:firstLineChars="200"/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编号：2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</w:rPr>
        <w:t>6</w:t>
      </w:r>
      <w:r>
        <w:rPr>
          <w:rFonts w:ascii="宋体" w:hAnsi="宋体" w:eastAsia="宋体"/>
          <w:sz w:val="28"/>
          <w:szCs w:val="28"/>
        </w:rPr>
        <w:t>-0</w:t>
      </w:r>
      <w:r>
        <w:rPr>
          <w:rFonts w:hint="eastAsia"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bookmarkStart w:id="0" w:name="_GoBack"/>
      <w:bookmarkEnd w:id="0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740"/>
      </w:tblGrid>
      <w:tr w14:paraId="3E90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80" w:type="dxa"/>
            <w:vAlign w:val="center"/>
          </w:tcPr>
          <w:p w14:paraId="5B3A12E0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投资者关系</w:t>
            </w:r>
          </w:p>
          <w:p w14:paraId="15885639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6740" w:type="dxa"/>
            <w:vAlign w:val="center"/>
          </w:tcPr>
          <w:p w14:paraId="08D2F849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□特定对象调研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□分析师会议</w:t>
            </w:r>
          </w:p>
          <w:p w14:paraId="35D5DEC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□媒体采访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√</w:t>
            </w:r>
            <w:r>
              <w:rPr>
                <w:rFonts w:ascii="宋体" w:hAnsi="宋体" w:eastAsia="宋体"/>
                <w:sz w:val="24"/>
                <w:szCs w:val="24"/>
              </w:rPr>
              <w:t>业绩说明会</w:t>
            </w:r>
          </w:p>
          <w:p w14:paraId="6EC47EA5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□新闻发布会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□路演活动</w:t>
            </w:r>
          </w:p>
          <w:p w14:paraId="305A5D0D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□现场参观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□电话会议</w:t>
            </w:r>
          </w:p>
          <w:p w14:paraId="67CD6D8F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□其他</w:t>
            </w:r>
          </w:p>
        </w:tc>
      </w:tr>
      <w:tr w14:paraId="0716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 w14:paraId="03E46AE3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6740" w:type="dxa"/>
            <w:vAlign w:val="center"/>
          </w:tcPr>
          <w:p w14:paraId="5FCD7351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全体通过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全景网“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”（https://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ir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.p5w.net）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参与2026年陕西辖区上市公司投资者集体接待日暨2025年度业绩说明会</w:t>
            </w:r>
            <w:r>
              <w:rPr>
                <w:rFonts w:ascii="宋体" w:hAnsi="宋体" w:eastAsia="宋体"/>
                <w:sz w:val="24"/>
                <w:szCs w:val="24"/>
              </w:rPr>
              <w:t>的投资者</w:t>
            </w:r>
          </w:p>
        </w:tc>
      </w:tr>
      <w:tr w14:paraId="1B1D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 w14:paraId="327E69E2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会议时间</w:t>
            </w:r>
          </w:p>
        </w:tc>
        <w:tc>
          <w:tcPr>
            <w:tcW w:w="6740" w:type="dxa"/>
            <w:vAlign w:val="center"/>
          </w:tcPr>
          <w:p w14:paraId="1DB7CF5F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2026年5月20日 (周三) 下午 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:00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17:00</w:t>
            </w:r>
          </w:p>
        </w:tc>
      </w:tr>
      <w:tr w14:paraId="449D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 w14:paraId="34028ED7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会议地点</w:t>
            </w:r>
          </w:p>
        </w:tc>
        <w:tc>
          <w:tcPr>
            <w:tcW w:w="6740" w:type="dxa"/>
            <w:vAlign w:val="center"/>
          </w:tcPr>
          <w:p w14:paraId="08AF5A60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全景网“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”（https://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ir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.p5w.net）</w:t>
            </w:r>
          </w:p>
        </w:tc>
      </w:tr>
      <w:tr w14:paraId="6F32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0" w:type="dxa"/>
            <w:vAlign w:val="center"/>
          </w:tcPr>
          <w:p w14:paraId="0FA60F89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公司接待人员</w:t>
            </w:r>
          </w:p>
        </w:tc>
        <w:tc>
          <w:tcPr>
            <w:tcW w:w="6740" w:type="dxa"/>
            <w:vAlign w:val="center"/>
          </w:tcPr>
          <w:p w14:paraId="2B5FC932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党委书记、董事长 张晋波先生</w:t>
            </w:r>
          </w:p>
          <w:p w14:paraId="43D7DC80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董事会秘书、总会计师、总法律顾问 王辉先生</w:t>
            </w:r>
          </w:p>
          <w:p w14:paraId="677CC33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证券事务代表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韩瑞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女士</w:t>
            </w:r>
          </w:p>
        </w:tc>
      </w:tr>
      <w:tr w14:paraId="763B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80" w:type="dxa"/>
            <w:vAlign w:val="center"/>
          </w:tcPr>
          <w:p w14:paraId="404C7B7B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740" w:type="dxa"/>
            <w:vAlign w:val="center"/>
          </w:tcPr>
          <w:p w14:paraId="524CB1BB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公司通过通过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全景网“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”（https://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ir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.p5w.net）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以视频直播和网络互动方式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2026年陕西辖区上市公司投资者集体接待日暨2025年度业绩说明会。</w:t>
            </w:r>
          </w:p>
          <w:p w14:paraId="593D50DA">
            <w:pPr>
              <w:ind w:firstLine="482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部分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：问答环节</w:t>
            </w:r>
          </w:p>
          <w:p w14:paraId="0C112307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问题1：公司在新能源检测领域的核心技术优势是什么？储能检测业务目前的认证资质和客户覆盖情况如何？是否已形成标准化的服务体系？</w:t>
            </w:r>
          </w:p>
          <w:p w14:paraId="381BEE6F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，您好。公司在新能源检测领域持续深化布局，已建成12MW及以下电网适应性测试平台、大容量光储变流器电性能测试平台、储能电站电池抽检试验平台、RT-LAB仿真测试平台等，检测能力达到国内领先水平，可为新能源及电化学储能系统提供关键性能验证与并网认证支撑。其中，公司储能检测业务已依托技术平台开展服务，相关资质建设、客户拓展及标准化服务体系构建正稳步推进，后续进展请以公司公告为准。感谢您的关注。</w:t>
            </w:r>
          </w:p>
          <w:p w14:paraId="79FBABC5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问题2：如何看待“双碳”目标和新型电力系统建设对公司业务的影响？有哪些机遇和挑战？</w:t>
            </w:r>
          </w:p>
          <w:p w14:paraId="4783709E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，您好。在“双碳”目标与新型电力系统建设推动下，特高压、新能源与智能化电网等领域持续快速发展，为检测行业带来长期向好的发展机遇。作为国内输变电装备检测领域头部企业，针对新型电力系统建设及电网数智化转型的趋势，公司将进一步强化在智能电网、特高压等前沿领域的检测技术储备与能力布局，致力于构建符合行业发展趋势的技术服务体系。同时，公司主动践行绿色低碳发展理念，将绿色理念贯穿于技术研发与运营管理全过程，依托国家级科研平台，深入开展输变电设备碳足迹研究。2025年成功完成12家企业组织温室气体排放核查、13张产品碳足迹认证证书的颁发，以专业检测服务助力电力行业绿色低碳转型升级。感谢您的关注。</w:t>
            </w:r>
          </w:p>
          <w:p w14:paraId="1140F3C7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问题3：请问张董事长，公司的检测价格大幅低于国际同行，是否与公司业务多来自内部企业有关？亦或其它什么原因？做为国际上一流的特高压机构，建议公司未来价格应该向国际靠拢，才与中国的特高压行业国际地位匹配，才更有充足的资本，走向更高，走向世界。谢谢！祝公司进步！</w:t>
            </w:r>
          </w:p>
          <w:p w14:paraId="3842F118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，您好。公司检测服务的定价是按照客户差异性的委托需求，根据检测项目性质、检测参数、样品数量、检测时长与检测次数等因素，制定具体的检测服务报价。公司业务定价标准统一，关联交易定价严格参照市场公允价格执行，不存在损害公司利益及全体股东利益的情形。此外，公司始终高度重视国际化业务布局，积极依托国家“一带一路”发展机遇，稳步推进海外市场开拓，2025年公司成功获得迪拜水电局、阿布扎比国家能源公司相关业务资质认可，并与国际知名检测机构达成变压器检测授权合作，为海外业务深耕筑牢坚实基础。后续公司也将持续深化国际交流合作，稳步拓展全球业务布局。感谢您的关注。</w:t>
            </w:r>
          </w:p>
          <w:p w14:paraId="75574782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问题4：公司2025年扣非净利润增速显著高于营收增速，2026年一季度毛利率继续提升。请问2025年扣非净利润高增长的主要驱动因素是什么？公司在成本管控方面采取了哪些具体措施？</w:t>
            </w:r>
          </w:p>
          <w:p w14:paraId="6C1E5EF6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，您好。公司扣非净利润增速高于营收增速，主要答得益于核心经营质量与运营效率的持续优化提升。一方面，特高压检测、变压器检测及新能源检测等核心业务结构持续优化，叠加公司常态化推进成本对标与精细化管控，推动整体毛利率稳步提升，核心盈利动能持续增强;另一方面，公司在保持研发投入稳步增长、夯实技术竞争力的同时，严格管控期间费用，实现了降本增效与研发创新的平衡。多重因素共同驱动公司盈利增速跑赢营收增速。感谢您的关注。</w:t>
            </w:r>
          </w:p>
          <w:p w14:paraId="3D9BA782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问题5：请问董事长，贵司作为特高压测试龙头，面向电力电子化的发展是否进一步构建新型的电力电子测试平台型，同时面向智能电网的发展趋势，贵司的测试布局如何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？</w:t>
            </w:r>
          </w:p>
          <w:p w14:paraId="021FBB70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，您好。公司在新能源检测领域持续深化布局，已答建成12MW及以下电网适应性测试平台、大容量光储变流器电性能测试平台、储能电站电池抽检试验平台、RT-LAB仿真测试平台等，检测能力达到国内领先水平。产业布局方面，控股子公司西高院(厦门)电气研究院有限公司正式揭牌运营，主要面向输配电及新能源领域开展业务。感谢您的关注。</w:t>
            </w:r>
          </w:p>
        </w:tc>
      </w:tr>
      <w:tr w14:paraId="6B30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 w14:paraId="678B040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附件清单</w:t>
            </w:r>
          </w:p>
          <w:p w14:paraId="040AA759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6740" w:type="dxa"/>
            <w:vAlign w:val="center"/>
          </w:tcPr>
          <w:p w14:paraId="631144BB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</w:t>
            </w:r>
          </w:p>
        </w:tc>
      </w:tr>
      <w:tr w14:paraId="339A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 w14:paraId="6508A29D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6740" w:type="dxa"/>
            <w:vAlign w:val="center"/>
          </w:tcPr>
          <w:p w14:paraId="1BCEA60E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6年5月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 w14:paraId="17A4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80" w:type="dxa"/>
            <w:vAlign w:val="center"/>
          </w:tcPr>
          <w:p w14:paraId="12979644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6740" w:type="dxa"/>
            <w:vAlign w:val="center"/>
          </w:tcPr>
          <w:p w14:paraId="104902F4">
            <w:pPr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公司与投资者进行了充分的交流与沟通，并严格按照公司《信息披露管理制度》等规定，保证信息披露的真实、准确、完善、及时、公平，没有出现未公开重大信息披露等情况。</w:t>
            </w:r>
          </w:p>
        </w:tc>
      </w:tr>
    </w:tbl>
    <w:p w14:paraId="10E4DFC7">
      <w:pPr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2098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0YWQzYWU0NDhkOWMzMTdkZDIyMWY3Mjk0ZWY2YjEifQ=="/>
  </w:docVars>
  <w:rsids>
    <w:rsidRoot w:val="00C270E3"/>
    <w:rsid w:val="000046C0"/>
    <w:rsid w:val="00040A4D"/>
    <w:rsid w:val="00040D33"/>
    <w:rsid w:val="0005356D"/>
    <w:rsid w:val="00056BF8"/>
    <w:rsid w:val="00114EC2"/>
    <w:rsid w:val="00166EFE"/>
    <w:rsid w:val="00177D31"/>
    <w:rsid w:val="001865C3"/>
    <w:rsid w:val="001D1473"/>
    <w:rsid w:val="00221C5F"/>
    <w:rsid w:val="002461AF"/>
    <w:rsid w:val="00283962"/>
    <w:rsid w:val="00285A86"/>
    <w:rsid w:val="002C6800"/>
    <w:rsid w:val="002D433F"/>
    <w:rsid w:val="00341ECB"/>
    <w:rsid w:val="003A4E0F"/>
    <w:rsid w:val="003A6336"/>
    <w:rsid w:val="003E2E81"/>
    <w:rsid w:val="0040719C"/>
    <w:rsid w:val="00416E60"/>
    <w:rsid w:val="004538E3"/>
    <w:rsid w:val="00472383"/>
    <w:rsid w:val="0048160F"/>
    <w:rsid w:val="004A5EAD"/>
    <w:rsid w:val="004E36FE"/>
    <w:rsid w:val="004F7731"/>
    <w:rsid w:val="0058556F"/>
    <w:rsid w:val="0059368B"/>
    <w:rsid w:val="005B3284"/>
    <w:rsid w:val="005B615A"/>
    <w:rsid w:val="005D62BE"/>
    <w:rsid w:val="00610C66"/>
    <w:rsid w:val="00610EB4"/>
    <w:rsid w:val="00643CD4"/>
    <w:rsid w:val="00652CA1"/>
    <w:rsid w:val="0065798B"/>
    <w:rsid w:val="0066380B"/>
    <w:rsid w:val="0067114C"/>
    <w:rsid w:val="00692FBB"/>
    <w:rsid w:val="006C7D12"/>
    <w:rsid w:val="006E6D82"/>
    <w:rsid w:val="00716F64"/>
    <w:rsid w:val="00732656"/>
    <w:rsid w:val="0073427C"/>
    <w:rsid w:val="00753105"/>
    <w:rsid w:val="007652EE"/>
    <w:rsid w:val="007A3408"/>
    <w:rsid w:val="007A74E8"/>
    <w:rsid w:val="007B0537"/>
    <w:rsid w:val="007B0FBC"/>
    <w:rsid w:val="007B236F"/>
    <w:rsid w:val="007C110E"/>
    <w:rsid w:val="007E730F"/>
    <w:rsid w:val="00800E21"/>
    <w:rsid w:val="00822EC2"/>
    <w:rsid w:val="008320C7"/>
    <w:rsid w:val="00835B13"/>
    <w:rsid w:val="008400C0"/>
    <w:rsid w:val="00875F98"/>
    <w:rsid w:val="0088426E"/>
    <w:rsid w:val="008C6317"/>
    <w:rsid w:val="008D4151"/>
    <w:rsid w:val="008F2465"/>
    <w:rsid w:val="008F763B"/>
    <w:rsid w:val="009304C5"/>
    <w:rsid w:val="00932ED3"/>
    <w:rsid w:val="00940B96"/>
    <w:rsid w:val="0096674D"/>
    <w:rsid w:val="009E7502"/>
    <w:rsid w:val="00A6158B"/>
    <w:rsid w:val="00B06BDA"/>
    <w:rsid w:val="00B209CF"/>
    <w:rsid w:val="00B2783C"/>
    <w:rsid w:val="00BB60ED"/>
    <w:rsid w:val="00BC1298"/>
    <w:rsid w:val="00BC1380"/>
    <w:rsid w:val="00BE5149"/>
    <w:rsid w:val="00C270E3"/>
    <w:rsid w:val="00C31A71"/>
    <w:rsid w:val="00C37BBA"/>
    <w:rsid w:val="00C45A18"/>
    <w:rsid w:val="00C90ECD"/>
    <w:rsid w:val="00CC41C9"/>
    <w:rsid w:val="00CE3C96"/>
    <w:rsid w:val="00D30BFA"/>
    <w:rsid w:val="00D401B1"/>
    <w:rsid w:val="00D62015"/>
    <w:rsid w:val="00DC7531"/>
    <w:rsid w:val="00DD56F8"/>
    <w:rsid w:val="00E02AC9"/>
    <w:rsid w:val="00E43C14"/>
    <w:rsid w:val="00E647F3"/>
    <w:rsid w:val="00E71C2B"/>
    <w:rsid w:val="00E83AEA"/>
    <w:rsid w:val="00E91488"/>
    <w:rsid w:val="00EC39B4"/>
    <w:rsid w:val="00F023D3"/>
    <w:rsid w:val="00F110D5"/>
    <w:rsid w:val="00F231C3"/>
    <w:rsid w:val="00F66890"/>
    <w:rsid w:val="00F819AB"/>
    <w:rsid w:val="00F875A3"/>
    <w:rsid w:val="00FC186B"/>
    <w:rsid w:val="00FC5F92"/>
    <w:rsid w:val="00FD65CA"/>
    <w:rsid w:val="00FE542C"/>
    <w:rsid w:val="013D1A3C"/>
    <w:rsid w:val="09074EEF"/>
    <w:rsid w:val="098F1A9F"/>
    <w:rsid w:val="0DA47D15"/>
    <w:rsid w:val="0E71409B"/>
    <w:rsid w:val="16765AAA"/>
    <w:rsid w:val="17725910"/>
    <w:rsid w:val="19080962"/>
    <w:rsid w:val="24156E1F"/>
    <w:rsid w:val="275F0399"/>
    <w:rsid w:val="2DEA76BE"/>
    <w:rsid w:val="374B4FC3"/>
    <w:rsid w:val="3DCB2F9F"/>
    <w:rsid w:val="3EFF9D25"/>
    <w:rsid w:val="4264182A"/>
    <w:rsid w:val="429A1953"/>
    <w:rsid w:val="441A1CBF"/>
    <w:rsid w:val="44C85ABB"/>
    <w:rsid w:val="48055B37"/>
    <w:rsid w:val="55DE8D5E"/>
    <w:rsid w:val="57081358"/>
    <w:rsid w:val="5D4F5738"/>
    <w:rsid w:val="65F8742B"/>
    <w:rsid w:val="756D4F59"/>
    <w:rsid w:val="7FE73418"/>
    <w:rsid w:val="7FFAAA3B"/>
    <w:rsid w:val="7FFF1BB6"/>
    <w:rsid w:val="EB6B1842"/>
    <w:rsid w:val="F79E04D2"/>
    <w:rsid w:val="FF8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3"/>
    <w:qFormat/>
    <w:uiPriority w:val="99"/>
    <w:rPr>
      <w:sz w:val="18"/>
      <w:szCs w:val="18"/>
    </w:rPr>
  </w:style>
  <w:style w:type="table" w:customStyle="1" w:styleId="13">
    <w:name w:val="网格型13"/>
    <w:basedOn w:val="7"/>
    <w:qFormat/>
    <w:uiPriority w:val="39"/>
    <w:pPr>
      <w:widowControl w:val="0"/>
      <w:adjustRightInd w:val="0"/>
      <w:snapToGrid w:val="0"/>
      <w:contextualSpacing/>
      <w:jc w:val="center"/>
    </w:pPr>
    <w:rPr>
      <w:rFonts w:eastAsia="仿宋"/>
    </w:rPr>
    <w:tblPr>
      <w:jc w:val="center"/>
      <w:tblBorders>
        <w:top w:val="double" w:color="auto" w:sz="2" w:space="0"/>
        <w:bottom w:val="double" w:color="auto" w:sz="2" w:space="0"/>
        <w:insideH w:val="single" w:color="auto" w:sz="2" w:space="0"/>
        <w:insideV w:val="single" w:color="auto" w:sz="2" w:space="0"/>
      </w:tblBorders>
    </w:tblPr>
    <w:trPr>
      <w:jc w:val="center"/>
    </w:trPr>
    <w:tcPr>
      <w:vAlign w:val="center"/>
    </w:tcPr>
  </w:style>
  <w:style w:type="paragraph" w:customStyle="1" w:styleId="14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2735</Words>
  <Characters>2961</Characters>
  <Lines>22</Lines>
  <Paragraphs>6</Paragraphs>
  <TotalTime>2</TotalTime>
  <ScaleCrop>false</ScaleCrop>
  <LinksUpToDate>false</LinksUpToDate>
  <CharactersWithSpaces>3069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2023-09-16T02:39:00Z</dcterms:created>
  <dc:creator>Li Fan</dc:creator>
  <cp:lastModifiedBy>涵burger</cp:lastModifiedBy>
  <dcterms:modified xsi:type="dcterms:W3CDTF">2026-05-21T02:07:06Z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8AF769F524E64B44A7A0BC1D94B366E3_13</vt:lpwstr>
  </property>
  <property fmtid="{D5CDD505-2E9C-101B-9397-08002B2CF9AE}" pid="4" name="KSOTemplateDocerSaveRecord">
    <vt:lpwstr>eyJoZGlkIjoiZDBhYTgzM2Y3OGE5MzIyMzFmNzk3MmQxMTA2NTQzZTkiLCJ1c2VySWQiOiIyODI2MTgzNjAifQ==</vt:lpwstr>
  </property>
</Properties>
</file>