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7CF2">
      <w:pPr>
        <w:spacing w:line="351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证券代码：688143     </w:t>
      </w:r>
      <w:r>
        <w:t xml:space="preserve">                                                                    </w:t>
      </w:r>
      <w:r>
        <w:rPr>
          <w:rFonts w:hint="eastAsia" w:ascii="宋体" w:hAnsi="宋体" w:eastAsia="宋体" w:cs="宋体"/>
        </w:rPr>
        <w:t>证券简称：长盈通</w:t>
      </w:r>
    </w:p>
    <w:p w14:paraId="60285EC1">
      <w:pPr>
        <w:spacing w:line="351" w:lineRule="auto"/>
        <w:ind w:firstLine="420" w:firstLineChars="200"/>
      </w:pPr>
      <w:r>
        <w:t xml:space="preserve"> </w:t>
      </w:r>
    </w:p>
    <w:p w14:paraId="2F97ADCB">
      <w:pPr>
        <w:spacing w:before="130" w:line="218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武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汉长盈通光电技术股份有限公司</w:t>
      </w:r>
    </w:p>
    <w:p w14:paraId="1F2E83B0">
      <w:pPr>
        <w:spacing w:before="151" w:line="219" w:lineRule="auto"/>
        <w:jc w:val="center"/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资者关系活动记录表</w:t>
      </w:r>
    </w:p>
    <w:p w14:paraId="75BC3E32">
      <w:pPr>
        <w:wordWrap w:val="0"/>
        <w:spacing w:before="71" w:line="360" w:lineRule="auto"/>
        <w:ind w:right="384" w:firstLine="476" w:firstLineChars="200"/>
        <w:jc w:val="right"/>
        <w:rPr>
          <w:rFonts w:hint="default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1"/>
          <w:sz w:val="24"/>
          <w:szCs w:val="24"/>
        </w:rPr>
        <w:t>编号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pacing w:val="-1"/>
          <w:sz w:val="24"/>
          <w:szCs w:val="24"/>
        </w:rPr>
        <w:t>202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-00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2</w:t>
      </w:r>
    </w:p>
    <w:tbl>
      <w:tblPr>
        <w:tblStyle w:val="7"/>
        <w:tblpPr w:leftFromText="180" w:rightFromText="180" w:vertAnchor="text" w:tblpX="2" w:tblpY="1"/>
        <w:tblOverlap w:val="never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534"/>
        <w:gridCol w:w="3256"/>
      </w:tblGrid>
      <w:tr w14:paraId="7375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3283" w:type="dxa"/>
            <w:vAlign w:val="center"/>
          </w:tcPr>
          <w:p w14:paraId="124DDFBB">
            <w:pPr>
              <w:spacing w:before="78" w:line="360" w:lineRule="auto"/>
              <w:ind w:left="434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资者关系活动类别</w:t>
            </w:r>
          </w:p>
        </w:tc>
        <w:tc>
          <w:tcPr>
            <w:tcW w:w="2534" w:type="dxa"/>
            <w:tcBorders>
              <w:right w:val="nil"/>
            </w:tcBorders>
          </w:tcPr>
          <w:p w14:paraId="557DECA4">
            <w:pPr>
              <w:spacing w:before="195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地调研</w:t>
            </w:r>
          </w:p>
          <w:p w14:paraId="45D5A93B">
            <w:pPr>
              <w:spacing w:line="240" w:lineRule="auto"/>
            </w:pPr>
          </w:p>
          <w:p w14:paraId="2ECCA2DC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媒</w:t>
            </w:r>
            <w:r>
              <w:rPr>
                <w:rFonts w:ascii="宋体" w:hAnsi="宋体" w:eastAsia="宋体" w:cs="宋体"/>
                <w:spacing w:val="-2"/>
              </w:rPr>
              <w:t>体采访</w:t>
            </w:r>
          </w:p>
          <w:p w14:paraId="4C5A6237">
            <w:pPr>
              <w:spacing w:line="240" w:lineRule="auto"/>
            </w:pPr>
          </w:p>
          <w:p w14:paraId="1BC410E5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新闻发布会</w:t>
            </w:r>
          </w:p>
          <w:p w14:paraId="6E724FE7">
            <w:pPr>
              <w:spacing w:line="240" w:lineRule="auto"/>
            </w:pPr>
          </w:p>
          <w:p w14:paraId="17BD432F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投资者交流</w:t>
            </w:r>
          </w:p>
          <w:p w14:paraId="19FCF95E">
            <w:pPr>
              <w:spacing w:line="240" w:lineRule="auto"/>
            </w:pPr>
          </w:p>
          <w:p w14:paraId="679ED1D7">
            <w:pPr>
              <w:spacing w:before="68" w:line="360" w:lineRule="auto"/>
              <w:ind w:left="2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>其他</w:t>
            </w:r>
          </w:p>
        </w:tc>
        <w:tc>
          <w:tcPr>
            <w:tcW w:w="3256" w:type="dxa"/>
            <w:tcBorders>
              <w:left w:val="nil"/>
            </w:tcBorders>
          </w:tcPr>
          <w:p w14:paraId="490EC49F">
            <w:pPr>
              <w:spacing w:before="194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分析师会议</w:t>
            </w:r>
          </w:p>
          <w:p w14:paraId="274492AB">
            <w:pPr>
              <w:spacing w:line="240" w:lineRule="auto"/>
            </w:pPr>
          </w:p>
          <w:p w14:paraId="0CDEC0CA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Times New Roman" w:cs="Times New Roman"/>
                <w:spacing w:val="-3"/>
              </w:rPr>
              <w:t>■</w:t>
            </w:r>
            <w:r>
              <w:rPr>
                <w:rFonts w:ascii="宋体" w:hAnsi="宋体" w:eastAsia="宋体" w:cs="宋体"/>
                <w:spacing w:val="-2"/>
              </w:rPr>
              <w:t>业绩说明会</w:t>
            </w:r>
          </w:p>
          <w:p w14:paraId="31E7C174">
            <w:pPr>
              <w:spacing w:line="240" w:lineRule="auto"/>
            </w:pPr>
          </w:p>
          <w:p w14:paraId="43E393D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路</w:t>
            </w:r>
            <w:r>
              <w:rPr>
                <w:rFonts w:ascii="宋体" w:hAnsi="宋体" w:eastAsia="宋体" w:cs="宋体"/>
                <w:spacing w:val="-2"/>
              </w:rPr>
              <w:t>演活动</w:t>
            </w:r>
          </w:p>
          <w:p w14:paraId="08756C13">
            <w:pPr>
              <w:spacing w:line="240" w:lineRule="auto"/>
            </w:pPr>
          </w:p>
          <w:p w14:paraId="109D191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电</w:t>
            </w:r>
            <w:r>
              <w:rPr>
                <w:rFonts w:ascii="宋体" w:hAnsi="宋体" w:eastAsia="宋体" w:cs="宋体"/>
                <w:spacing w:val="-2"/>
              </w:rPr>
              <w:t>话沟通</w:t>
            </w:r>
          </w:p>
        </w:tc>
      </w:tr>
      <w:tr w14:paraId="2BB3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283" w:type="dxa"/>
            <w:vAlign w:val="center"/>
          </w:tcPr>
          <w:p w14:paraId="63898B28">
            <w:pPr>
              <w:spacing w:before="183" w:line="24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5790" w:type="dxa"/>
            <w:gridSpan w:val="2"/>
            <w:vAlign w:val="center"/>
          </w:tcPr>
          <w:p w14:paraId="654C4B93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2026年5月21日（星期四）下午15:00-17:00</w:t>
            </w:r>
          </w:p>
        </w:tc>
      </w:tr>
      <w:tr w14:paraId="34B4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3283" w:type="dxa"/>
          </w:tcPr>
          <w:p w14:paraId="4F513990">
            <w:pPr>
              <w:spacing w:before="18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地点</w:t>
            </w:r>
          </w:p>
        </w:tc>
        <w:tc>
          <w:tcPr>
            <w:tcW w:w="5790" w:type="dxa"/>
            <w:gridSpan w:val="2"/>
          </w:tcPr>
          <w:p w14:paraId="4A59CF6F">
            <w:pPr>
              <w:spacing w:before="197" w:line="360" w:lineRule="auto"/>
              <w:jc w:val="center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上海证券交易所上证路演中心</w:t>
            </w:r>
          </w:p>
          <w:p w14:paraId="36107E82">
            <w:pPr>
              <w:spacing w:before="197" w:line="360" w:lineRule="auto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（http://roadshow.sseinfo.com/）</w:t>
            </w:r>
          </w:p>
        </w:tc>
      </w:tr>
      <w:tr w14:paraId="283F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283" w:type="dxa"/>
          </w:tcPr>
          <w:p w14:paraId="27296E4E"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上市公司接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待人员姓名</w:t>
            </w:r>
          </w:p>
        </w:tc>
        <w:tc>
          <w:tcPr>
            <w:tcW w:w="5790" w:type="dxa"/>
            <w:gridSpan w:val="2"/>
          </w:tcPr>
          <w:p w14:paraId="5FA72AE1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董事长兼总裁：皮亚斌</w:t>
            </w:r>
          </w:p>
          <w:p w14:paraId="5169AF81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董事会秘书、财务总监：曹文明</w:t>
            </w:r>
          </w:p>
          <w:p w14:paraId="01D5DB7F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董事、研发中心总经理：廉正刚</w:t>
            </w:r>
          </w:p>
          <w:p w14:paraId="1599EC4B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独立董事：李奔</w:t>
            </w:r>
          </w:p>
        </w:tc>
      </w:tr>
      <w:tr w14:paraId="4219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283" w:type="dxa"/>
            <w:vAlign w:val="center"/>
          </w:tcPr>
          <w:p w14:paraId="359F5EE2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</w:t>
            </w:r>
          </w:p>
          <w:p w14:paraId="59757864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主要内容介绍</w:t>
            </w:r>
          </w:p>
        </w:tc>
        <w:tc>
          <w:tcPr>
            <w:tcW w:w="5790" w:type="dxa"/>
            <w:gridSpan w:val="2"/>
            <w:vAlign w:val="top"/>
          </w:tcPr>
          <w:p w14:paraId="5D41F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武汉长盈通光电技术股份有限公司已于2026年4月29日披露了公司2025年年度报告及2026年第一季度报告，为便于广大投资者更全面深入地了解公司2025年年度及2026年第一季度经营成果、财务状况及发展理念等，公司参加由上海证券交易所主办十五五·未来产业——科创企业产业迭代与创新赋能之2025年度航空航天行业集体业绩说明会暨2026年第一季度业绩说明会，此次活动将采用网络文字互动的方式举行，投资者登录上海证券交易所上证路演中心（http://roadshow.sseinfo.com/）参与线上互动交流。具体问题及回复如下：</w:t>
            </w:r>
          </w:p>
          <w:p w14:paraId="05BB4D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1、公司研发占比如何？</w:t>
            </w:r>
          </w:p>
          <w:p w14:paraId="3928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答：尊敬的投资者您好！2025年度公司研发投入占比为12.69%，截至2026年第一季度公司研发投入占比为14.61%，十分感谢您的关注，谢谢！</w:t>
            </w:r>
          </w:p>
          <w:p w14:paraId="5FBC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报告期内驱动业绩增长的核心业务/产品是什么？未来1-3年，新的增长引擎或战略重心在哪里？</w:t>
            </w:r>
          </w:p>
          <w:p w14:paraId="148C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答：尊敬的投资者您好！公司业绩主要来源是传感类业务，包括光纤陀螺综合解决方案，未来的业绩增长可以关注我们下一代光通信业务和传能类业务，十分感谢您的关注，谢谢！</w:t>
            </w:r>
          </w:p>
          <w:p w14:paraId="7A90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3、第三代光纤陀螺光子芯片一季度样机测试进展？何时可量产并配套商业航天惯性导航？保偏光纤一季度通过客户验证后的小批量订单情况？在商业卫星 / 火箭上的应用场景拓展？</w:t>
            </w:r>
          </w:p>
          <w:p w14:paraId="048F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尊敬的投资者您好！公司第三代光纤陀螺光子芯片项目2025年底已经流片完成，正在做样机指标测试，进展正常。2025年公司通信器件用保偏光纤给客户送样验证，通过了几个客户的验证，现阶段营收占比不足1%，器件保偏光纤在手订单较少，业务体量相对有限。陀螺用保偏光纤可应用于惯性导航领域，进行姿态控制和定位定向。十分感谢您的关注，谢谢！</w:t>
            </w:r>
          </w:p>
          <w:p w14:paraId="69F49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4、2026 年一季度研发投入金额及占比？同比增长情况？重点投向商业航天哪些新材料、新工艺、新场景？核心技术壁垒与专利布局进展？</w:t>
            </w:r>
          </w:p>
          <w:p w14:paraId="369FD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答：尊敬的投资者您好！2026年第一季度公司研发投入金额为1239.20万元，占营业收入比例为14.61%，研发占比同比提高3.58个百分点，研发投入金额同比增长71.69%，十分感谢您的关注，谢谢！</w:t>
            </w:r>
          </w:p>
        </w:tc>
      </w:tr>
      <w:tr w14:paraId="580E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3283" w:type="dxa"/>
            <w:vAlign w:val="center"/>
          </w:tcPr>
          <w:p w14:paraId="745B3D15">
            <w:pPr>
              <w:spacing w:line="346" w:lineRule="auto"/>
              <w:jc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风险提示</w:t>
            </w:r>
            <w:bookmarkStart w:id="0" w:name="_GoBack"/>
            <w:bookmarkEnd w:id="0"/>
          </w:p>
        </w:tc>
        <w:tc>
          <w:tcPr>
            <w:tcW w:w="5790" w:type="dxa"/>
            <w:gridSpan w:val="2"/>
            <w:vAlign w:val="center"/>
          </w:tcPr>
          <w:p w14:paraId="79A595E9">
            <w:pPr>
              <w:spacing w:before="131" w:line="360" w:lineRule="auto"/>
              <w:jc w:val="left"/>
              <w:rPr>
                <w:rFonts w:ascii="宋体" w:hAnsi="宋体" w:eastAsia="宋体" w:cs="仿宋"/>
              </w:rPr>
            </w:pPr>
            <w:r>
              <w:rPr>
                <w:rFonts w:hint="eastAsia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3592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3283" w:type="dxa"/>
            <w:vAlign w:val="center"/>
          </w:tcPr>
          <w:p w14:paraId="598AC303">
            <w:pPr>
              <w:spacing w:line="346" w:lineRule="auto"/>
              <w:jc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关于本次活动是否涉及应当披露重大信息的说明</w:t>
            </w:r>
          </w:p>
        </w:tc>
        <w:tc>
          <w:tcPr>
            <w:tcW w:w="5790" w:type="dxa"/>
            <w:gridSpan w:val="2"/>
            <w:vAlign w:val="center"/>
          </w:tcPr>
          <w:p w14:paraId="5DDCAA82">
            <w:pPr>
              <w:spacing w:before="131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本次活动不涉及未公开披露的重大信息。</w:t>
            </w:r>
          </w:p>
        </w:tc>
      </w:tr>
      <w:tr w14:paraId="080B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83" w:type="dxa"/>
            <w:vAlign w:val="center"/>
          </w:tcPr>
          <w:p w14:paraId="41523E92">
            <w:pPr>
              <w:spacing w:line="346" w:lineRule="auto"/>
              <w:jc w:val="center"/>
            </w:pP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附件清单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如有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5790" w:type="dxa"/>
            <w:gridSpan w:val="2"/>
            <w:vAlign w:val="center"/>
          </w:tcPr>
          <w:p w14:paraId="504202EE">
            <w:pPr>
              <w:spacing w:before="131"/>
              <w:jc w:val="center"/>
              <w:rPr>
                <w:rFonts w:ascii="宋体" w:hAnsi="宋体" w:eastAsia="宋体" w:cs="宋体"/>
                <w:spacing w:val="-1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仿宋"/>
              </w:rPr>
              <w:t>无</w:t>
            </w:r>
          </w:p>
        </w:tc>
      </w:tr>
    </w:tbl>
    <w:p w14:paraId="4C23E658">
      <w:pP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圆简">
    <w:panose1 w:val="02010600000101010101"/>
    <w:charset w:val="86"/>
    <w:family w:val="roman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37C1C"/>
    <w:rsid w:val="01545A05"/>
    <w:rsid w:val="01AE3588"/>
    <w:rsid w:val="01D32DCE"/>
    <w:rsid w:val="01D628BE"/>
    <w:rsid w:val="021D0874"/>
    <w:rsid w:val="021F6013"/>
    <w:rsid w:val="022A2F1B"/>
    <w:rsid w:val="02301FCF"/>
    <w:rsid w:val="02331ABF"/>
    <w:rsid w:val="029C58B6"/>
    <w:rsid w:val="02A91D81"/>
    <w:rsid w:val="03773C2D"/>
    <w:rsid w:val="03962305"/>
    <w:rsid w:val="03CF6F0E"/>
    <w:rsid w:val="03E31959"/>
    <w:rsid w:val="04210E57"/>
    <w:rsid w:val="04313670"/>
    <w:rsid w:val="04447FB3"/>
    <w:rsid w:val="05015EA4"/>
    <w:rsid w:val="05465FAD"/>
    <w:rsid w:val="06851B15"/>
    <w:rsid w:val="06930D7E"/>
    <w:rsid w:val="06C8301E"/>
    <w:rsid w:val="06F82B7E"/>
    <w:rsid w:val="075E75DE"/>
    <w:rsid w:val="075F5A26"/>
    <w:rsid w:val="07913C76"/>
    <w:rsid w:val="07970828"/>
    <w:rsid w:val="07AB2F49"/>
    <w:rsid w:val="07BA47F6"/>
    <w:rsid w:val="07CB4548"/>
    <w:rsid w:val="07DB29DD"/>
    <w:rsid w:val="07F65A68"/>
    <w:rsid w:val="083E2F6B"/>
    <w:rsid w:val="0863333E"/>
    <w:rsid w:val="087F1701"/>
    <w:rsid w:val="0939608D"/>
    <w:rsid w:val="09CC2259"/>
    <w:rsid w:val="09D70151"/>
    <w:rsid w:val="09DD70BF"/>
    <w:rsid w:val="09FD62EE"/>
    <w:rsid w:val="0A1B3564"/>
    <w:rsid w:val="0A3463D4"/>
    <w:rsid w:val="0A905466"/>
    <w:rsid w:val="0AE40529"/>
    <w:rsid w:val="0AF17E80"/>
    <w:rsid w:val="0AFD710E"/>
    <w:rsid w:val="0B1E2DB5"/>
    <w:rsid w:val="0B3C7C36"/>
    <w:rsid w:val="0BF64289"/>
    <w:rsid w:val="0C4024A9"/>
    <w:rsid w:val="0C692CAD"/>
    <w:rsid w:val="0C8F023A"/>
    <w:rsid w:val="0CB3463E"/>
    <w:rsid w:val="0CBB102F"/>
    <w:rsid w:val="0D7527DB"/>
    <w:rsid w:val="0DC15AA0"/>
    <w:rsid w:val="0DCA2888"/>
    <w:rsid w:val="0E156250"/>
    <w:rsid w:val="0E2A1FC8"/>
    <w:rsid w:val="0F0373B1"/>
    <w:rsid w:val="0FEE5277"/>
    <w:rsid w:val="109B71AD"/>
    <w:rsid w:val="10A058FA"/>
    <w:rsid w:val="10A73DA4"/>
    <w:rsid w:val="10CD5130"/>
    <w:rsid w:val="113E4F41"/>
    <w:rsid w:val="115A5307"/>
    <w:rsid w:val="118B7221"/>
    <w:rsid w:val="11D72467"/>
    <w:rsid w:val="11DC7A7D"/>
    <w:rsid w:val="1205799E"/>
    <w:rsid w:val="127E6D86"/>
    <w:rsid w:val="12C754BC"/>
    <w:rsid w:val="138F10FE"/>
    <w:rsid w:val="13F76DF0"/>
    <w:rsid w:val="13FF287E"/>
    <w:rsid w:val="14D914EE"/>
    <w:rsid w:val="14FB74F2"/>
    <w:rsid w:val="153C6A85"/>
    <w:rsid w:val="156D5C3E"/>
    <w:rsid w:val="16196B4E"/>
    <w:rsid w:val="161E0A1B"/>
    <w:rsid w:val="16404CC3"/>
    <w:rsid w:val="164A731D"/>
    <w:rsid w:val="164F4491"/>
    <w:rsid w:val="17842B8C"/>
    <w:rsid w:val="179E3A27"/>
    <w:rsid w:val="18003113"/>
    <w:rsid w:val="18562547"/>
    <w:rsid w:val="18AE6507"/>
    <w:rsid w:val="18B22F8F"/>
    <w:rsid w:val="18E24DE3"/>
    <w:rsid w:val="19C37774"/>
    <w:rsid w:val="1A475CB0"/>
    <w:rsid w:val="1A8D54AB"/>
    <w:rsid w:val="1A907FA2"/>
    <w:rsid w:val="1AA72145"/>
    <w:rsid w:val="1B1A668B"/>
    <w:rsid w:val="1B3E12F9"/>
    <w:rsid w:val="1BD47A17"/>
    <w:rsid w:val="1BDC68CC"/>
    <w:rsid w:val="1BF754B3"/>
    <w:rsid w:val="1C311C4C"/>
    <w:rsid w:val="1C37598E"/>
    <w:rsid w:val="1CE25505"/>
    <w:rsid w:val="1D2302DB"/>
    <w:rsid w:val="1D7019C1"/>
    <w:rsid w:val="1F5A2B07"/>
    <w:rsid w:val="1F6E1F30"/>
    <w:rsid w:val="1F852B38"/>
    <w:rsid w:val="1F953961"/>
    <w:rsid w:val="1FC87893"/>
    <w:rsid w:val="201E4236"/>
    <w:rsid w:val="21060CAB"/>
    <w:rsid w:val="21815F4B"/>
    <w:rsid w:val="21AD0AEE"/>
    <w:rsid w:val="228C7DBD"/>
    <w:rsid w:val="229E0D7F"/>
    <w:rsid w:val="22A53EBB"/>
    <w:rsid w:val="2303032F"/>
    <w:rsid w:val="239F090A"/>
    <w:rsid w:val="23E70F73"/>
    <w:rsid w:val="248875F1"/>
    <w:rsid w:val="25080A70"/>
    <w:rsid w:val="25253091"/>
    <w:rsid w:val="25B44BE3"/>
    <w:rsid w:val="26753BA5"/>
    <w:rsid w:val="26811471"/>
    <w:rsid w:val="274D290A"/>
    <w:rsid w:val="275B723E"/>
    <w:rsid w:val="27AB4EA2"/>
    <w:rsid w:val="28025A1A"/>
    <w:rsid w:val="280A3C36"/>
    <w:rsid w:val="28221B0A"/>
    <w:rsid w:val="28292E99"/>
    <w:rsid w:val="28577A06"/>
    <w:rsid w:val="28626BCE"/>
    <w:rsid w:val="28940C5A"/>
    <w:rsid w:val="28A349F9"/>
    <w:rsid w:val="291C1880"/>
    <w:rsid w:val="29470146"/>
    <w:rsid w:val="294966D6"/>
    <w:rsid w:val="29EC23D0"/>
    <w:rsid w:val="2A06146B"/>
    <w:rsid w:val="2A1D6A2D"/>
    <w:rsid w:val="2A574B8D"/>
    <w:rsid w:val="2A5F77C5"/>
    <w:rsid w:val="2AB23619"/>
    <w:rsid w:val="2AE01F34"/>
    <w:rsid w:val="2AE76B06"/>
    <w:rsid w:val="2BC76C50"/>
    <w:rsid w:val="2C0028BD"/>
    <w:rsid w:val="2C471B3F"/>
    <w:rsid w:val="2C7D0806"/>
    <w:rsid w:val="2C866B0B"/>
    <w:rsid w:val="2CE23E3F"/>
    <w:rsid w:val="2CF33E7C"/>
    <w:rsid w:val="2D256324"/>
    <w:rsid w:val="2D6F55FD"/>
    <w:rsid w:val="2D762DA4"/>
    <w:rsid w:val="2D964B2C"/>
    <w:rsid w:val="2EB931C8"/>
    <w:rsid w:val="2EC830D0"/>
    <w:rsid w:val="2F9652B7"/>
    <w:rsid w:val="2FE74253"/>
    <w:rsid w:val="30327943"/>
    <w:rsid w:val="303845C1"/>
    <w:rsid w:val="307C3A1B"/>
    <w:rsid w:val="308570DA"/>
    <w:rsid w:val="309A0DD7"/>
    <w:rsid w:val="30E107B4"/>
    <w:rsid w:val="314978EC"/>
    <w:rsid w:val="31C60848"/>
    <w:rsid w:val="31DD48DC"/>
    <w:rsid w:val="32300DF4"/>
    <w:rsid w:val="327B210D"/>
    <w:rsid w:val="32BA750F"/>
    <w:rsid w:val="32F444B2"/>
    <w:rsid w:val="33704071"/>
    <w:rsid w:val="339C09C3"/>
    <w:rsid w:val="33E04D53"/>
    <w:rsid w:val="340F5638"/>
    <w:rsid w:val="343C3F54"/>
    <w:rsid w:val="34727D99"/>
    <w:rsid w:val="34C24459"/>
    <w:rsid w:val="34E675D0"/>
    <w:rsid w:val="34FC3E0F"/>
    <w:rsid w:val="35233D58"/>
    <w:rsid w:val="3529097C"/>
    <w:rsid w:val="35DC59EE"/>
    <w:rsid w:val="35E05D71"/>
    <w:rsid w:val="36CC5A63"/>
    <w:rsid w:val="373F4487"/>
    <w:rsid w:val="375D1E78"/>
    <w:rsid w:val="37860CFA"/>
    <w:rsid w:val="37991DE9"/>
    <w:rsid w:val="383047CA"/>
    <w:rsid w:val="388A0452"/>
    <w:rsid w:val="392D37C9"/>
    <w:rsid w:val="394E6C03"/>
    <w:rsid w:val="39E25A5D"/>
    <w:rsid w:val="3A06303A"/>
    <w:rsid w:val="3A244B12"/>
    <w:rsid w:val="3A557B1D"/>
    <w:rsid w:val="3A6357CC"/>
    <w:rsid w:val="3A654204"/>
    <w:rsid w:val="3BED7890"/>
    <w:rsid w:val="3D9170BE"/>
    <w:rsid w:val="3D9B1520"/>
    <w:rsid w:val="3D9E46E1"/>
    <w:rsid w:val="3DC41A53"/>
    <w:rsid w:val="3DD5344F"/>
    <w:rsid w:val="3EED5823"/>
    <w:rsid w:val="3F513170"/>
    <w:rsid w:val="3F667892"/>
    <w:rsid w:val="3F6A7BC7"/>
    <w:rsid w:val="3F870779"/>
    <w:rsid w:val="3F8C2250"/>
    <w:rsid w:val="3FA15A86"/>
    <w:rsid w:val="401202C3"/>
    <w:rsid w:val="401C3B3D"/>
    <w:rsid w:val="40793ED7"/>
    <w:rsid w:val="40A21074"/>
    <w:rsid w:val="413E57AF"/>
    <w:rsid w:val="41406E31"/>
    <w:rsid w:val="41AC096A"/>
    <w:rsid w:val="41D91034"/>
    <w:rsid w:val="41E33C60"/>
    <w:rsid w:val="42097B6B"/>
    <w:rsid w:val="42E42CCB"/>
    <w:rsid w:val="43193DDE"/>
    <w:rsid w:val="437337B0"/>
    <w:rsid w:val="443D58AA"/>
    <w:rsid w:val="44CB55AC"/>
    <w:rsid w:val="44E126D9"/>
    <w:rsid w:val="45AC5A5D"/>
    <w:rsid w:val="46521164"/>
    <w:rsid w:val="466510E8"/>
    <w:rsid w:val="46761854"/>
    <w:rsid w:val="467B090B"/>
    <w:rsid w:val="46891BC8"/>
    <w:rsid w:val="46DE3850"/>
    <w:rsid w:val="47BE31A6"/>
    <w:rsid w:val="4800731A"/>
    <w:rsid w:val="48BA396D"/>
    <w:rsid w:val="49080B7C"/>
    <w:rsid w:val="49302F0F"/>
    <w:rsid w:val="493C25D4"/>
    <w:rsid w:val="49605AEE"/>
    <w:rsid w:val="49647D7D"/>
    <w:rsid w:val="49AD3239"/>
    <w:rsid w:val="49B740C9"/>
    <w:rsid w:val="4A1C0D50"/>
    <w:rsid w:val="4A2A4B22"/>
    <w:rsid w:val="4A3B0ADD"/>
    <w:rsid w:val="4A442B1E"/>
    <w:rsid w:val="4AD66A58"/>
    <w:rsid w:val="4B040685"/>
    <w:rsid w:val="4B1530DD"/>
    <w:rsid w:val="4B1B26BD"/>
    <w:rsid w:val="4B481704"/>
    <w:rsid w:val="4B6C4CC7"/>
    <w:rsid w:val="4C675BBA"/>
    <w:rsid w:val="4CA706AC"/>
    <w:rsid w:val="4D2F41FE"/>
    <w:rsid w:val="4D4F0235"/>
    <w:rsid w:val="4DB57566"/>
    <w:rsid w:val="4DFA480C"/>
    <w:rsid w:val="4E395334"/>
    <w:rsid w:val="4E444DAC"/>
    <w:rsid w:val="4E9E788D"/>
    <w:rsid w:val="4EB946C7"/>
    <w:rsid w:val="4ED137BE"/>
    <w:rsid w:val="4F0442B5"/>
    <w:rsid w:val="4F053468"/>
    <w:rsid w:val="4F8A33FE"/>
    <w:rsid w:val="5115270F"/>
    <w:rsid w:val="527728CF"/>
    <w:rsid w:val="53282911"/>
    <w:rsid w:val="53310CD0"/>
    <w:rsid w:val="556F788D"/>
    <w:rsid w:val="557430F6"/>
    <w:rsid w:val="55D3606E"/>
    <w:rsid w:val="57E666CC"/>
    <w:rsid w:val="588875E4"/>
    <w:rsid w:val="58BC103B"/>
    <w:rsid w:val="58CD5C4E"/>
    <w:rsid w:val="58E40592"/>
    <w:rsid w:val="58F9403E"/>
    <w:rsid w:val="59D2488F"/>
    <w:rsid w:val="5A0E3BCE"/>
    <w:rsid w:val="5A5F6122"/>
    <w:rsid w:val="5AF53A87"/>
    <w:rsid w:val="5B3D683F"/>
    <w:rsid w:val="5B4C1654"/>
    <w:rsid w:val="5B607CF8"/>
    <w:rsid w:val="5B8A3673"/>
    <w:rsid w:val="5BEC1C38"/>
    <w:rsid w:val="5BF8682E"/>
    <w:rsid w:val="5C7A6129"/>
    <w:rsid w:val="5CD765E0"/>
    <w:rsid w:val="5D317F73"/>
    <w:rsid w:val="5D610403"/>
    <w:rsid w:val="5E624433"/>
    <w:rsid w:val="5E6A3173"/>
    <w:rsid w:val="5E912F6A"/>
    <w:rsid w:val="5EAC1B52"/>
    <w:rsid w:val="5F0B6879"/>
    <w:rsid w:val="5F3C4E3E"/>
    <w:rsid w:val="5FEE6985"/>
    <w:rsid w:val="601570D8"/>
    <w:rsid w:val="60206354"/>
    <w:rsid w:val="60490CEC"/>
    <w:rsid w:val="60C05441"/>
    <w:rsid w:val="621912AD"/>
    <w:rsid w:val="629F51E1"/>
    <w:rsid w:val="634343CD"/>
    <w:rsid w:val="63546E84"/>
    <w:rsid w:val="63847AD9"/>
    <w:rsid w:val="63860BC4"/>
    <w:rsid w:val="63CA7B95"/>
    <w:rsid w:val="63E27E8B"/>
    <w:rsid w:val="63E678B4"/>
    <w:rsid w:val="63F4600E"/>
    <w:rsid w:val="63FC3E19"/>
    <w:rsid w:val="6412144A"/>
    <w:rsid w:val="642301C1"/>
    <w:rsid w:val="657038D9"/>
    <w:rsid w:val="65A51A6C"/>
    <w:rsid w:val="65E63B9C"/>
    <w:rsid w:val="65F406D1"/>
    <w:rsid w:val="666920D7"/>
    <w:rsid w:val="66952ECC"/>
    <w:rsid w:val="672F2593"/>
    <w:rsid w:val="677F7E04"/>
    <w:rsid w:val="678C42CF"/>
    <w:rsid w:val="67D143D7"/>
    <w:rsid w:val="68224C33"/>
    <w:rsid w:val="68617509"/>
    <w:rsid w:val="68E352A2"/>
    <w:rsid w:val="68EA39A3"/>
    <w:rsid w:val="68F33297"/>
    <w:rsid w:val="69020CEC"/>
    <w:rsid w:val="690C1F68"/>
    <w:rsid w:val="693E01B9"/>
    <w:rsid w:val="69A01157"/>
    <w:rsid w:val="69E76134"/>
    <w:rsid w:val="6A8B4D12"/>
    <w:rsid w:val="6AB57FE0"/>
    <w:rsid w:val="6ABA195F"/>
    <w:rsid w:val="6B670AC3"/>
    <w:rsid w:val="6B7D0AFE"/>
    <w:rsid w:val="6B8E4AB9"/>
    <w:rsid w:val="6BAF4AC6"/>
    <w:rsid w:val="6C0C1250"/>
    <w:rsid w:val="6C69135C"/>
    <w:rsid w:val="6C6E0447"/>
    <w:rsid w:val="6CC22541"/>
    <w:rsid w:val="6D111B2A"/>
    <w:rsid w:val="6D252BC8"/>
    <w:rsid w:val="6D41296A"/>
    <w:rsid w:val="6D711AC2"/>
    <w:rsid w:val="6DC46050"/>
    <w:rsid w:val="6DDD7632"/>
    <w:rsid w:val="6E4111F0"/>
    <w:rsid w:val="6EFE3E93"/>
    <w:rsid w:val="6F60051B"/>
    <w:rsid w:val="6F881820"/>
    <w:rsid w:val="6FC54822"/>
    <w:rsid w:val="6FCB7F43"/>
    <w:rsid w:val="6FFE7D34"/>
    <w:rsid w:val="70127ACB"/>
    <w:rsid w:val="70390D6C"/>
    <w:rsid w:val="709B5583"/>
    <w:rsid w:val="70ED2282"/>
    <w:rsid w:val="70F52E27"/>
    <w:rsid w:val="714D4ACF"/>
    <w:rsid w:val="719A26AA"/>
    <w:rsid w:val="719A7C6D"/>
    <w:rsid w:val="71AF3FCA"/>
    <w:rsid w:val="71CF1988"/>
    <w:rsid w:val="72263DBE"/>
    <w:rsid w:val="7266237A"/>
    <w:rsid w:val="72C214EC"/>
    <w:rsid w:val="73006781"/>
    <w:rsid w:val="737E3665"/>
    <w:rsid w:val="73F76F74"/>
    <w:rsid w:val="741144D9"/>
    <w:rsid w:val="74836A59"/>
    <w:rsid w:val="75220020"/>
    <w:rsid w:val="756339FF"/>
    <w:rsid w:val="758B02BC"/>
    <w:rsid w:val="75985E0F"/>
    <w:rsid w:val="75D37C3B"/>
    <w:rsid w:val="75FC2F67"/>
    <w:rsid w:val="76007DF5"/>
    <w:rsid w:val="76472434"/>
    <w:rsid w:val="76684865"/>
    <w:rsid w:val="7682521B"/>
    <w:rsid w:val="76CA086F"/>
    <w:rsid w:val="76D10464"/>
    <w:rsid w:val="7738222A"/>
    <w:rsid w:val="777F0BBD"/>
    <w:rsid w:val="77CD6969"/>
    <w:rsid w:val="77D777E8"/>
    <w:rsid w:val="77FA5285"/>
    <w:rsid w:val="78392611"/>
    <w:rsid w:val="78436C2C"/>
    <w:rsid w:val="7879264D"/>
    <w:rsid w:val="78F4247E"/>
    <w:rsid w:val="79772A57"/>
    <w:rsid w:val="797E185A"/>
    <w:rsid w:val="7A741675"/>
    <w:rsid w:val="7B207590"/>
    <w:rsid w:val="7B8025F1"/>
    <w:rsid w:val="7BA10DE3"/>
    <w:rsid w:val="7BB919DF"/>
    <w:rsid w:val="7BF85B9E"/>
    <w:rsid w:val="7C8141C6"/>
    <w:rsid w:val="7D2B161E"/>
    <w:rsid w:val="7D690EE2"/>
    <w:rsid w:val="7D747887"/>
    <w:rsid w:val="7E713C04"/>
    <w:rsid w:val="7E8104AE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color w:val="auto"/>
      <w:kern w:val="2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951</Characters>
  <Lines>7</Lines>
  <Paragraphs>2</Paragraphs>
  <TotalTime>116</TotalTime>
  <ScaleCrop>false</ScaleCrop>
  <LinksUpToDate>false</LinksUpToDate>
  <CharactersWithSpaces>1026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2024-01-20T01:08:00Z</dcterms:created>
  <dc:creator>Data</dc:creator>
  <cp:lastModifiedBy>67</cp:lastModifiedBy>
  <cp:lastPrinted>2024-05-18T02:53:00Z</cp:lastPrinted>
  <dcterms:modified xsi:type="dcterms:W3CDTF">2026-05-21T09:34:32Z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2023-08-25T10:23:00Z</vt:filetime>
  </property>
  <property fmtid="{D5CDD505-2E9C-101B-9397-08002B2CF9AE}" pid="4" name="UsrData">
    <vt:lpwstr>64e8108ff7cc97001fbc8a0c</vt:lpwstr>
  </property>
  <property fmtid="{D5CDD505-2E9C-101B-9397-08002B2CF9AE}" pid="5" name="KSOProductBuildVer">
    <vt:lpwstr>2052-12.1.0.26375</vt:lpwstr>
  </property>
  <property fmtid="{D5CDD505-2E9C-101B-9397-08002B2CF9AE}" pid="6" name="ICV">
    <vt:lpwstr>82E98FFE519D4AAE86756A8C79C11C04_13</vt:lpwstr>
  </property>
  <property fmtid="{D5CDD505-2E9C-101B-9397-08002B2CF9AE}" pid="7" name="KSOTemplateDocerSaveRecord">
    <vt:lpwstr>eyJoZGlkIjoiMWFkYTQyMmJjYjQyNjg2OTJmNWY0MWY1Nzk4NGE3YWEiLCJ1c2VySWQiOiIyNzA4Njc4NzYifQ==</vt:lpwstr>
  </property>
</Properties>
</file>