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8F3177" w:rsidRDefault="00D3704D" w:rsidP="00871A26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8F3177">
        <w:rPr>
          <w:rFonts w:ascii="TimesNewRoman" w:hAnsi="宋体" w:hint="eastAsia"/>
          <w:b/>
          <w:sz w:val="24"/>
        </w:rPr>
        <w:t>证券代码：</w:t>
      </w:r>
      <w:r w:rsidR="009D2D7D" w:rsidRPr="008F3177">
        <w:rPr>
          <w:rFonts w:ascii="TimesNewRoman" w:hAnsi="TimesNewRoman"/>
          <w:b/>
          <w:sz w:val="24"/>
        </w:rPr>
        <w:t>688499</w:t>
      </w:r>
      <w:r w:rsidRPr="008F3177">
        <w:rPr>
          <w:rFonts w:ascii="TimesNewRoman" w:hAnsi="TimesNewRoman" w:hint="eastAsia"/>
          <w:b/>
          <w:sz w:val="24"/>
        </w:rPr>
        <w:t xml:space="preserve">                                </w:t>
      </w:r>
      <w:r w:rsidR="008F3177" w:rsidRPr="008F3177">
        <w:rPr>
          <w:rFonts w:ascii="TimesNewRoman" w:hAnsi="TimesNewRoman"/>
          <w:b/>
          <w:sz w:val="24"/>
        </w:rPr>
        <w:t xml:space="preserve">     </w:t>
      </w:r>
      <w:r w:rsidRPr="008F3177">
        <w:rPr>
          <w:rFonts w:ascii="TimesNewRoman" w:hAnsi="宋体" w:hint="eastAsia"/>
          <w:b/>
          <w:sz w:val="24"/>
        </w:rPr>
        <w:t>证券简称：</w:t>
      </w:r>
      <w:r w:rsidR="009D2D7D" w:rsidRPr="008F3177">
        <w:rPr>
          <w:rFonts w:ascii="TimesNewRoman" w:hAnsi="宋体" w:hint="eastAsia"/>
          <w:b/>
          <w:sz w:val="24"/>
        </w:rPr>
        <w:t>利元亨</w:t>
      </w:r>
    </w:p>
    <w:p w:rsidR="0076582A" w:rsidRPr="0076582A" w:rsidRDefault="009D2D7D" w:rsidP="0076582A">
      <w:pPr>
        <w:jc w:val="center"/>
        <w:rPr>
          <w:rFonts w:ascii="TimesNewRoman" w:hAnsi="宋体"/>
          <w:b/>
          <w:sz w:val="28"/>
          <w:szCs w:val="32"/>
        </w:rPr>
      </w:pPr>
      <w:r w:rsidRPr="0076582A">
        <w:rPr>
          <w:rFonts w:ascii="TimesNewRoman" w:hAnsi="宋体" w:hint="eastAsia"/>
          <w:b/>
          <w:sz w:val="28"/>
          <w:szCs w:val="32"/>
        </w:rPr>
        <w:t>广东利元亨智能装备</w:t>
      </w:r>
      <w:r w:rsidR="00E83A63" w:rsidRPr="0076582A">
        <w:rPr>
          <w:rFonts w:ascii="TimesNewRoman" w:hAnsi="宋体" w:hint="eastAsia"/>
          <w:b/>
          <w:sz w:val="28"/>
          <w:szCs w:val="32"/>
        </w:rPr>
        <w:t>股份有限公司</w:t>
      </w:r>
    </w:p>
    <w:p w:rsidR="0076582A" w:rsidRDefault="000D0CAF" w:rsidP="0076582A">
      <w:pPr>
        <w:jc w:val="center"/>
        <w:rPr>
          <w:rFonts w:ascii="TimesNewRoman" w:hAnsi="宋体"/>
          <w:b/>
          <w:sz w:val="28"/>
          <w:szCs w:val="32"/>
        </w:rPr>
      </w:pPr>
      <w:r w:rsidRPr="0076582A">
        <w:rPr>
          <w:rFonts w:ascii="TimesNewRoman" w:hAnsi="宋体" w:hint="eastAsia"/>
          <w:b/>
          <w:sz w:val="28"/>
          <w:szCs w:val="32"/>
        </w:rPr>
        <w:t>十五五·未来产业——科创企业产业迭代与创新赋能之</w:t>
      </w:r>
      <w:r w:rsidRPr="0076582A">
        <w:rPr>
          <w:rFonts w:ascii="TimesNewRoman" w:hAnsi="宋体" w:hint="eastAsia"/>
          <w:b/>
          <w:sz w:val="28"/>
          <w:szCs w:val="32"/>
        </w:rPr>
        <w:t>2025</w:t>
      </w:r>
      <w:r w:rsidRPr="0076582A">
        <w:rPr>
          <w:rFonts w:ascii="TimesNewRoman" w:hAnsi="宋体" w:hint="eastAsia"/>
          <w:b/>
          <w:sz w:val="28"/>
          <w:szCs w:val="32"/>
        </w:rPr>
        <w:t>年度智能制造行业集体业绩说明会暨</w:t>
      </w:r>
      <w:r w:rsidRPr="0076582A">
        <w:rPr>
          <w:rFonts w:ascii="TimesNewRoman" w:hAnsi="宋体" w:hint="eastAsia"/>
          <w:b/>
          <w:sz w:val="28"/>
          <w:szCs w:val="32"/>
        </w:rPr>
        <w:t>2026</w:t>
      </w:r>
      <w:r w:rsidRPr="0076582A">
        <w:rPr>
          <w:rFonts w:ascii="TimesNewRoman" w:hAnsi="宋体" w:hint="eastAsia"/>
          <w:b/>
          <w:sz w:val="28"/>
          <w:szCs w:val="32"/>
        </w:rPr>
        <w:t>年第一季度业绩说明会</w:t>
      </w:r>
    </w:p>
    <w:p w:rsidR="00D3704D" w:rsidRPr="0076582A" w:rsidRDefault="00563647" w:rsidP="0076582A">
      <w:pPr>
        <w:jc w:val="center"/>
        <w:rPr>
          <w:rFonts w:ascii="TimesNewRoman" w:hAnsi="宋体"/>
          <w:b/>
          <w:sz w:val="28"/>
          <w:szCs w:val="32"/>
        </w:rPr>
      </w:pPr>
      <w:r w:rsidRPr="0076582A">
        <w:rPr>
          <w:rFonts w:ascii="TimesNewRoman" w:hAnsi="TimesNewRoman" w:hint="eastAsia"/>
          <w:b/>
          <w:sz w:val="28"/>
          <w:szCs w:val="32"/>
        </w:rPr>
        <w:t>投资者交流记录表</w:t>
      </w:r>
    </w:p>
    <w:p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0D0CAF">
        <w:rPr>
          <w:rFonts w:ascii="TimesNewRoman" w:hAnsi="TimesNewRoman"/>
          <w:sz w:val="24"/>
        </w:rPr>
        <w:t>6</w:t>
      </w:r>
      <w:r w:rsidR="009F518A">
        <w:rPr>
          <w:rFonts w:ascii="TimesNewRoman" w:hAnsi="TimesNewRoman" w:hint="eastAsia"/>
          <w:sz w:val="24"/>
        </w:rPr>
        <w:t>-</w:t>
      </w:r>
      <w:r w:rsidR="000D0CAF">
        <w:rPr>
          <w:rFonts w:ascii="TimesNewRoman" w:hAnsi="TimesNewRoman"/>
          <w:sz w:val="24"/>
        </w:rPr>
        <w:t>05</w:t>
      </w:r>
      <w:r w:rsidR="004D2728" w:rsidRPr="004D2728">
        <w:rPr>
          <w:rFonts w:ascii="TimesNewRoman" w:hAnsi="TimesNewRoman"/>
          <w:sz w:val="24"/>
        </w:rPr>
        <w:t>00</w:t>
      </w:r>
      <w:r w:rsidR="000D0CAF">
        <w:rPr>
          <w:rFonts w:ascii="TimesNewRoman" w:hAnsi="TimesNewRoman"/>
          <w:sz w:val="24"/>
        </w:rPr>
        <w:t>1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943E94" w:rsidTr="00AA5F3D">
        <w:trPr>
          <w:trHeight w:val="2126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BB5AD9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</w:t>
            </w:r>
            <w:r w:rsidR="00D94658">
              <w:rPr>
                <w:rFonts w:ascii="TimesNewRoman" w:hAnsi="TimesNewRoman"/>
                <w:sz w:val="24"/>
              </w:rPr>
              <w:t xml:space="preserve"> </w:t>
            </w:r>
            <w:r w:rsidR="00D94658" w:rsidRPr="00D94658">
              <w:rPr>
                <w:rFonts w:ascii="TimesNewRoman" w:hAnsi="TimesNewRoman" w:hint="eastAsia"/>
                <w:sz w:val="24"/>
              </w:rPr>
              <w:t>■</w:t>
            </w:r>
            <w:r w:rsidR="00F323D2">
              <w:rPr>
                <w:rFonts w:ascii="TimesNewRoman" w:hAnsi="TimesNewRoman" w:hint="eastAsia"/>
                <w:sz w:val="24"/>
              </w:rPr>
              <w:t>业绩</w:t>
            </w:r>
            <w:r w:rsidRPr="00943E94">
              <w:rPr>
                <w:rFonts w:ascii="TimesNewRoman" w:hAnsi="宋体" w:hint="eastAsia"/>
                <w:sz w:val="24"/>
              </w:rPr>
              <w:t>说明会</w:t>
            </w:r>
          </w:p>
          <w:p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943E94" w:rsidRDefault="002726DF" w:rsidP="008C17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563647">
              <w:rPr>
                <w:rFonts w:ascii="TimesNewRoman" w:hAnsi="宋体" w:hint="eastAsia"/>
                <w:sz w:val="24"/>
              </w:rPr>
              <w:t>现场参观</w:t>
            </w:r>
            <w:r w:rsidR="00292646">
              <w:rPr>
                <w:rFonts w:ascii="TimesNewRoman" w:hAnsi="TimesNewRoman" w:hint="eastAsia"/>
                <w:sz w:val="24"/>
              </w:rPr>
              <w:t xml:space="preserve"> </w:t>
            </w:r>
            <w:r w:rsidR="00292646">
              <w:rPr>
                <w:rFonts w:ascii="TimesNewRoman" w:hAnsi="TimesNewRoman"/>
                <w:sz w:val="24"/>
              </w:rPr>
              <w:t xml:space="preserve">           </w:t>
            </w:r>
            <w:r w:rsidR="00D94658" w:rsidRPr="00943E94">
              <w:rPr>
                <w:rFonts w:ascii="TimesNewRoman" w:hAnsi="TimesNewRoman" w:hint="eastAsia"/>
                <w:sz w:val="24"/>
              </w:rPr>
              <w:t>□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其他（电话会议）</w:t>
            </w:r>
            <w:r w:rsidR="00D3704D" w:rsidRPr="00943E94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134783" w:rsidRPr="004973D8" w:rsidTr="00C4136D">
        <w:trPr>
          <w:trHeight w:val="730"/>
          <w:jc w:val="center"/>
        </w:trPr>
        <w:tc>
          <w:tcPr>
            <w:tcW w:w="1908" w:type="dxa"/>
            <w:vAlign w:val="center"/>
          </w:tcPr>
          <w:p w:rsidR="00134783" w:rsidRPr="00943E94" w:rsidRDefault="00134783" w:rsidP="00AA5F3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  <w:vAlign w:val="center"/>
          </w:tcPr>
          <w:p w:rsidR="00E772E3" w:rsidRPr="00C4136D" w:rsidRDefault="006A1665" w:rsidP="00B813B8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C4136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通过</w:t>
            </w:r>
            <w:r w:rsidR="00933C3B" w:rsidRPr="00C4136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上证路演中心</w:t>
            </w:r>
            <w:r w:rsidRPr="00C4136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网站参与</w:t>
            </w:r>
            <w:r w:rsidR="00C20F11" w:rsidRPr="00C20F1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十五五·未来产业——科创企业产业迭代与创新赋能之</w:t>
            </w:r>
            <w:r w:rsidR="00C20F11" w:rsidRPr="00C20F1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2025</w:t>
            </w:r>
            <w:r w:rsidR="00B813B8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年度智能制造行业集体业绩说明会暨</w:t>
            </w:r>
            <w:bookmarkStart w:id="0" w:name="_GoBack"/>
            <w:bookmarkEnd w:id="0"/>
            <w:r w:rsidR="00C20F11" w:rsidRPr="00C20F1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2026</w:t>
            </w:r>
            <w:r w:rsidR="00C20F11" w:rsidRPr="00C20F1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年第一季度业绩说明会</w:t>
            </w:r>
            <w:r w:rsidR="0097008B" w:rsidRPr="00C4136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的投资者</w:t>
            </w:r>
          </w:p>
        </w:tc>
      </w:tr>
      <w:tr w:rsidR="00D3704D" w:rsidRPr="00943E94" w:rsidTr="00AA5F3D">
        <w:trPr>
          <w:trHeight w:val="638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AA5F3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:rsidR="00D3704D" w:rsidRPr="00943E94" w:rsidRDefault="004A7ECB" w:rsidP="00F34E07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202</w:t>
            </w:r>
            <w:r w:rsidR="00C20F11">
              <w:rPr>
                <w:rFonts w:ascii="TimesNewRoman" w:hAnsi="TimesNewRoman"/>
                <w:sz w:val="24"/>
              </w:rPr>
              <w:t>6</w:t>
            </w:r>
            <w:r w:rsidR="00DF0E3E" w:rsidRPr="00DF0E3E">
              <w:rPr>
                <w:rFonts w:ascii="TimesNewRoman" w:hAnsi="TimesNewRoman" w:hint="eastAsia"/>
                <w:sz w:val="24"/>
              </w:rPr>
              <w:t>年</w:t>
            </w:r>
            <w:r w:rsidR="00C20F11">
              <w:rPr>
                <w:rFonts w:ascii="TimesNewRoman" w:hAnsi="TimesNewRoman"/>
                <w:sz w:val="24"/>
              </w:rPr>
              <w:t>05</w:t>
            </w:r>
            <w:r w:rsidR="00DF0E3E" w:rsidRPr="00DF0E3E">
              <w:rPr>
                <w:rFonts w:ascii="TimesNewRoman" w:hAnsi="TimesNewRoman" w:hint="eastAsia"/>
                <w:sz w:val="24"/>
              </w:rPr>
              <w:t>月</w:t>
            </w:r>
            <w:r w:rsidR="00C20F11">
              <w:rPr>
                <w:rFonts w:ascii="TimesNewRoman" w:hAnsi="TimesNewRoman"/>
                <w:sz w:val="24"/>
              </w:rPr>
              <w:t>22</w:t>
            </w:r>
            <w:r w:rsidR="00960BBD">
              <w:rPr>
                <w:rFonts w:ascii="TimesNewRoman" w:hAnsi="TimesNewRoman" w:hint="eastAsia"/>
                <w:sz w:val="24"/>
              </w:rPr>
              <w:t>日</w:t>
            </w:r>
            <w:r w:rsidR="007403E6">
              <w:rPr>
                <w:rFonts w:ascii="TimesNewRoman" w:hAnsi="TimesNewRoman" w:hint="eastAsia"/>
                <w:sz w:val="24"/>
              </w:rPr>
              <w:t xml:space="preserve"> </w:t>
            </w:r>
            <w:r w:rsidR="00C20F11">
              <w:rPr>
                <w:rFonts w:ascii="TimesNewRoman" w:hAnsi="TimesNewRoman"/>
                <w:sz w:val="24"/>
              </w:rPr>
              <w:t>15</w:t>
            </w:r>
            <w:r w:rsidR="007403E6">
              <w:rPr>
                <w:rFonts w:ascii="TimesNewRoman" w:hAnsi="TimesNewRoman" w:hint="eastAsia"/>
                <w:sz w:val="24"/>
              </w:rPr>
              <w:t>:00</w:t>
            </w:r>
            <w:r w:rsidR="007403E6">
              <w:rPr>
                <w:rFonts w:ascii="TimesNewRoman" w:hAnsi="TimesNewRoman"/>
                <w:sz w:val="24"/>
              </w:rPr>
              <w:t>-17</w:t>
            </w:r>
            <w:r w:rsidR="007403E6">
              <w:rPr>
                <w:rFonts w:ascii="TimesNewRoman" w:hAnsi="TimesNewRoman" w:hint="eastAsia"/>
                <w:sz w:val="24"/>
              </w:rPr>
              <w:t>:0</w:t>
            </w:r>
            <w:r w:rsidR="007403E6">
              <w:rPr>
                <w:rFonts w:ascii="TimesNewRoman" w:hAnsi="TimesNewRoman"/>
                <w:sz w:val="24"/>
              </w:rPr>
              <w:t>0</w:t>
            </w:r>
          </w:p>
        </w:tc>
      </w:tr>
      <w:tr w:rsidR="00D3704D" w:rsidRPr="00943E94" w:rsidTr="00AA5F3D">
        <w:trPr>
          <w:trHeight w:val="590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AA5F3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:rsidR="00D3704D" w:rsidRPr="00943E94" w:rsidRDefault="00933C3B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上证路演中心（</w:t>
            </w:r>
            <w:r w:rsidRPr="00933C3B">
              <w:rPr>
                <w:rFonts w:ascii="TimesNewRoman" w:hAnsi="TimesNewRoman" w:hint="eastAsia"/>
                <w:sz w:val="24"/>
              </w:rPr>
              <w:t>https://roadshow.sseinfo.com/</w:t>
            </w:r>
            <w:r w:rsidRPr="00933C3B">
              <w:rPr>
                <w:rFonts w:ascii="TimesNewRoman" w:hAnsi="TimesNewRoman" w:hint="eastAsia"/>
                <w:sz w:val="24"/>
              </w:rPr>
              <w:t>）</w:t>
            </w:r>
          </w:p>
        </w:tc>
      </w:tr>
      <w:tr w:rsidR="00D3704D" w:rsidRPr="00C20F11" w:rsidTr="00AA5F3D">
        <w:trPr>
          <w:trHeight w:val="2018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AA5F3D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:rsidR="0097008B" w:rsidRDefault="0097008B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AE7BA9">
              <w:rPr>
                <w:rFonts w:ascii="TimesNewRoman" w:hAnsi="宋体" w:hint="eastAsia"/>
                <w:sz w:val="24"/>
              </w:rPr>
              <w:t>广东利元亨智能装备股份有限公司</w:t>
            </w:r>
            <w:r>
              <w:rPr>
                <w:rFonts w:ascii="TimesNewRoman" w:hAnsi="宋体" w:hint="eastAsia"/>
                <w:sz w:val="24"/>
              </w:rPr>
              <w:t>董事长兼总裁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>
              <w:rPr>
                <w:rFonts w:ascii="TimesNewRoman" w:hAnsi="宋体" w:hint="eastAsia"/>
                <w:sz w:val="24"/>
              </w:rPr>
              <w:t>周俊雄</w:t>
            </w:r>
          </w:p>
          <w:p w:rsidR="0097008B" w:rsidRDefault="0097008B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AE7BA9">
              <w:rPr>
                <w:rFonts w:ascii="TimesNewRoman" w:hAnsi="宋体" w:hint="eastAsia"/>
                <w:sz w:val="24"/>
              </w:rPr>
              <w:t>广东利元亨智能装备股份有限公司</w:t>
            </w:r>
            <w:r w:rsidR="00B11AD4">
              <w:rPr>
                <w:rFonts w:ascii="TimesNewRoman" w:hAnsi="宋体" w:hint="eastAsia"/>
                <w:sz w:val="24"/>
              </w:rPr>
              <w:t>副总裁兼财务总监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="00B11AD4">
              <w:rPr>
                <w:rFonts w:ascii="TimesNewRoman" w:hAnsi="宋体" w:hint="eastAsia"/>
                <w:sz w:val="24"/>
              </w:rPr>
              <w:t>高雪松</w:t>
            </w:r>
          </w:p>
          <w:p w:rsidR="004A7ECB" w:rsidRDefault="00AE7BA9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AE7BA9">
              <w:rPr>
                <w:rFonts w:ascii="TimesNewRoman" w:hAnsi="宋体" w:hint="eastAsia"/>
                <w:sz w:val="24"/>
              </w:rPr>
              <w:t>广东利元亨智能装备股份有限公司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:rsidR="00B11AD4" w:rsidRDefault="00B11AD4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</w:t>
            </w:r>
            <w:r w:rsidR="00FB0479">
              <w:rPr>
                <w:rFonts w:ascii="TimesNewRoman" w:hAnsi="宋体" w:hint="eastAsia"/>
                <w:sz w:val="24"/>
              </w:rPr>
              <w:t>利元亨智能装备股份有限公司独立董事</w:t>
            </w:r>
            <w:r w:rsidR="00E512BE">
              <w:rPr>
                <w:rFonts w:ascii="TimesNewRoman" w:hAnsi="宋体" w:hint="eastAsia"/>
                <w:sz w:val="24"/>
              </w:rPr>
              <w:t xml:space="preserve"> </w:t>
            </w:r>
            <w:r w:rsidR="00E512BE" w:rsidRPr="00C20F11">
              <w:rPr>
                <w:rFonts w:ascii="TimesNewRoman" w:hAnsi="宋体" w:hint="eastAsia"/>
                <w:sz w:val="24"/>
              </w:rPr>
              <w:t>聂新军</w:t>
            </w:r>
          </w:p>
          <w:p w:rsidR="00933C3B" w:rsidRDefault="00933C3B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广东利元亨智能装备股份有限公司独立董事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 w:rsidR="00E512BE">
              <w:rPr>
                <w:rFonts w:ascii="TimesNewRoman" w:hAnsi="宋体" w:hint="eastAsia"/>
                <w:sz w:val="24"/>
              </w:rPr>
              <w:t>于清教</w:t>
            </w:r>
          </w:p>
          <w:p w:rsidR="00C20F11" w:rsidRPr="00933C3B" w:rsidRDefault="00C20F11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广东利元亨智能装备股份有限公司独立董事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 w:rsidR="00E512BE">
              <w:rPr>
                <w:rFonts w:ascii="TimesNewRoman" w:hAnsi="宋体" w:hint="eastAsia"/>
                <w:sz w:val="24"/>
              </w:rPr>
              <w:t>张小伟</w:t>
            </w:r>
          </w:p>
        </w:tc>
      </w:tr>
      <w:tr w:rsidR="00CC352C" w:rsidRPr="00943E94" w:rsidTr="00181E94">
        <w:trPr>
          <w:trHeight w:val="706"/>
          <w:jc w:val="center"/>
        </w:trPr>
        <w:tc>
          <w:tcPr>
            <w:tcW w:w="1908" w:type="dxa"/>
            <w:vAlign w:val="center"/>
          </w:tcPr>
          <w:p w:rsidR="00CC352C" w:rsidRPr="00943E94" w:rsidRDefault="00CC352C" w:rsidP="00CC352C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DE27EC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:rsidR="00CC352C" w:rsidRPr="00E512BE" w:rsidRDefault="00CC352C" w:rsidP="00933C3B">
            <w:pPr>
              <w:spacing w:line="480" w:lineRule="atLeast"/>
              <w:ind w:firstLineChars="200" w:firstLine="482"/>
              <w:rPr>
                <w:rFonts w:eastAsiaTheme="minorEastAsia"/>
                <w:b/>
                <w:sz w:val="24"/>
                <w:szCs w:val="24"/>
              </w:rPr>
            </w:pPr>
            <w:bookmarkStart w:id="1" w:name="OLE_LINK6"/>
            <w:bookmarkStart w:id="2" w:name="OLE_LINK7"/>
            <w:r w:rsidRPr="00E512BE">
              <w:rPr>
                <w:rFonts w:eastAsiaTheme="minorEastAsia"/>
                <w:b/>
                <w:sz w:val="24"/>
                <w:szCs w:val="24"/>
              </w:rPr>
              <w:t>问题：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请问贵公司本期财务报告中，盈利表现如何？谢谢。</w:t>
            </w:r>
          </w:p>
          <w:p w:rsidR="00BF016A" w:rsidRPr="00E512BE" w:rsidRDefault="00CC352C" w:rsidP="00BF016A">
            <w:pPr>
              <w:spacing w:line="480" w:lineRule="atLeast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答：</w:t>
            </w:r>
            <w:bookmarkEnd w:id="1"/>
            <w:bookmarkEnd w:id="2"/>
            <w:r w:rsidR="00BF016A" w:rsidRPr="00E512BE">
              <w:rPr>
                <w:rFonts w:eastAsiaTheme="minorEastAsia"/>
                <w:sz w:val="24"/>
                <w:szCs w:val="24"/>
              </w:rPr>
              <w:t>尊敬的投资者您好！公司营收稳健增长，盈利能力显著提升。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2025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年全年，公司营业收入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30.77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亿元，同比增长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23.98%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，归母净利润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5,150.61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万元。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2026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年第一季度，公司营业收入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8.75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亿元，同比增长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22.43%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；归母净利润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1,887.74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万元，同比增长</w:t>
            </w:r>
            <w:r w:rsidR="00BF016A" w:rsidRPr="00E512BE">
              <w:rPr>
                <w:rFonts w:eastAsiaTheme="minorEastAsia"/>
                <w:sz w:val="24"/>
                <w:szCs w:val="24"/>
              </w:rPr>
              <w:lastRenderedPageBreak/>
              <w:t>47.25%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；扣非净利润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1,855.21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万元，同比增长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79.72%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，利润增速高于收入增速，盈利质量持续改善。主要得益于锂电行业景气度延续，同时公司深化提质增效举措，降本增效成果显著。感谢关注！</w:t>
            </w:r>
          </w:p>
          <w:p w:rsidR="00197937" w:rsidRPr="00E512BE" w:rsidRDefault="00C82970" w:rsidP="00BF016A">
            <w:pPr>
              <w:spacing w:beforeLines="50" w:before="156" w:line="480" w:lineRule="atLeast"/>
              <w:ind w:firstLineChars="200" w:firstLine="482"/>
              <w:rPr>
                <w:rFonts w:eastAsiaTheme="minorEastAsia"/>
                <w:b/>
                <w:sz w:val="24"/>
                <w:szCs w:val="24"/>
              </w:rPr>
            </w:pPr>
            <w:r w:rsidRPr="00E512BE">
              <w:rPr>
                <w:rFonts w:eastAsiaTheme="minorEastAsia"/>
                <w:b/>
                <w:sz w:val="24"/>
                <w:szCs w:val="24"/>
              </w:rPr>
              <w:t>问题：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请问贵公司未来盈利增长的主要驱动因素有哪些？</w:t>
            </w:r>
          </w:p>
          <w:p w:rsidR="00171AC7" w:rsidRPr="00E512BE" w:rsidRDefault="002B7BC0" w:rsidP="00D22AC0">
            <w:pPr>
              <w:spacing w:line="480" w:lineRule="atLeast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答</w:t>
            </w:r>
            <w:r w:rsidR="00290376" w:rsidRPr="00E512BE">
              <w:rPr>
                <w:rFonts w:eastAsiaTheme="minorEastAsia"/>
                <w:sz w:val="24"/>
                <w:szCs w:val="24"/>
              </w:rPr>
              <w:t>：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尊敬的投资者您好！行业整体处于上行景气周期，公司未来盈利增长主要围绕三个方向驱动。收入端，将结合行业发展态势，逐步扩大产品领域、客户和机型，持续提升高附加值业务占比，通过核心技术迭代增强产品竞争力与溢价能力，从源头改善盈利空间。成本端，深化全面预算管理与精细化管控，依托技术降本、供应链优化与生产效能提升，巩固规模效应。增量端，固态电池设备方面等静压、胶框印刷等核心工艺获得客户认可，储能领域持续拓展国内主要储能客户；智慧工厂及自动化产线成功交付北美、欧洲项目，海外业务加速拓展。消费与动力基本盘提质，叠加新业务多点放量，共同驱动公司盈利水平向更高台阶迈进。感谢关注！</w:t>
            </w:r>
          </w:p>
          <w:p w:rsidR="00BD0664" w:rsidRPr="00E512BE" w:rsidRDefault="00290376" w:rsidP="00933C3B">
            <w:pPr>
              <w:spacing w:beforeLines="50" w:before="156" w:line="480" w:lineRule="atLeast"/>
              <w:ind w:firstLineChars="200" w:firstLine="482"/>
              <w:rPr>
                <w:rFonts w:eastAsiaTheme="minorEastAsia"/>
                <w:b/>
                <w:sz w:val="24"/>
                <w:szCs w:val="24"/>
              </w:rPr>
            </w:pPr>
            <w:bookmarkStart w:id="3" w:name="OLE_LINK3"/>
            <w:bookmarkStart w:id="4" w:name="OLE_LINK4"/>
            <w:r w:rsidRPr="00E512BE">
              <w:rPr>
                <w:rFonts w:eastAsiaTheme="minorEastAsia"/>
                <w:b/>
                <w:sz w:val="24"/>
                <w:szCs w:val="24"/>
              </w:rPr>
              <w:t>问题：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请问您如何看待行业未来的发展前景？</w:t>
            </w:r>
          </w:p>
          <w:p w:rsidR="00197937" w:rsidRPr="00E512BE" w:rsidRDefault="002B7BC0" w:rsidP="00D22AC0">
            <w:pPr>
              <w:spacing w:line="480" w:lineRule="atLeast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答：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尊敬的投资者您好！我们对智能制造行业，尤其是锂电装备领域的发展前景持积极态度。从短期看，消费锂电正迎来新一轮扩产周期，下游终端新品对钢壳电池、异形电池、硅碳负极等新工艺的需求，将直接拉动设备更新与增量采购。从中期看，固态电池产业化进程明显加快，更高产能的中试线及量产线需求在陆续增加，具备整线交付能力的设备企业将率先受益。此外，储能市场的持续扩张以及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AI</w:t>
            </w:r>
            <w:r w:rsidR="00BF016A" w:rsidRPr="00E512BE">
              <w:rPr>
                <w:rFonts w:eastAsiaTheme="minorEastAsia"/>
                <w:sz w:val="24"/>
                <w:szCs w:val="24"/>
              </w:rPr>
              <w:t>算力相关自动化需求的释放，也为行业提供了新的增长空间。从长期看，海外产能建设趋势明确，国内设备企业凭借技术、成本和交付效率优势，有望在全球化布局中持续获取增量订单。当然，行业竞争也在加剧，技术迭代速度快，只有持续研发、严控质量、聚焦优质客户的企业才能行稳致远。公司将紧跟行业趋势，巩固消费与动力锂电基本盘，加快固态、储能、智慧物流等新业务落地，并积极拓展海外市场，不断提升盈利能力和抗风险能力。</w:t>
            </w:r>
            <w:r w:rsidR="00BF016A" w:rsidRPr="00E512BE">
              <w:rPr>
                <w:rFonts w:eastAsiaTheme="minorEastAsia"/>
                <w:sz w:val="24"/>
                <w:szCs w:val="24"/>
              </w:rPr>
              <w:lastRenderedPageBreak/>
              <w:t>感谢关注！</w:t>
            </w:r>
          </w:p>
          <w:p w:rsidR="00E9753B" w:rsidRPr="00E512BE" w:rsidRDefault="00E9753B" w:rsidP="00933C3B">
            <w:pPr>
              <w:spacing w:beforeLines="50" w:before="156" w:line="480" w:lineRule="atLeast"/>
              <w:ind w:firstLineChars="200" w:firstLine="482"/>
              <w:rPr>
                <w:rFonts w:eastAsiaTheme="minorEastAsia"/>
                <w:b/>
                <w:sz w:val="24"/>
                <w:szCs w:val="24"/>
              </w:rPr>
            </w:pPr>
            <w:bookmarkStart w:id="5" w:name="OLE_LINK5"/>
            <w:bookmarkStart w:id="6" w:name="OLE_LINK8"/>
            <w:bookmarkEnd w:id="3"/>
            <w:bookmarkEnd w:id="4"/>
            <w:r w:rsidRPr="00E512BE">
              <w:rPr>
                <w:rFonts w:eastAsiaTheme="minorEastAsia"/>
                <w:b/>
                <w:sz w:val="24"/>
                <w:szCs w:val="24"/>
              </w:rPr>
              <w:t>问题：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站在当前时点，贵公司认为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2026</w:t>
            </w:r>
            <w:r w:rsidR="00BF016A" w:rsidRPr="00E512BE">
              <w:rPr>
                <w:rFonts w:eastAsiaTheme="minorEastAsia"/>
                <w:b/>
                <w:sz w:val="24"/>
                <w:szCs w:val="24"/>
              </w:rPr>
              <w:t>年智能制造行业最大的机遇和挑战分别是什么？公司的核心增长看点和战略规划有哪些？</w:t>
            </w:r>
          </w:p>
          <w:bookmarkEnd w:id="5"/>
          <w:bookmarkEnd w:id="6"/>
          <w:p w:rsidR="003267CF" w:rsidRPr="00E512BE" w:rsidRDefault="00D92AB4" w:rsidP="003267CF">
            <w:pPr>
              <w:spacing w:line="480" w:lineRule="atLeast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答：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尊敬的投资者您好！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2026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年智能制造行业机遇与挑战并存。机遇方面，一是消费锂电进入新一轮扩产周期，终端新品对钢壳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/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异形电池、硅碳负极等新工艺的需求拉动设备更新；二是固态电池产业化加速，百兆瓦级中试线需求显著增加，为具备整线交付能力的设备企业带来先发优势；三是储能及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AI</w:t>
            </w:r>
            <w:r w:rsidR="003267CF" w:rsidRPr="00E512BE">
              <w:rPr>
                <w:rFonts w:eastAsiaTheme="minorEastAsia"/>
                <w:sz w:val="24"/>
                <w:szCs w:val="24"/>
              </w:rPr>
              <w:t>算力相关自动化需求持续释放，海外产能建设带动设备出海。挑战方面，行业竞争加剧，下游客户扩产节奏存在不确定性，技术路线快速迭代要求企业持续高强度研发投入。</w:t>
            </w:r>
          </w:p>
          <w:p w:rsidR="003267CF" w:rsidRPr="00E512BE" w:rsidRDefault="003267CF" w:rsidP="003267CF">
            <w:pPr>
              <w:spacing w:line="480" w:lineRule="atLeast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公司核心增长看点：消费锂电领域，公司从中后段延伸至前段涂布、辊压、分切设备，与核心客户联合研发的新一代设备已完成出样验证；动力锂电聚焦头部客户，严控接单质量；固态电池已实现整线交付，等静压、胶框印刷等核心工艺获得客户认可；储能及智慧物流业务稳步推进，海外项目成功交付并持续拓展。</w:t>
            </w:r>
          </w:p>
          <w:p w:rsidR="00337DBF" w:rsidRPr="00E512BE" w:rsidRDefault="003267CF" w:rsidP="003267CF">
            <w:pPr>
              <w:spacing w:line="480" w:lineRule="atLeast"/>
              <w:ind w:firstLineChars="200" w:firstLine="480"/>
              <w:rPr>
                <w:rFonts w:eastAsiaTheme="minorEastAsia"/>
                <w:b/>
                <w:sz w:val="24"/>
                <w:szCs w:val="24"/>
              </w:rPr>
            </w:pPr>
            <w:r w:rsidRPr="00E512BE">
              <w:rPr>
                <w:rFonts w:eastAsiaTheme="minorEastAsia"/>
                <w:sz w:val="24"/>
                <w:szCs w:val="24"/>
              </w:rPr>
              <w:t>战略规划方面，公司将继续坚持：一是深耕消费及动力锂电基本盘，提升高附加值业务占比；二是加速固态、储能、智慧物流等新业务放量；三是拓展海外市场，完善本地化服务能力；四是持续推动内部降本增效，优化人均产出与费用率，驱动盈利水平稳步提升。感谢关注！</w:t>
            </w:r>
          </w:p>
        </w:tc>
      </w:tr>
      <w:tr w:rsidR="006D6628" w:rsidRPr="00943E94" w:rsidTr="006D6628">
        <w:trPr>
          <w:trHeight w:val="706"/>
          <w:jc w:val="center"/>
        </w:trPr>
        <w:tc>
          <w:tcPr>
            <w:tcW w:w="1908" w:type="dxa"/>
            <w:vAlign w:val="center"/>
          </w:tcPr>
          <w:p w:rsidR="006D6628" w:rsidRPr="00DE27EC" w:rsidRDefault="006D6628" w:rsidP="00CC352C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  <w:vAlign w:val="center"/>
          </w:tcPr>
          <w:p w:rsidR="006D6628" w:rsidRPr="00CD62EC" w:rsidRDefault="006D6628" w:rsidP="006D6628">
            <w:pPr>
              <w:spacing w:line="48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62EC">
              <w:rPr>
                <w:rFonts w:asciiTheme="minorEastAsia" w:eastAsia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CC352C" w:rsidRPr="00943E94" w:rsidTr="00933C3B">
        <w:trPr>
          <w:trHeight w:val="706"/>
          <w:jc w:val="center"/>
        </w:trPr>
        <w:tc>
          <w:tcPr>
            <w:tcW w:w="1908" w:type="dxa"/>
            <w:vAlign w:val="center"/>
          </w:tcPr>
          <w:p w:rsidR="00CC352C" w:rsidRPr="00943E94" w:rsidRDefault="00CC352C" w:rsidP="00933C3B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  <w:vAlign w:val="center"/>
          </w:tcPr>
          <w:p w:rsidR="00CC352C" w:rsidRPr="00943E94" w:rsidRDefault="003267CF" w:rsidP="00CC352C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>
              <w:rPr>
                <w:rFonts w:ascii="TimesNewRoman" w:hAnsi="TimesNewRoman" w:hint="eastAsia"/>
                <w:sz w:val="24"/>
              </w:rPr>
              <w:t>202</w:t>
            </w:r>
            <w:r>
              <w:rPr>
                <w:rFonts w:ascii="TimesNewRoman" w:hAnsi="TimesNewRoman"/>
                <w:sz w:val="24"/>
              </w:rPr>
              <w:t>6</w:t>
            </w:r>
            <w:r w:rsidR="003548C0" w:rsidRPr="003548C0">
              <w:rPr>
                <w:rFonts w:ascii="TimesNewRoman" w:hAnsi="TimesNewRoman" w:hint="eastAsia"/>
                <w:sz w:val="24"/>
              </w:rPr>
              <w:t>年</w:t>
            </w:r>
            <w:r>
              <w:rPr>
                <w:rFonts w:ascii="TimesNewRoman" w:hAnsi="TimesNewRoman"/>
                <w:sz w:val="24"/>
              </w:rPr>
              <w:t>05</w:t>
            </w:r>
            <w:r w:rsidR="003548C0" w:rsidRPr="003548C0">
              <w:rPr>
                <w:rFonts w:ascii="TimesNewRoman" w:hAnsi="TimesNewRoman" w:hint="eastAsia"/>
                <w:sz w:val="24"/>
              </w:rPr>
              <w:t>月</w:t>
            </w:r>
            <w:r>
              <w:rPr>
                <w:rFonts w:ascii="TimesNewRoman" w:hAnsi="TimesNewRoman"/>
                <w:sz w:val="24"/>
              </w:rPr>
              <w:t>22</w:t>
            </w:r>
            <w:r w:rsidR="003548C0" w:rsidRPr="003548C0">
              <w:rPr>
                <w:rFonts w:ascii="TimesNewRoman" w:hAnsi="TimesNewRoman" w:hint="eastAsia"/>
                <w:sz w:val="24"/>
              </w:rPr>
              <w:t>日</w:t>
            </w:r>
            <w:r w:rsidR="00933C3B">
              <w:rPr>
                <w:rFonts w:ascii="TimesNewRoman" w:hAnsi="TimesNewRoman" w:hint="eastAsia"/>
                <w:sz w:val="24"/>
              </w:rPr>
              <w:t xml:space="preserve"> 1</w:t>
            </w:r>
            <w:r>
              <w:rPr>
                <w:rFonts w:ascii="TimesNewRoman" w:hAnsi="TimesNewRoman"/>
                <w:sz w:val="24"/>
              </w:rPr>
              <w:t>5</w:t>
            </w:r>
            <w:r w:rsidR="003548C0" w:rsidRPr="003548C0">
              <w:rPr>
                <w:rFonts w:ascii="TimesNewRoman" w:hAnsi="TimesNewRoman" w:hint="eastAsia"/>
                <w:sz w:val="24"/>
              </w:rPr>
              <w:t>:00-17:00</w:t>
            </w:r>
          </w:p>
        </w:tc>
      </w:tr>
    </w:tbl>
    <w:p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40" w:rsidRDefault="007B6540" w:rsidP="00D3704D">
      <w:r>
        <w:separator/>
      </w:r>
    </w:p>
  </w:endnote>
  <w:endnote w:type="continuationSeparator" w:id="0">
    <w:p w:rsidR="007B6540" w:rsidRDefault="007B6540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3B8" w:rsidRPr="00B813B8">
          <w:rPr>
            <w:noProof/>
            <w:lang w:val="zh-CN"/>
          </w:rPr>
          <w:t>2</w:t>
        </w:r>
        <w:r>
          <w:fldChar w:fldCharType="end"/>
        </w:r>
      </w:p>
    </w:sdtContent>
  </w:sdt>
  <w:p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40" w:rsidRDefault="007B6540" w:rsidP="00D3704D">
      <w:r>
        <w:separator/>
      </w:r>
    </w:p>
  </w:footnote>
  <w:footnote w:type="continuationSeparator" w:id="0">
    <w:p w:rsidR="007B6540" w:rsidRDefault="007B6540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4D"/>
    <w:rsid w:val="00007235"/>
    <w:rsid w:val="00007434"/>
    <w:rsid w:val="00007A64"/>
    <w:rsid w:val="0001134B"/>
    <w:rsid w:val="0001191E"/>
    <w:rsid w:val="00012E92"/>
    <w:rsid w:val="00016D7C"/>
    <w:rsid w:val="00022326"/>
    <w:rsid w:val="000235A1"/>
    <w:rsid w:val="00032D68"/>
    <w:rsid w:val="000335F6"/>
    <w:rsid w:val="00036D0D"/>
    <w:rsid w:val="00037659"/>
    <w:rsid w:val="00041BD6"/>
    <w:rsid w:val="0004414C"/>
    <w:rsid w:val="00045A41"/>
    <w:rsid w:val="00051230"/>
    <w:rsid w:val="00053E02"/>
    <w:rsid w:val="000649C3"/>
    <w:rsid w:val="0007293B"/>
    <w:rsid w:val="0007604F"/>
    <w:rsid w:val="00081817"/>
    <w:rsid w:val="00082349"/>
    <w:rsid w:val="00082551"/>
    <w:rsid w:val="000846EC"/>
    <w:rsid w:val="0009127C"/>
    <w:rsid w:val="00094F01"/>
    <w:rsid w:val="00096388"/>
    <w:rsid w:val="000963FF"/>
    <w:rsid w:val="000A17B7"/>
    <w:rsid w:val="000A6856"/>
    <w:rsid w:val="000A74FD"/>
    <w:rsid w:val="000B0A61"/>
    <w:rsid w:val="000B609D"/>
    <w:rsid w:val="000B773C"/>
    <w:rsid w:val="000C4258"/>
    <w:rsid w:val="000D0CAF"/>
    <w:rsid w:val="000D0E7C"/>
    <w:rsid w:val="000D29EC"/>
    <w:rsid w:val="00100FB7"/>
    <w:rsid w:val="00101154"/>
    <w:rsid w:val="00103433"/>
    <w:rsid w:val="00105146"/>
    <w:rsid w:val="00106892"/>
    <w:rsid w:val="001123B3"/>
    <w:rsid w:val="00113756"/>
    <w:rsid w:val="00120DE0"/>
    <w:rsid w:val="001254C0"/>
    <w:rsid w:val="00126989"/>
    <w:rsid w:val="00132274"/>
    <w:rsid w:val="00134783"/>
    <w:rsid w:val="00136249"/>
    <w:rsid w:val="00136A3B"/>
    <w:rsid w:val="00140353"/>
    <w:rsid w:val="00141F83"/>
    <w:rsid w:val="0014748C"/>
    <w:rsid w:val="00163F1B"/>
    <w:rsid w:val="00164245"/>
    <w:rsid w:val="00164FB8"/>
    <w:rsid w:val="001662AD"/>
    <w:rsid w:val="00171AC7"/>
    <w:rsid w:val="00174E5B"/>
    <w:rsid w:val="00174EF1"/>
    <w:rsid w:val="001752A3"/>
    <w:rsid w:val="0018028C"/>
    <w:rsid w:val="00180911"/>
    <w:rsid w:val="00182218"/>
    <w:rsid w:val="001828EB"/>
    <w:rsid w:val="0019579C"/>
    <w:rsid w:val="001964FB"/>
    <w:rsid w:val="00197937"/>
    <w:rsid w:val="001A5A36"/>
    <w:rsid w:val="001C2898"/>
    <w:rsid w:val="001C6B27"/>
    <w:rsid w:val="001C6DC4"/>
    <w:rsid w:val="001E10E0"/>
    <w:rsid w:val="001F4725"/>
    <w:rsid w:val="00206444"/>
    <w:rsid w:val="002137E2"/>
    <w:rsid w:val="00223416"/>
    <w:rsid w:val="002264AA"/>
    <w:rsid w:val="00241ED6"/>
    <w:rsid w:val="00242AEF"/>
    <w:rsid w:val="00244464"/>
    <w:rsid w:val="00245D35"/>
    <w:rsid w:val="00246516"/>
    <w:rsid w:val="00256CBC"/>
    <w:rsid w:val="002628C2"/>
    <w:rsid w:val="002629C2"/>
    <w:rsid w:val="002633B7"/>
    <w:rsid w:val="00271274"/>
    <w:rsid w:val="002713D9"/>
    <w:rsid w:val="002726DF"/>
    <w:rsid w:val="002749ED"/>
    <w:rsid w:val="00281C82"/>
    <w:rsid w:val="00290376"/>
    <w:rsid w:val="002910E9"/>
    <w:rsid w:val="00292646"/>
    <w:rsid w:val="002932A1"/>
    <w:rsid w:val="00293E74"/>
    <w:rsid w:val="002941F4"/>
    <w:rsid w:val="002A5EDA"/>
    <w:rsid w:val="002B0986"/>
    <w:rsid w:val="002B0EC6"/>
    <w:rsid w:val="002B2BC2"/>
    <w:rsid w:val="002B7BC0"/>
    <w:rsid w:val="002C249C"/>
    <w:rsid w:val="002C2A88"/>
    <w:rsid w:val="002C654B"/>
    <w:rsid w:val="002D602B"/>
    <w:rsid w:val="002D60DE"/>
    <w:rsid w:val="002D7AAC"/>
    <w:rsid w:val="002E2D6C"/>
    <w:rsid w:val="003017A7"/>
    <w:rsid w:val="0030527A"/>
    <w:rsid w:val="0031160F"/>
    <w:rsid w:val="00312019"/>
    <w:rsid w:val="00316A4E"/>
    <w:rsid w:val="0031756E"/>
    <w:rsid w:val="003219A5"/>
    <w:rsid w:val="00322B99"/>
    <w:rsid w:val="0032623B"/>
    <w:rsid w:val="003267CF"/>
    <w:rsid w:val="0032749B"/>
    <w:rsid w:val="003338A1"/>
    <w:rsid w:val="00335037"/>
    <w:rsid w:val="00337232"/>
    <w:rsid w:val="00337761"/>
    <w:rsid w:val="00337DBF"/>
    <w:rsid w:val="0034225E"/>
    <w:rsid w:val="00350008"/>
    <w:rsid w:val="00350D24"/>
    <w:rsid w:val="003548C0"/>
    <w:rsid w:val="00354F44"/>
    <w:rsid w:val="00362810"/>
    <w:rsid w:val="00363A31"/>
    <w:rsid w:val="00364CA4"/>
    <w:rsid w:val="00366D14"/>
    <w:rsid w:val="00370EE6"/>
    <w:rsid w:val="003711B6"/>
    <w:rsid w:val="00385C78"/>
    <w:rsid w:val="00392310"/>
    <w:rsid w:val="003A0346"/>
    <w:rsid w:val="003A0A09"/>
    <w:rsid w:val="003A4BC5"/>
    <w:rsid w:val="003A6AD9"/>
    <w:rsid w:val="003B678A"/>
    <w:rsid w:val="003C23EA"/>
    <w:rsid w:val="003D0B0D"/>
    <w:rsid w:val="003E6CF9"/>
    <w:rsid w:val="003F018A"/>
    <w:rsid w:val="003F1AE1"/>
    <w:rsid w:val="004007B7"/>
    <w:rsid w:val="00402CC2"/>
    <w:rsid w:val="00407621"/>
    <w:rsid w:val="004104ED"/>
    <w:rsid w:val="00413163"/>
    <w:rsid w:val="004135E4"/>
    <w:rsid w:val="00415E89"/>
    <w:rsid w:val="00416724"/>
    <w:rsid w:val="00421CAC"/>
    <w:rsid w:val="00422D27"/>
    <w:rsid w:val="004401A3"/>
    <w:rsid w:val="004422C1"/>
    <w:rsid w:val="0044659F"/>
    <w:rsid w:val="0044774A"/>
    <w:rsid w:val="00450FAA"/>
    <w:rsid w:val="004511AD"/>
    <w:rsid w:val="004549D0"/>
    <w:rsid w:val="00455D77"/>
    <w:rsid w:val="00455F69"/>
    <w:rsid w:val="00456539"/>
    <w:rsid w:val="00456D1D"/>
    <w:rsid w:val="00460EFB"/>
    <w:rsid w:val="00462A84"/>
    <w:rsid w:val="0046364D"/>
    <w:rsid w:val="00474436"/>
    <w:rsid w:val="00474CEB"/>
    <w:rsid w:val="00474F28"/>
    <w:rsid w:val="004777AC"/>
    <w:rsid w:val="004973D8"/>
    <w:rsid w:val="004A0EBC"/>
    <w:rsid w:val="004A7ECB"/>
    <w:rsid w:val="004C1E59"/>
    <w:rsid w:val="004C1E78"/>
    <w:rsid w:val="004C2DA2"/>
    <w:rsid w:val="004C4573"/>
    <w:rsid w:val="004C57EA"/>
    <w:rsid w:val="004C74C5"/>
    <w:rsid w:val="004D0004"/>
    <w:rsid w:val="004D2728"/>
    <w:rsid w:val="004D7CC8"/>
    <w:rsid w:val="004E073A"/>
    <w:rsid w:val="004F3751"/>
    <w:rsid w:val="004F605B"/>
    <w:rsid w:val="00502D46"/>
    <w:rsid w:val="00506085"/>
    <w:rsid w:val="00507B3C"/>
    <w:rsid w:val="00511DA7"/>
    <w:rsid w:val="00526844"/>
    <w:rsid w:val="0053174A"/>
    <w:rsid w:val="00532440"/>
    <w:rsid w:val="0053397E"/>
    <w:rsid w:val="005341CB"/>
    <w:rsid w:val="00543F76"/>
    <w:rsid w:val="00550615"/>
    <w:rsid w:val="0055128B"/>
    <w:rsid w:val="00551555"/>
    <w:rsid w:val="00563647"/>
    <w:rsid w:val="005715D1"/>
    <w:rsid w:val="00573AD1"/>
    <w:rsid w:val="005747C1"/>
    <w:rsid w:val="005764D3"/>
    <w:rsid w:val="005A171A"/>
    <w:rsid w:val="005A427A"/>
    <w:rsid w:val="005A4790"/>
    <w:rsid w:val="005B5582"/>
    <w:rsid w:val="005B6EB0"/>
    <w:rsid w:val="005C1331"/>
    <w:rsid w:val="005C1B38"/>
    <w:rsid w:val="005C385B"/>
    <w:rsid w:val="005C7F55"/>
    <w:rsid w:val="005E11B8"/>
    <w:rsid w:val="005E5055"/>
    <w:rsid w:val="005F06D4"/>
    <w:rsid w:val="005F46D2"/>
    <w:rsid w:val="00601EB3"/>
    <w:rsid w:val="00606691"/>
    <w:rsid w:val="006222E6"/>
    <w:rsid w:val="00633E3A"/>
    <w:rsid w:val="00663B2C"/>
    <w:rsid w:val="00664FB0"/>
    <w:rsid w:val="00674522"/>
    <w:rsid w:val="00686773"/>
    <w:rsid w:val="00691AD0"/>
    <w:rsid w:val="006946AA"/>
    <w:rsid w:val="006A1665"/>
    <w:rsid w:val="006A21F4"/>
    <w:rsid w:val="006A4AF2"/>
    <w:rsid w:val="006A4C78"/>
    <w:rsid w:val="006A52E0"/>
    <w:rsid w:val="006A6F3C"/>
    <w:rsid w:val="006B12B3"/>
    <w:rsid w:val="006C21D6"/>
    <w:rsid w:val="006D42A9"/>
    <w:rsid w:val="006D59F1"/>
    <w:rsid w:val="006D6628"/>
    <w:rsid w:val="006E18AA"/>
    <w:rsid w:val="006E417F"/>
    <w:rsid w:val="006F05CE"/>
    <w:rsid w:val="006F3FA6"/>
    <w:rsid w:val="0070033E"/>
    <w:rsid w:val="00702A79"/>
    <w:rsid w:val="00704870"/>
    <w:rsid w:val="00705E75"/>
    <w:rsid w:val="007072C2"/>
    <w:rsid w:val="0070751F"/>
    <w:rsid w:val="00717633"/>
    <w:rsid w:val="00722173"/>
    <w:rsid w:val="00727BEB"/>
    <w:rsid w:val="00727C04"/>
    <w:rsid w:val="00730C0E"/>
    <w:rsid w:val="0073572A"/>
    <w:rsid w:val="007403E6"/>
    <w:rsid w:val="00741124"/>
    <w:rsid w:val="00741968"/>
    <w:rsid w:val="007455B6"/>
    <w:rsid w:val="00746AA1"/>
    <w:rsid w:val="0076447D"/>
    <w:rsid w:val="0076582A"/>
    <w:rsid w:val="007743C4"/>
    <w:rsid w:val="0078004C"/>
    <w:rsid w:val="007821B2"/>
    <w:rsid w:val="00792DD2"/>
    <w:rsid w:val="007933A1"/>
    <w:rsid w:val="007A5C4A"/>
    <w:rsid w:val="007B6540"/>
    <w:rsid w:val="007B76EC"/>
    <w:rsid w:val="007C56EE"/>
    <w:rsid w:val="007D4640"/>
    <w:rsid w:val="007D4C43"/>
    <w:rsid w:val="007E0E61"/>
    <w:rsid w:val="007E49F6"/>
    <w:rsid w:val="007E59EC"/>
    <w:rsid w:val="007E7623"/>
    <w:rsid w:val="007F1797"/>
    <w:rsid w:val="007F6CCE"/>
    <w:rsid w:val="008034E4"/>
    <w:rsid w:val="00812B86"/>
    <w:rsid w:val="00814ED6"/>
    <w:rsid w:val="00815A2B"/>
    <w:rsid w:val="00816D5A"/>
    <w:rsid w:val="00820892"/>
    <w:rsid w:val="00822259"/>
    <w:rsid w:val="008233F5"/>
    <w:rsid w:val="00825D5E"/>
    <w:rsid w:val="00826D25"/>
    <w:rsid w:val="00835A7C"/>
    <w:rsid w:val="00836A1B"/>
    <w:rsid w:val="0084293A"/>
    <w:rsid w:val="00844EF8"/>
    <w:rsid w:val="00845C72"/>
    <w:rsid w:val="00847AFF"/>
    <w:rsid w:val="00847C3F"/>
    <w:rsid w:val="00852F8B"/>
    <w:rsid w:val="00871A26"/>
    <w:rsid w:val="00883D42"/>
    <w:rsid w:val="0088506B"/>
    <w:rsid w:val="008A13EF"/>
    <w:rsid w:val="008A2B24"/>
    <w:rsid w:val="008B17CB"/>
    <w:rsid w:val="008B460B"/>
    <w:rsid w:val="008C175B"/>
    <w:rsid w:val="008C2CC0"/>
    <w:rsid w:val="008C6760"/>
    <w:rsid w:val="008E1538"/>
    <w:rsid w:val="008E246B"/>
    <w:rsid w:val="008E2BFB"/>
    <w:rsid w:val="008E6C37"/>
    <w:rsid w:val="008E76FF"/>
    <w:rsid w:val="008F3177"/>
    <w:rsid w:val="008F70F5"/>
    <w:rsid w:val="008F7B85"/>
    <w:rsid w:val="00900C17"/>
    <w:rsid w:val="009027A1"/>
    <w:rsid w:val="009027BF"/>
    <w:rsid w:val="00907CB2"/>
    <w:rsid w:val="00913C93"/>
    <w:rsid w:val="009204B8"/>
    <w:rsid w:val="00924D44"/>
    <w:rsid w:val="0092631A"/>
    <w:rsid w:val="00931F4C"/>
    <w:rsid w:val="00932A6C"/>
    <w:rsid w:val="009336DC"/>
    <w:rsid w:val="00933C3B"/>
    <w:rsid w:val="00941380"/>
    <w:rsid w:val="00943C49"/>
    <w:rsid w:val="00943D37"/>
    <w:rsid w:val="00943E94"/>
    <w:rsid w:val="0095733F"/>
    <w:rsid w:val="00957AB8"/>
    <w:rsid w:val="00960BBD"/>
    <w:rsid w:val="0096570B"/>
    <w:rsid w:val="0097008B"/>
    <w:rsid w:val="00971A60"/>
    <w:rsid w:val="0098523C"/>
    <w:rsid w:val="00986394"/>
    <w:rsid w:val="00990D6F"/>
    <w:rsid w:val="0099139F"/>
    <w:rsid w:val="00997C6B"/>
    <w:rsid w:val="009A2BDB"/>
    <w:rsid w:val="009A6271"/>
    <w:rsid w:val="009A64A5"/>
    <w:rsid w:val="009B1061"/>
    <w:rsid w:val="009B5973"/>
    <w:rsid w:val="009B7165"/>
    <w:rsid w:val="009C04F4"/>
    <w:rsid w:val="009C0B5A"/>
    <w:rsid w:val="009C1A3F"/>
    <w:rsid w:val="009C50BB"/>
    <w:rsid w:val="009C5485"/>
    <w:rsid w:val="009D0B5E"/>
    <w:rsid w:val="009D11B8"/>
    <w:rsid w:val="009D2D7D"/>
    <w:rsid w:val="009D36B6"/>
    <w:rsid w:val="009D5F85"/>
    <w:rsid w:val="009E0AD4"/>
    <w:rsid w:val="009E1DF1"/>
    <w:rsid w:val="009E2DA5"/>
    <w:rsid w:val="009E52FD"/>
    <w:rsid w:val="009E5989"/>
    <w:rsid w:val="009E68F0"/>
    <w:rsid w:val="009F518A"/>
    <w:rsid w:val="009F68B1"/>
    <w:rsid w:val="00A02A37"/>
    <w:rsid w:val="00A02E16"/>
    <w:rsid w:val="00A0744B"/>
    <w:rsid w:val="00A113FC"/>
    <w:rsid w:val="00A11C23"/>
    <w:rsid w:val="00A2270E"/>
    <w:rsid w:val="00A30CC8"/>
    <w:rsid w:val="00A34FDF"/>
    <w:rsid w:val="00A422F1"/>
    <w:rsid w:val="00A57249"/>
    <w:rsid w:val="00A60105"/>
    <w:rsid w:val="00A62314"/>
    <w:rsid w:val="00A64ABE"/>
    <w:rsid w:val="00A7584E"/>
    <w:rsid w:val="00A8080D"/>
    <w:rsid w:val="00A85814"/>
    <w:rsid w:val="00A90311"/>
    <w:rsid w:val="00A92AD4"/>
    <w:rsid w:val="00A931C5"/>
    <w:rsid w:val="00AA0E54"/>
    <w:rsid w:val="00AA1E47"/>
    <w:rsid w:val="00AA5F3D"/>
    <w:rsid w:val="00AA7CF7"/>
    <w:rsid w:val="00AB383C"/>
    <w:rsid w:val="00AB6086"/>
    <w:rsid w:val="00AC09A1"/>
    <w:rsid w:val="00AC6C8C"/>
    <w:rsid w:val="00AD3B24"/>
    <w:rsid w:val="00AD4C75"/>
    <w:rsid w:val="00AD6000"/>
    <w:rsid w:val="00AD6B60"/>
    <w:rsid w:val="00AE43FA"/>
    <w:rsid w:val="00AE7BA9"/>
    <w:rsid w:val="00AE7FF6"/>
    <w:rsid w:val="00AF3D92"/>
    <w:rsid w:val="00AF5ACA"/>
    <w:rsid w:val="00AF666E"/>
    <w:rsid w:val="00AF6F58"/>
    <w:rsid w:val="00B00CDE"/>
    <w:rsid w:val="00B11A28"/>
    <w:rsid w:val="00B11AD4"/>
    <w:rsid w:val="00B1421C"/>
    <w:rsid w:val="00B15BDE"/>
    <w:rsid w:val="00B22472"/>
    <w:rsid w:val="00B22933"/>
    <w:rsid w:val="00B246C1"/>
    <w:rsid w:val="00B260AC"/>
    <w:rsid w:val="00B32754"/>
    <w:rsid w:val="00B37BD0"/>
    <w:rsid w:val="00B37DDB"/>
    <w:rsid w:val="00B40F71"/>
    <w:rsid w:val="00B418F0"/>
    <w:rsid w:val="00B4310B"/>
    <w:rsid w:val="00B45FBA"/>
    <w:rsid w:val="00B529A8"/>
    <w:rsid w:val="00B52A9F"/>
    <w:rsid w:val="00B555E5"/>
    <w:rsid w:val="00B559A3"/>
    <w:rsid w:val="00B55C02"/>
    <w:rsid w:val="00B651B3"/>
    <w:rsid w:val="00B7797E"/>
    <w:rsid w:val="00B813B8"/>
    <w:rsid w:val="00B853DC"/>
    <w:rsid w:val="00B85DA8"/>
    <w:rsid w:val="00B87599"/>
    <w:rsid w:val="00B9062B"/>
    <w:rsid w:val="00B90BC3"/>
    <w:rsid w:val="00B949AE"/>
    <w:rsid w:val="00B9681C"/>
    <w:rsid w:val="00B97B4D"/>
    <w:rsid w:val="00BA3205"/>
    <w:rsid w:val="00BA73F6"/>
    <w:rsid w:val="00BB211E"/>
    <w:rsid w:val="00BB2769"/>
    <w:rsid w:val="00BB2DB5"/>
    <w:rsid w:val="00BB3B5B"/>
    <w:rsid w:val="00BB47EF"/>
    <w:rsid w:val="00BB5AD9"/>
    <w:rsid w:val="00BB7D88"/>
    <w:rsid w:val="00BC7406"/>
    <w:rsid w:val="00BD0664"/>
    <w:rsid w:val="00BD3A3D"/>
    <w:rsid w:val="00BD6362"/>
    <w:rsid w:val="00BE1B08"/>
    <w:rsid w:val="00BE4D98"/>
    <w:rsid w:val="00BF016A"/>
    <w:rsid w:val="00BF1090"/>
    <w:rsid w:val="00C04DF9"/>
    <w:rsid w:val="00C07198"/>
    <w:rsid w:val="00C10A1C"/>
    <w:rsid w:val="00C11C7A"/>
    <w:rsid w:val="00C16473"/>
    <w:rsid w:val="00C20F11"/>
    <w:rsid w:val="00C21412"/>
    <w:rsid w:val="00C225EA"/>
    <w:rsid w:val="00C25D36"/>
    <w:rsid w:val="00C30B8F"/>
    <w:rsid w:val="00C320A4"/>
    <w:rsid w:val="00C35433"/>
    <w:rsid w:val="00C36D80"/>
    <w:rsid w:val="00C4136D"/>
    <w:rsid w:val="00C45E19"/>
    <w:rsid w:val="00C46AC7"/>
    <w:rsid w:val="00C534F0"/>
    <w:rsid w:val="00C64189"/>
    <w:rsid w:val="00C676E7"/>
    <w:rsid w:val="00C82970"/>
    <w:rsid w:val="00C840C7"/>
    <w:rsid w:val="00C842DA"/>
    <w:rsid w:val="00C91263"/>
    <w:rsid w:val="00C95694"/>
    <w:rsid w:val="00CA6204"/>
    <w:rsid w:val="00CA774D"/>
    <w:rsid w:val="00CB6397"/>
    <w:rsid w:val="00CC352C"/>
    <w:rsid w:val="00CC5FE1"/>
    <w:rsid w:val="00CD03F9"/>
    <w:rsid w:val="00CD62EC"/>
    <w:rsid w:val="00CE1111"/>
    <w:rsid w:val="00CE3A25"/>
    <w:rsid w:val="00CE3BE3"/>
    <w:rsid w:val="00CF4C2C"/>
    <w:rsid w:val="00D004CF"/>
    <w:rsid w:val="00D00C24"/>
    <w:rsid w:val="00D20834"/>
    <w:rsid w:val="00D21270"/>
    <w:rsid w:val="00D21866"/>
    <w:rsid w:val="00D22AC0"/>
    <w:rsid w:val="00D2384F"/>
    <w:rsid w:val="00D27407"/>
    <w:rsid w:val="00D305D4"/>
    <w:rsid w:val="00D310AF"/>
    <w:rsid w:val="00D3704D"/>
    <w:rsid w:val="00D37F0C"/>
    <w:rsid w:val="00D418DA"/>
    <w:rsid w:val="00D51919"/>
    <w:rsid w:val="00D5243A"/>
    <w:rsid w:val="00D54F98"/>
    <w:rsid w:val="00D57055"/>
    <w:rsid w:val="00D654EC"/>
    <w:rsid w:val="00D66C56"/>
    <w:rsid w:val="00D74783"/>
    <w:rsid w:val="00D75691"/>
    <w:rsid w:val="00D7611B"/>
    <w:rsid w:val="00D84CE9"/>
    <w:rsid w:val="00D9280E"/>
    <w:rsid w:val="00D92AB4"/>
    <w:rsid w:val="00D934AE"/>
    <w:rsid w:val="00D94658"/>
    <w:rsid w:val="00D95CA3"/>
    <w:rsid w:val="00D964B3"/>
    <w:rsid w:val="00DA1279"/>
    <w:rsid w:val="00DA2DE9"/>
    <w:rsid w:val="00DA3D9B"/>
    <w:rsid w:val="00DA48B4"/>
    <w:rsid w:val="00DA6B6B"/>
    <w:rsid w:val="00DB0B87"/>
    <w:rsid w:val="00DC1EC0"/>
    <w:rsid w:val="00DC3E35"/>
    <w:rsid w:val="00DC6488"/>
    <w:rsid w:val="00DD3F2F"/>
    <w:rsid w:val="00DD5274"/>
    <w:rsid w:val="00DD553E"/>
    <w:rsid w:val="00DE1483"/>
    <w:rsid w:val="00DE56A1"/>
    <w:rsid w:val="00DF0E3E"/>
    <w:rsid w:val="00DF172E"/>
    <w:rsid w:val="00E05343"/>
    <w:rsid w:val="00E17720"/>
    <w:rsid w:val="00E23AE5"/>
    <w:rsid w:val="00E26778"/>
    <w:rsid w:val="00E272B5"/>
    <w:rsid w:val="00E3771B"/>
    <w:rsid w:val="00E41DBA"/>
    <w:rsid w:val="00E425C7"/>
    <w:rsid w:val="00E512BE"/>
    <w:rsid w:val="00E542BE"/>
    <w:rsid w:val="00E559F7"/>
    <w:rsid w:val="00E573F5"/>
    <w:rsid w:val="00E62CC4"/>
    <w:rsid w:val="00E67912"/>
    <w:rsid w:val="00E73989"/>
    <w:rsid w:val="00E75137"/>
    <w:rsid w:val="00E772E3"/>
    <w:rsid w:val="00E80235"/>
    <w:rsid w:val="00E83A63"/>
    <w:rsid w:val="00E9753B"/>
    <w:rsid w:val="00E97CB9"/>
    <w:rsid w:val="00EA759E"/>
    <w:rsid w:val="00EA7DC4"/>
    <w:rsid w:val="00EB7D20"/>
    <w:rsid w:val="00EC1D56"/>
    <w:rsid w:val="00EC4BAE"/>
    <w:rsid w:val="00EE62D5"/>
    <w:rsid w:val="00EF3B7D"/>
    <w:rsid w:val="00F019FE"/>
    <w:rsid w:val="00F01A7F"/>
    <w:rsid w:val="00F02620"/>
    <w:rsid w:val="00F06CF7"/>
    <w:rsid w:val="00F07361"/>
    <w:rsid w:val="00F10609"/>
    <w:rsid w:val="00F20482"/>
    <w:rsid w:val="00F22C6B"/>
    <w:rsid w:val="00F22E84"/>
    <w:rsid w:val="00F313A6"/>
    <w:rsid w:val="00F317EE"/>
    <w:rsid w:val="00F323D2"/>
    <w:rsid w:val="00F32670"/>
    <w:rsid w:val="00F34E07"/>
    <w:rsid w:val="00F355CA"/>
    <w:rsid w:val="00F37F6E"/>
    <w:rsid w:val="00F37FC8"/>
    <w:rsid w:val="00F439F1"/>
    <w:rsid w:val="00F56F9A"/>
    <w:rsid w:val="00F575CB"/>
    <w:rsid w:val="00F6410B"/>
    <w:rsid w:val="00F668D8"/>
    <w:rsid w:val="00F67693"/>
    <w:rsid w:val="00F8703D"/>
    <w:rsid w:val="00F91AFD"/>
    <w:rsid w:val="00F95DD9"/>
    <w:rsid w:val="00F97B2F"/>
    <w:rsid w:val="00FA21B0"/>
    <w:rsid w:val="00FA5F54"/>
    <w:rsid w:val="00FB0479"/>
    <w:rsid w:val="00FB2066"/>
    <w:rsid w:val="00FB20BD"/>
    <w:rsid w:val="00FB2E26"/>
    <w:rsid w:val="00FB739E"/>
    <w:rsid w:val="00FC0A2D"/>
    <w:rsid w:val="00FC27B1"/>
    <w:rsid w:val="00FD064F"/>
    <w:rsid w:val="00FD1CCC"/>
    <w:rsid w:val="00FD40F8"/>
    <w:rsid w:val="00FD7484"/>
    <w:rsid w:val="00FE33A7"/>
    <w:rsid w:val="00FE5F79"/>
    <w:rsid w:val="00FE669E"/>
    <w:rsid w:val="00FE75A7"/>
    <w:rsid w:val="00FF11B5"/>
    <w:rsid w:val="00FF30CB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DFEA0F"/>
  <w15:docId w15:val="{B072319A-D240-4674-A8B9-94414C5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AF13-C289-485D-84AB-E98AD65A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3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潘莱</cp:lastModifiedBy>
  <cp:revision>111</cp:revision>
  <cp:lastPrinted>2025-09-04T09:40:00Z</cp:lastPrinted>
  <dcterms:created xsi:type="dcterms:W3CDTF">2022-04-09T08:03:00Z</dcterms:created>
  <dcterms:modified xsi:type="dcterms:W3CDTF">2026-05-22T10:15:00Z</dcterms:modified>
</cp:coreProperties>
</file>