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59B28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 xml:space="preserve">证券代码： </w:t>
      </w:r>
      <w:r>
        <w:rPr>
          <w:b/>
          <w:bCs/>
          <w:szCs w:val="24"/>
        </w:rPr>
        <w:t xml:space="preserve">688790 </w:t>
      </w:r>
      <w:r>
        <w:rPr>
          <w:rFonts w:hint="eastAsia"/>
          <w:b/>
          <w:bCs/>
          <w:szCs w:val="24"/>
        </w:rPr>
        <w:t xml:space="preserve">                          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 xml:space="preserve">     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</w:rPr>
        <w:t>证券简称： 昂瑞微</w:t>
      </w:r>
    </w:p>
    <w:p w14:paraId="284553C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北京昂瑞微电子技术股份有限公司</w:t>
      </w:r>
    </w:p>
    <w:p w14:paraId="272FAB0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</w:t>
      </w:r>
      <w:bookmarkStart w:id="0" w:name="OLE_LINK4"/>
      <w:r>
        <w:rPr>
          <w:rFonts w:hint="eastAsia"/>
          <w:b/>
          <w:bCs/>
          <w:sz w:val="28"/>
          <w:szCs w:val="28"/>
        </w:rPr>
        <w:t>资者关系活动记录表</w:t>
      </w:r>
      <w:bookmarkEnd w:id="0"/>
    </w:p>
    <w:p w14:paraId="63B64804">
      <w:pPr>
        <w:ind w:firstLine="241" w:firstLineChars="100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                             编号：2</w:t>
      </w:r>
      <w:r>
        <w:rPr>
          <w:b/>
          <w:bCs/>
          <w:szCs w:val="24"/>
        </w:rPr>
        <w:t>026-00</w:t>
      </w:r>
      <w:r>
        <w:rPr>
          <w:rFonts w:hint="eastAsia"/>
          <w:b/>
          <w:bCs/>
          <w:szCs w:val="24"/>
        </w:rPr>
        <w:t>3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5"/>
        <w:gridCol w:w="5826"/>
        <w:gridCol w:w="225"/>
      </w:tblGrid>
      <w:tr w14:paraId="13AE78D9">
        <w:tblPrEx>
          <w:tblLayout w:type="fixed"/>
        </w:tblPrEx>
        <w:tc>
          <w:tcPr>
            <w:tcW w:w="2470" w:type="dxa"/>
            <w:gridSpan w:val="2"/>
          </w:tcPr>
          <w:p w14:paraId="6E82FE89">
            <w:pPr>
              <w:jc w:val="center"/>
              <w:rPr>
                <w:b/>
                <w:bCs/>
                <w:szCs w:val="24"/>
              </w:rPr>
            </w:pPr>
          </w:p>
          <w:p w14:paraId="169FB84D">
            <w:pPr>
              <w:jc w:val="center"/>
              <w:rPr>
                <w:b/>
                <w:bCs/>
                <w:szCs w:val="24"/>
              </w:rPr>
            </w:pPr>
          </w:p>
          <w:p w14:paraId="1B944C7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1F1EB772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051" w:type="dxa"/>
            <w:gridSpan w:val="2"/>
          </w:tcPr>
          <w:p w14:paraId="1985DD8F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/>
                <w:bCs/>
                <w:iCs/>
              </w:rPr>
              <w:t>√</w:t>
            </w:r>
            <w:r>
              <w:rPr>
                <w:rFonts w:hint="eastAsia" w:ascii="宋体" w:hAnsi="宋体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708EC0B8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</w:rPr>
              <w:t>□业绩说明会</w:t>
            </w:r>
          </w:p>
          <w:p w14:paraId="66D90B35">
            <w:pPr>
              <w:spacing w:line="360" w:lineRule="auto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hint="eastAsia"/>
                <w:bCs/>
                <w:iCs/>
              </w:rPr>
              <w:t>√</w:t>
            </w:r>
            <w:r>
              <w:rPr>
                <w:rFonts w:hint="eastAsia" w:ascii="宋体" w:hAnsi="宋体"/>
                <w:szCs w:val="24"/>
              </w:rPr>
              <w:t>路演活动</w:t>
            </w:r>
          </w:p>
          <w:p w14:paraId="017DBA92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□现场参观□其他（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1AFD5E12">
        <w:tblPrEx>
          <w:tblLayout w:type="fixed"/>
        </w:tblPrEx>
        <w:trPr>
          <w:trHeight w:val="908" w:hRule="atLeast"/>
        </w:trPr>
        <w:tc>
          <w:tcPr>
            <w:tcW w:w="2470" w:type="dxa"/>
            <w:gridSpan w:val="2"/>
            <w:vAlign w:val="center"/>
          </w:tcPr>
          <w:p w14:paraId="3DDA290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355617F4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及姓名</w:t>
            </w:r>
          </w:p>
        </w:tc>
        <w:tc>
          <w:tcPr>
            <w:tcW w:w="6051" w:type="dxa"/>
            <w:gridSpan w:val="2"/>
            <w:vAlign w:val="center"/>
          </w:tcPr>
          <w:p w14:paraId="33BEF23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中信证券、国信证券、银叶投资、重阳战略、霁峰基金、禧悦投资、原点资产、中仁资产、循理资产</w:t>
            </w:r>
          </w:p>
        </w:tc>
      </w:tr>
      <w:tr w14:paraId="7CCA829C">
        <w:tblPrEx>
          <w:tblLayout w:type="fixed"/>
        </w:tblPrEx>
        <w:trPr>
          <w:trHeight w:val="410" w:hRule="atLeast"/>
        </w:trPr>
        <w:tc>
          <w:tcPr>
            <w:tcW w:w="2470" w:type="dxa"/>
            <w:gridSpan w:val="2"/>
            <w:vAlign w:val="center"/>
          </w:tcPr>
          <w:p w14:paraId="0AA5FE62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051" w:type="dxa"/>
            <w:gridSpan w:val="2"/>
            <w:vAlign w:val="center"/>
          </w:tcPr>
          <w:p w14:paraId="1374BA7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年5月</w:t>
            </w:r>
          </w:p>
        </w:tc>
      </w:tr>
      <w:tr w14:paraId="24F13D47">
        <w:tblPrEx>
          <w:tblLayout w:type="fixed"/>
        </w:tblPrEx>
        <w:trPr>
          <w:trHeight w:val="418" w:hRule="atLeast"/>
        </w:trPr>
        <w:tc>
          <w:tcPr>
            <w:tcW w:w="2470" w:type="dxa"/>
            <w:gridSpan w:val="2"/>
            <w:vAlign w:val="center"/>
          </w:tcPr>
          <w:p w14:paraId="3AC08DE7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051" w:type="dxa"/>
            <w:gridSpan w:val="2"/>
            <w:vAlign w:val="center"/>
          </w:tcPr>
          <w:p w14:paraId="5C98B6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公司会议室、上海浦东香格里拉酒店</w:t>
            </w:r>
          </w:p>
        </w:tc>
      </w:tr>
      <w:tr w14:paraId="7BF7CC34">
        <w:tblPrEx>
          <w:tblLayout w:type="fixed"/>
        </w:tblPrEx>
        <w:trPr>
          <w:trHeight w:val="425" w:hRule="atLeast"/>
        </w:trPr>
        <w:tc>
          <w:tcPr>
            <w:tcW w:w="2470" w:type="dxa"/>
            <w:gridSpan w:val="2"/>
            <w:vAlign w:val="center"/>
          </w:tcPr>
          <w:p w14:paraId="61B6CCD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</w:tc>
        <w:tc>
          <w:tcPr>
            <w:tcW w:w="6051" w:type="dxa"/>
            <w:gridSpan w:val="2"/>
            <w:vAlign w:val="center"/>
          </w:tcPr>
          <w:p w14:paraId="6E386AB9">
            <w:pPr>
              <w:jc w:val="center"/>
              <w:rPr>
                <w:szCs w:val="24"/>
              </w:rPr>
            </w:pPr>
            <w:r>
              <w:rPr>
                <w:rFonts w:hint="eastAsia"/>
                <w:bCs/>
                <w:iCs/>
              </w:rPr>
              <w:t>董事会秘书：张馨瑜</w:t>
            </w:r>
          </w:p>
        </w:tc>
      </w:tr>
      <w:tr w14:paraId="42A09B36">
        <w:tblPrEx>
          <w:tblLayout w:type="fixed"/>
        </w:tblPrEx>
        <w:tc>
          <w:tcPr>
            <w:tcW w:w="2470" w:type="dxa"/>
            <w:gridSpan w:val="2"/>
            <w:vAlign w:val="center"/>
          </w:tcPr>
          <w:p w14:paraId="220F9397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051" w:type="dxa"/>
            <w:gridSpan w:val="2"/>
          </w:tcPr>
          <w:p w14:paraId="236BCDCE">
            <w:pPr>
              <w:wordWrap w:val="0"/>
              <w:rPr>
                <w:b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b/>
              </w:rPr>
              <w:t>交流的主要问题及回复</w:t>
            </w:r>
          </w:p>
          <w:p w14:paraId="79C32B2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1、</w:t>
            </w:r>
            <w:r>
              <w:rPr>
                <w:rFonts w:hint="eastAsia" w:cs="Times New Roman"/>
                <w:b/>
              </w:rPr>
              <w:t>请简要介绍公司射频前端芯片的业务进展。</w:t>
            </w:r>
          </w:p>
          <w:p w14:paraId="6617969F">
            <w:pPr>
              <w:widowControl/>
              <w:jc w:val="left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公司在射频前端领域拥有相对完善的产品矩阵，具备 5G 终端产品全套解决方案，覆盖 5G/4G/3G/2G 全系列需求，产品包含 L-PAMiD、射频开关、天线调谐开关、滤波器及手机卫星通信功率放大器等数十款。2025 年，公司射频前端高端模组业务持续突破。L-PAMiD 高集成度Phase 8L模组，已完成品牌客户验证；</w:t>
            </w:r>
            <w:r>
              <w:rPr>
                <w:rFonts w:hint="default" w:cs="Times New Roman"/>
                <w:szCs w:val="24"/>
                <w:lang w:val="en-US" w:eastAsia="zh-CN"/>
              </w:rPr>
              <w:t>低压PC2单频N77 L-PAMiF模组产品，已在品牌客户量产出货</w:t>
            </w:r>
            <w:r>
              <w:rPr>
                <w:rFonts w:hint="eastAsia" w:cs="Times New Roman"/>
                <w:szCs w:val="24"/>
              </w:rPr>
              <w:t>；L-DiFEM面向多家国内外品牌客户定制开发。公司依托高集成度研发能力，持续深耕高端模组领域，深化与头部客户联合定义，稳步拓展多品牌客户覆盖，核心竞争力持续增强。</w:t>
            </w:r>
          </w:p>
          <w:p w14:paraId="3D5D90EA">
            <w:pPr>
              <w:rPr>
                <w:rFonts w:cs="Times New Roman"/>
                <w:szCs w:val="24"/>
              </w:rPr>
            </w:pPr>
          </w:p>
          <w:p w14:paraId="7B77968A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</w:t>
            </w:r>
            <w:r>
              <w:rPr>
                <w:rFonts w:hint="eastAsia" w:cs="Times New Roman"/>
                <w:b/>
                <w:bCs/>
                <w:szCs w:val="24"/>
              </w:rPr>
              <w:t>、</w:t>
            </w:r>
            <w:r>
              <w:rPr>
                <w:rFonts w:hint="eastAsia" w:cs="Times New Roman"/>
                <w:b/>
              </w:rPr>
              <w:t>请简要介绍公司射频SoC芯片的业务进展。</w:t>
            </w:r>
          </w:p>
          <w:p w14:paraId="01FC3265">
            <w:pPr>
              <w:rPr>
                <w:rFonts w:cs="Times New Roman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2025 年，公司射频 SoC 业务经营稳步改善。公司聚焦低功耗蓝牙及2.4G私有协议芯片，形成覆盖消费级、专业级的完整产品矩阵。低功耗蓝牙芯片已在头部品牌客户量产，覆盖智能寻物、无线外设、智能家居等消费类市场，以及智能零售、物联网、医疗健康等专业类市场，海外市场取得初步进展。2.4G私有协议芯片方面，不断拓展智慧物流等新兴场景，持续深化品牌客户合作。</w:t>
            </w:r>
          </w:p>
          <w:p w14:paraId="7A677B03">
            <w:pPr>
              <w:rPr>
                <w:rFonts w:cs="Times New Roman"/>
                <w:szCs w:val="24"/>
              </w:rPr>
            </w:pPr>
          </w:p>
          <w:p w14:paraId="30C2CF8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>
              <w:rPr>
                <w:rFonts w:hint="eastAsia" w:cs="Times New Roman"/>
                <w:b/>
                <w:szCs w:val="24"/>
              </w:rPr>
              <w:t>、公司在手机卫星通信领域有哪些进展？</w:t>
            </w:r>
          </w:p>
          <w:p w14:paraId="75BBA2F0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2025 年，公司支持北斗、</w:t>
            </w:r>
            <w:bookmarkStart w:id="1" w:name="OLE_LINK1"/>
            <w:r>
              <w:rPr>
                <w:rFonts w:hint="eastAsia" w:cs="Times New Roman"/>
                <w:szCs w:val="24"/>
              </w:rPr>
              <w:t>天通</w:t>
            </w:r>
            <w:bookmarkEnd w:id="1"/>
            <w:r>
              <w:rPr>
                <w:rFonts w:hint="eastAsia" w:cs="Times New Roman"/>
                <w:szCs w:val="24"/>
              </w:rPr>
              <w:t>及低轨三合一卫星通信 PA 进一步在品牌手机客户实现规模出货，</w:t>
            </w:r>
            <w:bookmarkStart w:id="2" w:name="OLE_LINK2"/>
            <w:r>
              <w:rPr>
                <w:rFonts w:hint="eastAsia" w:cs="Times New Roman"/>
                <w:szCs w:val="24"/>
              </w:rPr>
              <w:t>可实现地面终端与</w:t>
            </w:r>
            <w:bookmarkStart w:id="3" w:name="OLE_LINK3"/>
            <w:r>
              <w:rPr>
                <w:rFonts w:hint="eastAsia" w:cs="Times New Roman"/>
                <w:szCs w:val="24"/>
              </w:rPr>
              <w:t>卫星直接通信</w:t>
            </w:r>
            <w:bookmarkEnd w:id="2"/>
            <w:bookmarkEnd w:id="3"/>
            <w:r>
              <w:rPr>
                <w:rFonts w:hint="eastAsia" w:cs="Times New Roman"/>
                <w:szCs w:val="24"/>
              </w:rPr>
              <w:t>，有效解决偏远地区通信覆盖难题，是现有地面通信的重要补充，在海洋、高原及应急通信场景具备重要应用价值。</w:t>
            </w:r>
          </w:p>
          <w:p w14:paraId="57C29146">
            <w:pPr>
              <w:rPr>
                <w:rFonts w:cs="Times New Roman"/>
                <w:szCs w:val="24"/>
              </w:rPr>
            </w:pPr>
          </w:p>
          <w:p w14:paraId="48DEF1F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4、公司</w:t>
            </w:r>
            <w:r>
              <w:rPr>
                <w:rFonts w:hint="eastAsia" w:cs="Times New Roman"/>
                <w:b/>
                <w:szCs w:val="24"/>
              </w:rPr>
              <w:t>在6G通信领域的技术储备与业务布局如何？</w:t>
            </w:r>
          </w:p>
          <w:p w14:paraId="71EABF12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下一代移动通信6G技术尚未到商业化应用阶段，公司目前拥有完整的5G终端产品解决方案矩阵，将持续聚焦射频前端、射频 SoC、其他模拟芯片三大核心业务赛道，积极跟进无线通信技术演进，做好前沿技术积累。</w:t>
            </w:r>
          </w:p>
          <w:p w14:paraId="0EC95833">
            <w:pPr>
              <w:rPr>
                <w:rFonts w:cs="Times New Roman"/>
                <w:szCs w:val="24"/>
              </w:rPr>
            </w:pPr>
          </w:p>
          <w:p w14:paraId="7ABAE406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5、</w:t>
            </w:r>
            <w:r>
              <w:rPr>
                <w:rFonts w:hint="eastAsia" w:cs="Times New Roman"/>
                <w:b/>
                <w:szCs w:val="24"/>
              </w:rPr>
              <w:t>公司在车载芯片方面的进展如何？</w:t>
            </w:r>
          </w:p>
          <w:p w14:paraId="038B69CE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公司5G车规级射频前端系列产品已通过 AEC-Q100 车规级认证，具备- 40℃至105℃宽温、高可靠特性，可应用于智能网联T-Box、V2X等智驾通信场景，并已在知名车企实现落地应用。未来公司将聚焦头部客户合作，抢抓汽车智能化机遇，推动车载业务高质量增长。</w:t>
            </w:r>
          </w:p>
          <w:p w14:paraId="336A8062">
            <w:pPr>
              <w:rPr>
                <w:rFonts w:cs="Times New Roman"/>
                <w:szCs w:val="24"/>
              </w:rPr>
            </w:pPr>
          </w:p>
          <w:p w14:paraId="0A90D4A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6、</w:t>
            </w:r>
            <w:r>
              <w:rPr>
                <w:rFonts w:hint="eastAsia" w:cs="Times New Roman"/>
                <w:b/>
                <w:szCs w:val="24"/>
              </w:rPr>
              <w:t>公司在海外市场有何突破？</w:t>
            </w:r>
          </w:p>
          <w:p w14:paraId="21148E7F">
            <w:pPr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2025 年，公司在海外市场取得初步</w:t>
            </w:r>
            <w:r>
              <w:rPr>
                <w:rFonts w:hint="eastAsia" w:cs="Times New Roman"/>
                <w:szCs w:val="24"/>
                <w:lang w:eastAsia="zh-CN"/>
              </w:rPr>
              <w:t>进展</w:t>
            </w:r>
            <w:r>
              <w:rPr>
                <w:rFonts w:hint="eastAsia" w:cs="Times New Roman"/>
                <w:szCs w:val="24"/>
              </w:rPr>
              <w:t>，通过深化与国际品牌客户合作，持续提升产品盈利能力与品牌影响力。公司将全面推进国际化战略，扩充海外团队、推进本地化服务，挖掘海外优质客户，提升产品全球渗透率与覆盖度。</w:t>
            </w:r>
          </w:p>
          <w:p w14:paraId="2D033765">
            <w:pPr>
              <w:rPr>
                <w:rFonts w:cs="Times New Roman"/>
                <w:szCs w:val="24"/>
              </w:rPr>
            </w:pPr>
          </w:p>
          <w:p w14:paraId="2CAB57C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7、</w:t>
            </w:r>
            <w:r>
              <w:rPr>
                <w:rFonts w:hint="eastAsia" w:cs="Times New Roman"/>
                <w:b/>
                <w:szCs w:val="24"/>
              </w:rPr>
              <w:t>公司如何看待未来一段时间的射频行业发展趋势？</w:t>
            </w:r>
          </w:p>
          <w:p w14:paraId="4185C405">
            <w:pPr>
              <w:rPr>
                <w:rFonts w:cs="Times New Roman"/>
              </w:rPr>
            </w:pPr>
            <w:r>
              <w:rPr>
                <w:rFonts w:hint="eastAsia" w:cs="Times New Roman"/>
              </w:rPr>
              <w:t>全球射频前端市场曾由国际巨头主导，国内企业技术与产品能力快速提升，高端市场竞争力持续增强。国内中低端市场同质化竞争加剧，高端市场国产替代加速，行业集中度呈上升趋势。公司将紧抓定制化、高端化升级机遇，不断深化与头部品牌客户合作，充分拓展国产射频市场空间，把握行业结构性机遇。</w:t>
            </w:r>
          </w:p>
          <w:p w14:paraId="24C566B1">
            <w:pPr>
              <w:rPr>
                <w:rFonts w:cs="Times New Roman"/>
              </w:rPr>
            </w:pPr>
          </w:p>
          <w:p w14:paraId="618D4110">
            <w:pPr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b/>
                <w:szCs w:val="24"/>
              </w:rPr>
              <w:t>8、公司研发费用整体呈下降趋势，具体什么原因？</w:t>
            </w:r>
          </w:p>
          <w:p w14:paraId="262A405D">
            <w:pPr>
              <w:rPr>
                <w:rFonts w:cs="Times New Roman"/>
              </w:rPr>
            </w:pPr>
            <w:r>
              <w:rPr>
                <w:rFonts w:hint="eastAsia" w:cs="Times New Roman"/>
              </w:rPr>
              <w:t>一方面，公司在2023年</w:t>
            </w:r>
            <w:r>
              <w:rPr>
                <w:rFonts w:hint="eastAsia" w:cs="Times New Roman"/>
                <w:lang w:eastAsia="zh-CN"/>
              </w:rPr>
              <w:t>取消了股权激励中潜在服务期安排，并于当期</w:t>
            </w:r>
            <w:r>
              <w:rPr>
                <w:rFonts w:hint="eastAsia" w:cs="Times New Roman"/>
              </w:rPr>
              <w:t>一次性</w:t>
            </w:r>
            <w:r>
              <w:rPr>
                <w:rFonts w:hint="eastAsia" w:cs="Times New Roman"/>
                <w:lang w:eastAsia="zh-CN"/>
              </w:rPr>
              <w:t>确认了剩余</w:t>
            </w:r>
            <w:r>
              <w:rPr>
                <w:rFonts w:hint="eastAsia" w:cs="Times New Roman"/>
              </w:rPr>
              <w:t>股份支付</w:t>
            </w:r>
            <w:r>
              <w:rPr>
                <w:rFonts w:hint="eastAsia" w:cs="Times New Roman"/>
                <w:lang w:eastAsia="zh-CN"/>
              </w:rPr>
              <w:t>，</w:t>
            </w:r>
            <w:r>
              <w:rPr>
                <w:rFonts w:hint="eastAsia" w:cs="Times New Roman"/>
              </w:rPr>
              <w:t>导</w:t>
            </w:r>
            <w:bookmarkStart w:id="4" w:name="_GoBack"/>
            <w:bookmarkEnd w:id="4"/>
            <w:r>
              <w:rPr>
                <w:rFonts w:hint="eastAsia" w:cs="Times New Roman"/>
              </w:rPr>
              <w:t>致往期</w:t>
            </w:r>
            <w:r>
              <w:rPr>
                <w:rFonts w:hint="eastAsia" w:cs="Times New Roman"/>
                <w:lang w:eastAsia="zh-CN"/>
              </w:rPr>
              <w:t>费用</w:t>
            </w:r>
            <w:r>
              <w:rPr>
                <w:rFonts w:hint="eastAsia" w:cs="Times New Roman"/>
              </w:rPr>
              <w:t>基数较高；另一方面，公司持续优化研发项目管理，提升研发资源使用效率，</w:t>
            </w:r>
            <w:r>
              <w:rPr>
                <w:rFonts w:hint="eastAsia" w:cs="Times New Roman"/>
                <w:lang w:eastAsia="zh-CN"/>
              </w:rPr>
              <w:t>不断提高研发项目投入产出比。</w:t>
            </w:r>
          </w:p>
          <w:p w14:paraId="6CCB211B">
            <w:pPr>
              <w:rPr>
                <w:rFonts w:cs="Times New Roman"/>
              </w:rPr>
            </w:pPr>
          </w:p>
          <w:p w14:paraId="2AC01C22">
            <w:pPr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b/>
                <w:szCs w:val="24"/>
              </w:rPr>
              <w:t>9、公司一季度收入取得良好增长，请介绍主要驱动因素</w:t>
            </w:r>
          </w:p>
          <w:p w14:paraId="42B71429">
            <w:pPr>
              <w:rPr>
                <w:rFonts w:cs="Times New Roman"/>
              </w:rPr>
            </w:pPr>
            <w:r>
              <w:rPr>
                <w:rFonts w:eastAsia="Helvetica"/>
                <w:color w:val="000000"/>
                <w:shd w:val="clear" w:color="auto" w:fill="FFFFFF"/>
              </w:rPr>
              <w:t>2026</w:t>
            </w:r>
            <w:r>
              <w:rPr>
                <w:rFonts w:eastAsia="Helvetica"/>
                <w:color w:val="000000"/>
                <w:shd w:val="clear" w:color="auto" w:fill="FFFFFF"/>
              </w:rPr>
              <w:t>年一季度，公司实现营业收入</w:t>
            </w:r>
            <w:r>
              <w:rPr>
                <w:rFonts w:eastAsia="Helvetica"/>
                <w:color w:val="000000"/>
                <w:shd w:val="clear" w:color="auto" w:fill="FFFFFF"/>
              </w:rPr>
              <w:t>3.47</w:t>
            </w:r>
            <w:r>
              <w:rPr>
                <w:rFonts w:eastAsia="Helvetica"/>
                <w:color w:val="000000"/>
                <w:shd w:val="clear" w:color="auto" w:fill="FFFFFF"/>
              </w:rPr>
              <w:t>亿元，同比增长</w:t>
            </w:r>
            <w:r>
              <w:rPr>
                <w:rFonts w:eastAsia="Helvetica"/>
                <w:color w:val="000000"/>
                <w:shd w:val="clear" w:color="auto" w:fill="FFFFFF"/>
              </w:rPr>
              <w:t>10.81%</w:t>
            </w:r>
            <w:r>
              <w:rPr>
                <w:rFonts w:eastAsia="Helvetica"/>
                <w:color w:val="000000"/>
                <w:shd w:val="clear" w:color="auto" w:fill="FFFFFF"/>
              </w:rPr>
              <w:t>。收入增长的主要原因：一方面，低功耗蓝牙出货规模稳步提升，为公司增</w:t>
            </w:r>
            <w:r>
              <w:rPr>
                <w:rFonts w:eastAsia="Helvetica"/>
                <w:color w:val="000000"/>
                <w:shd w:val="clear" w:color="auto" w:fill="FFFFFF"/>
              </w:rPr>
              <w:t>长提供新引擎；另一方面，公司持续优化射频前端产品结构，在</w:t>
            </w:r>
            <w:r>
              <w:rPr>
                <w:rFonts w:eastAsia="Helvetica"/>
                <w:color w:val="000000"/>
                <w:shd w:val="clear" w:color="auto" w:fill="FFFFFF"/>
              </w:rPr>
              <w:t>5G</w:t>
            </w:r>
            <w:r>
              <w:rPr>
                <w:rFonts w:eastAsia="Helvetica"/>
                <w:color w:val="000000"/>
                <w:shd w:val="clear" w:color="auto" w:fill="FFFFFF"/>
              </w:rPr>
              <w:t>领域保持良好增长。</w:t>
            </w:r>
          </w:p>
          <w:p w14:paraId="27374214">
            <w:pPr>
              <w:rPr>
                <w:rFonts w:cs="Times New Roman"/>
              </w:rPr>
            </w:pPr>
          </w:p>
          <w:p w14:paraId="18A61E99">
            <w:pPr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b/>
                <w:szCs w:val="24"/>
              </w:rPr>
              <w:t>10、请介绍下在上游供应链环节涨价背景下，公司如何规避经营风险？</w:t>
            </w:r>
          </w:p>
          <w:p w14:paraId="191EF5A9">
            <w:pPr>
              <w:rPr>
                <w:rFonts w:cs="Times New Roman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随着</w:t>
            </w:r>
            <w:r>
              <w:rPr>
                <w:rFonts w:eastAsia="Helvetica"/>
                <w:color w:val="000000"/>
                <w:shd w:val="clear" w:color="auto" w:fill="FFFFFF"/>
              </w:rPr>
              <w:t>半导体产能向</w:t>
            </w:r>
            <w:r>
              <w:rPr>
                <w:rFonts w:eastAsia="Helvetica"/>
                <w:color w:val="000000"/>
                <w:shd w:val="clear" w:color="auto" w:fill="FFFFFF"/>
              </w:rPr>
              <w:t>AI</w:t>
            </w:r>
            <w:r>
              <w:rPr>
                <w:rFonts w:eastAsia="Helvetica"/>
                <w:color w:val="000000"/>
                <w:shd w:val="clear" w:color="auto" w:fill="FFFFFF"/>
              </w:rPr>
              <w:t>领域倾斜，</w:t>
            </w:r>
            <w:r>
              <w:rPr>
                <w:rFonts w:hint="eastAsia"/>
                <w:color w:val="000000"/>
                <w:shd w:val="clear" w:color="auto" w:fill="FFFFFF"/>
              </w:rPr>
              <w:t>上游供应链存在</w:t>
            </w:r>
            <w:r>
              <w:rPr>
                <w:rFonts w:ascii="宋体" w:hAnsi="宋体" w:cs="宋体"/>
                <w:szCs w:val="24"/>
              </w:rPr>
              <w:t>价格波动</w:t>
            </w:r>
            <w:r>
              <w:rPr>
                <w:rFonts w:hint="eastAsia"/>
                <w:color w:val="000000"/>
                <w:shd w:val="clear" w:color="auto" w:fill="FFFFFF"/>
              </w:rPr>
              <w:t>，但</w:t>
            </w:r>
            <w:r>
              <w:rPr>
                <w:rFonts w:eastAsia="Helvetica"/>
                <w:color w:val="000000"/>
                <w:shd w:val="clear" w:color="auto" w:fill="FFFFFF"/>
              </w:rPr>
              <w:t>公司与核心供应商建立了长期稳固的合作关系，供应链价格波动对整体经营的影响处于可控范围。公司将进一步强化供应链体系各环节的技术协同，在切实保障产品品质的基础上，通过了部分国产封装材料、基板板材等上游原材料的认证，持续提升供应链弹性。此外，公司深度拓展</w:t>
            </w:r>
            <w:r>
              <w:rPr>
                <w:rFonts w:eastAsia="Helvetica"/>
                <w:color w:val="000000"/>
                <w:shd w:val="clear" w:color="auto" w:fill="FFFFFF"/>
              </w:rPr>
              <w:t>“</w:t>
            </w:r>
            <w:r>
              <w:rPr>
                <w:rFonts w:eastAsia="Helvetica"/>
                <w:color w:val="000000"/>
                <w:shd w:val="clear" w:color="auto" w:fill="FFFFFF"/>
              </w:rPr>
              <w:t>海外</w:t>
            </w:r>
            <w:r>
              <w:rPr>
                <w:rFonts w:eastAsia="Helvetica"/>
                <w:color w:val="000000"/>
                <w:shd w:val="clear" w:color="auto" w:fill="FFFFFF"/>
              </w:rPr>
              <w:t>+</w:t>
            </w:r>
            <w:r>
              <w:rPr>
                <w:rFonts w:eastAsia="Helvetica"/>
                <w:color w:val="000000"/>
                <w:shd w:val="clear" w:color="auto" w:fill="FFFFFF"/>
              </w:rPr>
              <w:t>国产</w:t>
            </w:r>
            <w:r>
              <w:rPr>
                <w:rFonts w:eastAsia="Helvetica"/>
                <w:color w:val="000000"/>
                <w:shd w:val="clear" w:color="auto" w:fill="FFFFFF"/>
              </w:rPr>
              <w:t>”</w:t>
            </w:r>
            <w:r>
              <w:rPr>
                <w:rFonts w:eastAsia="Helvetica"/>
                <w:color w:val="000000"/>
                <w:shd w:val="clear" w:color="auto" w:fill="FFFFFF"/>
              </w:rPr>
              <w:t>双供应链合作，支持海内外业务多元化协同发展。</w:t>
            </w:r>
          </w:p>
          <w:p w14:paraId="265B6A50">
            <w:pPr>
              <w:rPr>
                <w:rFonts w:cs="Times New Roman"/>
                <w:szCs w:val="24"/>
              </w:rPr>
            </w:pPr>
          </w:p>
          <w:p w14:paraId="5FAD1721">
            <w:pPr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b/>
                <w:szCs w:val="24"/>
              </w:rPr>
              <w:t>11、公司未来对并购的计划如何?</w:t>
            </w:r>
          </w:p>
          <w:p w14:paraId="11C93F86">
            <w:pPr>
              <w:rPr>
                <w:rFonts w:cs="Times New Roman"/>
                <w:bCs/>
                <w:szCs w:val="24"/>
              </w:rPr>
            </w:pPr>
            <w:r>
              <w:rPr>
                <w:rFonts w:hint="eastAsia" w:cs="Times New Roman"/>
                <w:bCs/>
                <w:szCs w:val="24"/>
              </w:rPr>
              <w:t>公司坚持聚焦射频前端、射频SoC及模拟芯片核心主业，对具备战略协同效应、符合行业发展方向的优质资产与赛道保持审慎关注。公司将依托上市平台，在合法合规、充分论证前提下，审慎评估战略投资、产业整合等资本运作机会，相关计划将严格按规定履行信息披露义务。</w:t>
            </w:r>
          </w:p>
          <w:p w14:paraId="71C534B0">
            <w:pPr>
              <w:rPr>
                <w:szCs w:val="24"/>
              </w:rPr>
            </w:pPr>
          </w:p>
          <w:p w14:paraId="1A6BAD32">
            <w:pPr>
              <w:rPr>
                <w:rFonts w:cs="Times New Roman"/>
                <w:b/>
                <w:szCs w:val="24"/>
              </w:rPr>
            </w:pPr>
            <w:r>
              <w:rPr>
                <w:rFonts w:hint="eastAsia" w:cs="Times New Roman"/>
                <w:b/>
                <w:szCs w:val="24"/>
              </w:rPr>
              <w:t>12、公司未来发展规划与业务增长点？</w:t>
            </w:r>
          </w:p>
          <w:p w14:paraId="6B3E058D">
            <w:pPr>
              <w:rPr>
                <w:szCs w:val="24"/>
              </w:rPr>
            </w:pPr>
            <w:r>
              <w:rPr>
                <w:rFonts w:hint="eastAsia"/>
                <w:szCs w:val="21"/>
              </w:rPr>
              <w:t>一是坚守大客户战略，深化与全球头部终端客户的长期稳定合作，深挖全品类产品交叉销售机会，全面推进全球化布局；二是重点布局智能汽车、智能零售、智慧物流、智能寻物、手机卫星通信、商用无人机等高价值增量市场；三是推动射频SoC、其他模拟芯片等多元化产品业绩提升，打造多点支撑的可持续增长格局。</w:t>
            </w:r>
          </w:p>
          <w:p w14:paraId="06F0FE65">
            <w:pPr>
              <w:rPr>
                <w:szCs w:val="24"/>
              </w:rPr>
            </w:pPr>
          </w:p>
        </w:tc>
      </w:tr>
      <w:tr w14:paraId="1400CDBA">
        <w:tblPrEx>
          <w:tblLayout w:type="fixed"/>
        </w:tblPrEx>
        <w:trPr>
          <w:gridAfter w:val="1"/>
          <w:wAfter w:w="225" w:type="dxa"/>
        </w:trPr>
        <w:tc>
          <w:tcPr>
            <w:tcW w:w="2405" w:type="dxa"/>
            <w:vAlign w:val="center"/>
          </w:tcPr>
          <w:p w14:paraId="55F55335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关于本次活动是否涉及应当披露重大信息的说明</w:t>
            </w:r>
          </w:p>
        </w:tc>
        <w:tc>
          <w:tcPr>
            <w:tcW w:w="5891" w:type="dxa"/>
            <w:gridSpan w:val="2"/>
            <w:vAlign w:val="center"/>
          </w:tcPr>
          <w:p w14:paraId="3F86087F">
            <w:pPr>
              <w:jc w:val="center"/>
              <w:rPr>
                <w:szCs w:val="24"/>
              </w:rPr>
            </w:pPr>
            <w:r>
              <w:rPr>
                <w:rFonts w:hint="eastAsia"/>
                <w:bCs/>
                <w:iCs/>
              </w:rPr>
              <w:t>本次活动不涉及应当披露重大信息。</w:t>
            </w:r>
          </w:p>
        </w:tc>
      </w:tr>
      <w:tr w14:paraId="6B617278">
        <w:tblPrEx>
          <w:tblLayout w:type="fixed"/>
        </w:tblPrEx>
        <w:trPr>
          <w:gridAfter w:val="1"/>
          <w:wAfter w:w="225" w:type="dxa"/>
          <w:trHeight w:val="443" w:hRule="atLeast"/>
        </w:trPr>
        <w:tc>
          <w:tcPr>
            <w:tcW w:w="2405" w:type="dxa"/>
            <w:vAlign w:val="center"/>
          </w:tcPr>
          <w:p w14:paraId="40278F29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</w:tc>
        <w:tc>
          <w:tcPr>
            <w:tcW w:w="5891" w:type="dxa"/>
            <w:gridSpan w:val="2"/>
            <w:vAlign w:val="center"/>
          </w:tcPr>
          <w:p w14:paraId="7AC0C83D">
            <w:pPr>
              <w:jc w:val="center"/>
              <w:rPr>
                <w:szCs w:val="24"/>
              </w:rPr>
            </w:pPr>
          </w:p>
        </w:tc>
      </w:tr>
      <w:tr w14:paraId="79A04ACA">
        <w:tblPrEx>
          <w:tblLayout w:type="fixed"/>
        </w:tblPrEx>
        <w:trPr>
          <w:gridAfter w:val="1"/>
          <w:wAfter w:w="225" w:type="dxa"/>
          <w:trHeight w:val="407" w:hRule="atLeast"/>
        </w:trPr>
        <w:tc>
          <w:tcPr>
            <w:tcW w:w="2405" w:type="dxa"/>
            <w:vAlign w:val="center"/>
          </w:tcPr>
          <w:p w14:paraId="35917F9D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5891" w:type="dxa"/>
            <w:gridSpan w:val="2"/>
            <w:vAlign w:val="center"/>
          </w:tcPr>
          <w:p w14:paraId="552ACB7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年5月9日-5月28日</w:t>
            </w:r>
          </w:p>
        </w:tc>
      </w:tr>
    </w:tbl>
    <w:p w14:paraId="198A44CA">
      <w:pPr>
        <w:spacing w:line="360" w:lineRule="auto"/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1F3CF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批注框文本 字符"/>
    <w:basedOn w:val="7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眉 字符"/>
    <w:basedOn w:val="7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页脚 字符"/>
    <w:basedOn w:val="7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5">
    <w:name w:val="批注文字 字符"/>
    <w:basedOn w:val="7"/>
    <w:link w:val="3"/>
    <w:qFormat/>
    <w:uiPriority w:val="99"/>
    <w:rPr>
      <w:rFonts w:cstheme="minorBidi"/>
      <w:kern w:val="2"/>
      <w:sz w:val="24"/>
      <w:szCs w:val="22"/>
    </w:rPr>
  </w:style>
  <w:style w:type="character" w:customStyle="1" w:styleId="16">
    <w:name w:val="批注主题 字符"/>
    <w:basedOn w:val="15"/>
    <w:link w:val="2"/>
    <w:semiHidden/>
    <w:qFormat/>
    <w:uiPriority w:val="99"/>
    <w:rPr>
      <w:rFonts w:cstheme="minorBidi"/>
      <w:b/>
      <w:bCs/>
      <w:kern w:val="2"/>
      <w:sz w:val="24"/>
      <w:szCs w:val="22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customStyle="1" w:styleId="18">
    <w:name w:val="Revision"/>
    <w:hidden/>
    <w:unhideWhenUsed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2042</Characters>
  <Lines>17</Lines>
  <Paragraphs>4</Paragraphs>
  <ScaleCrop>false</ScaleCrop>
  <LinksUpToDate>false</LinksUpToDate>
  <CharactersWithSpaces>2396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2026-05-30T09:36:00Z</dcterms:created>
  <dc:creator>荣大-李雷</dc:creator>
  <cp:lastModifiedBy>iPhone</cp:lastModifiedBy>
  <dcterms:modified xsi:type="dcterms:W3CDTF">2026-05-29T13:46:32Z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2404036095E249089AA1B1DBFB4EAA85_13</vt:lpwstr>
  </property>
  <property fmtid="{D5CDD505-2E9C-101B-9397-08002B2CF9AE}" pid="4" name="KSOTemplateDocerSaveRecord">
    <vt:lpwstr>eyJoZGlkIjoiNjlmNjM0ZGM3YWE0MzhhMGEzYzNjNjVjMmYxMzczZDIiLCJ1c2VySWQiOiI5ODUwOTIxMTQifQ==</vt:lpwstr>
  </property>
  <property fmtid="{D5CDD505-2E9C-101B-9397-08002B2CF9AE}" pid="5" name="_IPGFID">
    <vt:lpwstr>[DocID]=7364E7FA-B6AC-44B8-A7AF-981DAC026463</vt:lpwstr>
  </property>
  <property fmtid="{D5CDD505-2E9C-101B-9397-08002B2CF9AE}" pid="6" name="_IPGFLOW_P-846A_E-1_FP-1_SP-1_CV-70142AE6_CN-2D7FDE03">
    <vt:lpwstr>x1FI1iKnTISZC5VprRp16YiBUAdV52ALrD1PeH27Rpdac++0tippbaye/MeiYSzjuJgr46Wnz4LzNP2UtBJzzMAm2+juCiYc/MrLOVRft+l9t9NdVqVaCfnrGMNkjLDGXxw7PZXxvDSucRTd7bLTYlf5pZaVXiHF8N/eQsT1TfoMER4F3P/nympIKBwVGbMHaoejmFZktMOweXUQaylhv6KoL5nbinDG7hkj8c7g8O6MhjObFX7+bPvNqdTkhhj</vt:lpwstr>
  </property>
  <property fmtid="{D5CDD505-2E9C-101B-9397-08002B2CF9AE}" pid="7" name="_IPGFLOW_P-846A_E-1_FP-1_SP-2_CV-4C0E9E94_CN-71D81D49">
    <vt:lpwstr>YNobE7AbOzoo7IP3ORdo0nDTXsajMzFfqAXjUVnf//Z8Xj2FmhMIqB7d0qcqOTIa97XcZ0N3sz83f13Qz/0nq1b7/N8rBFsi/b2HAWoy/hfzRDFz6tYrkLNRqCpRwiz6e</vt:lpwstr>
  </property>
  <property fmtid="{D5CDD505-2E9C-101B-9397-08002B2CF9AE}" pid="8" name="_IPGFLOW_P-846A_E-0_FP-1_CV-1748F583_CN-7C72998D">
    <vt:lpwstr>DPSPMK|3|384|2|0</vt:lpwstr>
  </property>
  <property fmtid="{D5CDD505-2E9C-101B-9397-08002B2CF9AE}" pid="9" name="_IPGFLOW_P-846A_E-1_FP-2_SP-1_CV-DA22933A_CN-919DC853">
    <vt:lpwstr>x1FI1iKnTISZC5VprRp16eRdzAAoB8uogNLMt+ZcIzE2VefP5PbMFEVsfTTzXKXJzuP+U8aXXtyHDtqF7nulCm/76IuvTBZGrknOOf+XISP1xdm4yJBF5r+vP+clad2stLiRishBLqbH7Oa9mt54MQE+6xwnDb0cD9423IgSlTAAtS5xU4JCgft/OVzbIiGYro20uXkBn90dCwnyYELHHDm/h5bYSTVvYBDR2Llr5EfOcK19PJUOsXJljD3TyK8</vt:lpwstr>
  </property>
  <property fmtid="{D5CDD505-2E9C-101B-9397-08002B2CF9AE}" pid="10" name="_IPGFLOW_P-846A_E-1_FP-2_SP-2_CV-F451EBE_CN-3F1C95F6">
    <vt:lpwstr>mzaP1LqaB/S5sLnBMjL/JkilDfxekLZ4tQIT3Wql2QOBl0LDBDpHENQ4I9hfQJSfq4h6B1o7z2VHujO2pAfJ6Fr666vtS2XhZY+Eo4Ds/DQ7PAEEIzjPyPqgErp+vDq8X</vt:lpwstr>
  </property>
  <property fmtid="{D5CDD505-2E9C-101B-9397-08002B2CF9AE}" pid="11" name="_IPGFLOW_P-846A_E-0_FP-2_CV-1748F583_CN-C1B8F543">
    <vt:lpwstr>DPSPMK|3|384|2|0</vt:lpwstr>
  </property>
  <property fmtid="{D5CDD505-2E9C-101B-9397-08002B2CF9AE}" pid="12" name="_IPGFLOW_P-846A_E-1_FP-3_SP-1_CV-6A9DF277_CN-637BC603">
    <vt:lpwstr>x1FI1iKnTISZC5VprRp16S+Rhd0HU9hpVcXqLOe0z4xOb1KX5JVP3TWZ7dp4eISU803DBl7VQxb3Gfr386tAVuWr0+V5yoGsPNcQ1qXsdzuAc2YMCWaQ91fQg0su9JrPYz7OC2KgIs0hrJnWtHXStF/mB+XBzf4JsiOxtBg+ETx264XETkcPJ9d3ZRqglTrg5SRoHRVt6echKSLuU67bgQOlEtZN6tBszsZkqDXN1+Crl0ugK2+lgMflMDgWCpl</vt:lpwstr>
  </property>
  <property fmtid="{D5CDD505-2E9C-101B-9397-08002B2CF9AE}" pid="13" name="_IPGFLOW_P-846A_E-1_FP-3_SP-2_CV-D8DFF8B6_CN-AC90DC54">
    <vt:lpwstr>/blrxAHcPTCBLVsW+Bksl+ANF/b3JLA5jQ4C8mMAKbVSMPflXn4lDgDXLgDogWpIeMk3CPks46UOG3LQU10yrWLUgBfTj3lmKUmBD8NkZrsBymJNeUpaS2wiXBJ2Mt64i</vt:lpwstr>
  </property>
  <property fmtid="{D5CDD505-2E9C-101B-9397-08002B2CF9AE}" pid="14" name="_IPGFLOW_P-846A_E-0_FP-3_CV-1748F583_CN-1C2E2CC6">
    <vt:lpwstr>DPSPMK|3|384|2|0</vt:lpwstr>
  </property>
  <property fmtid="{D5CDD505-2E9C-101B-9397-08002B2CF9AE}" pid="15" name="_IPGFLOW_P-846A_E-1_FP-4_SP-1_CV-7CFC6AF_CN-28593090">
    <vt:lpwstr>x1FI1iKnTISZC5VprRp16aCGbHdZg7cXVlr94Wcr82jUoZmcu14n7kjAOnP0CHUjTL9y1JMo7hGPTF9XU89ZR+YQD1y4rCd1G2WYuT5N3bHVs2jxeYrKvk7ZN7nDR7h08JcJq0ZvOlKkANcHwNgNEV47Y+FA6g1L+iorJVKxRJRBj7rZRT70DOuh1XS95ofPpxs80Cls7s7ouDphRTuPO7ElofZuuaARm2ADrLSOD6EYG+CHtIgGHvVQlgGSgpg</vt:lpwstr>
  </property>
  <property fmtid="{D5CDD505-2E9C-101B-9397-08002B2CF9AE}" pid="16" name="_IPGFLOW_P-846A_E-1_FP-4_SP-2_CV-EBC57F37_CN-A6B409EE">
    <vt:lpwstr>4XWLKogJcoXaw3Qy/FlGbRXsyXmZmGe6B0FXJEKLDrkOUGlD3Jkr/pq+8xx5OR+HojfH+hKMycBgcfBVKkA47pybseMBu3kPmEqfzjjrOQ/h6QccZPWyCq+KHTNn4zK1l</vt:lpwstr>
  </property>
  <property fmtid="{D5CDD505-2E9C-101B-9397-08002B2CF9AE}" pid="17" name="_IPGFLOW_P-846A_E-0_FP-4_CV-1748F583_CN-615D2A9E">
    <vt:lpwstr>DPSPMK|3|384|2|0</vt:lpwstr>
  </property>
  <property fmtid="{D5CDD505-2E9C-101B-9397-08002B2CF9AE}" pid="18" name="_IPGFLOW_P-846A_E-1_FP-5_SP-1_CV-7A6750EB_CN-A9E11709">
    <vt:lpwstr>uSlQyGhtTOVA4YD2kaB67vgeU3B4IUqClh5ID54inCSQPGPcntX5xtTG8t7wdoS3ik+MYgyZcOsjK5SyJeNgrHg3X48xIexJZI3SQ0/Yw1g5p62BxE38ocpO/M+blh9lP12sEMpbk/JctYpUgmD8+ea3qPhoEYZ06jEfqFP4C8J47U0HIXFkAE0piiHod1Tfgyyzx9DCB+csOC8ATTb1gtidSKkBH5g4jL286x5tS5o2vOqtTlWr8oUlYNs4PvW</vt:lpwstr>
  </property>
  <property fmtid="{D5CDD505-2E9C-101B-9397-08002B2CF9AE}" pid="19" name="_IPGFLOW_P-846A_E-1_FP-5_SP-2_CV-2C4ECE8E_CN-1D15B1CD">
    <vt:lpwstr>ioHeNllUeiC0jQCfMGYJVTKCjgvWWs7+0T4z6KUgwlC0Q/aOQr4ZPxsociMkd9YaweVGwSBuEiAXKoGC36l/BrASiOfPLRkFhlv4vKcYAgfZoGpIln+U1ZLRO0Ya84A47</vt:lpwstr>
  </property>
  <property fmtid="{D5CDD505-2E9C-101B-9397-08002B2CF9AE}" pid="20" name="_IPGFLOW_P-846A_E-0_FP-5_CV-1748F583_CN-BCCBF31B">
    <vt:lpwstr>DPSPMK|3|384|2|0</vt:lpwstr>
  </property>
  <property fmtid="{D5CDD505-2E9C-101B-9397-08002B2CF9AE}" pid="21" name="_IPGLAB_P-846A_E-1_CV-A59920A2_CN-26D2A799">
    <vt:lpwstr>GU7+EQoym+JVDSMZq0+egt1unuxJTOLpEjCr50E/ra5jjxjGpN/p2ySzcPJZE+0OVJOQ1SDtou3cy82bwwdgJGkAzXT0JfZ3mCwCZQ4cDwQ=</vt:lpwstr>
  </property>
  <property fmtid="{D5CDD505-2E9C-101B-9397-08002B2CF9AE}" pid="22" name="_IPGFLOW_P-846A_E-0_CV-8D1D1A69_CN-9B634C54">
    <vt:lpwstr>DPFPMK|3|50|6|0</vt:lpwstr>
  </property>
  <property fmtid="{D5CDD505-2E9C-101B-9397-08002B2CF9AE}" pid="23" name="_IPGFLOW_P-846A_E-1_FP-6_SP-1_CV-C7A14024_CN-1C062494">
    <vt:lpwstr>IJWzzBypZ5DuXmDIVQneznv7WV5plXJroe3LqMPYMlsTdrm9AgFdypyhKnlvD2aDlisv05WwR1Vfg1mngrMw5YEEMuC8sQRW8Y2u2dE973cojitPKUU++fJ3RFMKvWtgA72o+Lah1qmOtwRVbtKiZuA8HKEJgwrlDrqV4FoYMUetrkX0y9vmNN3GdubfFp1XjJO2QhX4ObKoSuC2SFOMihrXk+/6spK7CrFwj/vhh7kfB7DDS75jvRPZf/tHiPv</vt:lpwstr>
  </property>
  <property fmtid="{D5CDD505-2E9C-101B-9397-08002B2CF9AE}" pid="24" name="_IPGFLOW_P-846A_E-1_FP-6_SP-2_CV-A88BDA79_CN-BA34D3DB">
    <vt:lpwstr>Ksmsj63VDiI2OucLF/L3NsH2aHTVkQB75aY+9FYq9VtHGFaD5QUU9CnTicIrsml0Sb/jJP/bqr00/qxUuY9n/1JZXTt8IJzSNbjryAzraVcp8Ss24KywZ7LzeAmDi7g9e</vt:lpwstr>
  </property>
  <property fmtid="{D5CDD505-2E9C-101B-9397-08002B2CF9AE}" pid="25" name="_IPGFLOW_P-846A_E-0_FP-6_CV-1748F583_CN-1019FD5">
    <vt:lpwstr>DPSPMK|3|384|2|0</vt:lpwstr>
  </property>
</Properties>
</file>