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BD" w:rsidRDefault="004B7065">
      <w:pPr>
        <w:spacing w:beforeLines="50" w:before="156" w:afterLines="50" w:after="156" w:line="400" w:lineRule="exac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证券代码：688500                                   证券简称：慧辰股份</w:t>
      </w:r>
    </w:p>
    <w:p w:rsidR="00F732BD" w:rsidRDefault="004B7065">
      <w:pPr>
        <w:spacing w:beforeLines="50" w:before="156" w:afterLines="50" w:after="156" w:line="400" w:lineRule="exact"/>
        <w:jc w:val="center"/>
        <w:rPr>
          <w:rFonts w:asciiTheme="minorEastAsia" w:eastAsiaTheme="minorEastAsia" w:hAnsiTheme="minorEastAsia"/>
          <w:b/>
          <w:bCs/>
          <w:iCs/>
          <w:sz w:val="24"/>
          <w:szCs w:val="24"/>
        </w:rPr>
      </w:pPr>
      <w:r>
        <w:rPr>
          <w:rFonts w:asciiTheme="minorEastAsia" w:eastAsiaTheme="minorEastAsia" w:hAnsiTheme="minorEastAsia" w:hint="eastAsia"/>
          <w:b/>
          <w:bCs/>
          <w:iCs/>
          <w:sz w:val="24"/>
          <w:szCs w:val="24"/>
        </w:rPr>
        <w:t>北京慧辰资道资讯股份有限公司</w:t>
      </w:r>
    </w:p>
    <w:p w:rsidR="00F732BD" w:rsidRDefault="004B7065">
      <w:pPr>
        <w:spacing w:beforeLines="50" w:before="156" w:afterLines="50" w:after="156" w:line="400" w:lineRule="exact"/>
        <w:jc w:val="center"/>
        <w:rPr>
          <w:rFonts w:asciiTheme="minorEastAsia" w:eastAsiaTheme="minorEastAsia" w:hAnsiTheme="minorEastAsia"/>
          <w:b/>
          <w:bCs/>
          <w:iCs/>
          <w:sz w:val="24"/>
          <w:szCs w:val="24"/>
        </w:rPr>
      </w:pPr>
      <w:r>
        <w:rPr>
          <w:rFonts w:asciiTheme="minorEastAsia" w:eastAsiaTheme="minorEastAsia" w:hAnsiTheme="minorEastAsia" w:hint="eastAsia"/>
          <w:b/>
          <w:bCs/>
          <w:iCs/>
          <w:sz w:val="24"/>
          <w:szCs w:val="24"/>
        </w:rPr>
        <w:t>投资者关系活动记录表</w:t>
      </w:r>
    </w:p>
    <w:p w:rsidR="00F732BD" w:rsidRDefault="004B7065">
      <w:pPr>
        <w:jc w:val="righ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编号：</w:t>
      </w:r>
      <w:r w:rsidR="00941937">
        <w:rPr>
          <w:rFonts w:asciiTheme="minorEastAsia" w:eastAsiaTheme="minorEastAsia" w:hAnsiTheme="minorEastAsia" w:hint="eastAsia"/>
          <w:bCs/>
          <w:iCs/>
          <w:sz w:val="24"/>
          <w:szCs w:val="24"/>
        </w:rPr>
        <w:t>2026-001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7302"/>
      </w:tblGrid>
      <w:tr w:rsidR="00F732BD">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投资者关系活动类别</w:t>
            </w:r>
          </w:p>
          <w:p w:rsidR="00F732BD" w:rsidRDefault="00F732BD">
            <w:pPr>
              <w:spacing w:line="480" w:lineRule="atLeast"/>
              <w:rPr>
                <w:rFonts w:asciiTheme="minorEastAsia" w:eastAsiaTheme="minorEastAsia" w:hAnsiTheme="minorEastAsia"/>
                <w:bCs/>
                <w:iCs/>
                <w:sz w:val="24"/>
                <w:szCs w:val="24"/>
              </w:rPr>
            </w:pPr>
          </w:p>
        </w:tc>
        <w:tc>
          <w:tcPr>
            <w:tcW w:w="7302" w:type="dxa"/>
            <w:tcBorders>
              <w:top w:val="single" w:sz="4" w:space="0" w:color="auto"/>
              <w:left w:val="single" w:sz="4" w:space="0" w:color="auto"/>
              <w:bottom w:val="single" w:sz="4" w:space="0" w:color="auto"/>
              <w:right w:val="single" w:sz="4" w:space="0" w:color="auto"/>
            </w:tcBorders>
          </w:tcPr>
          <w:p w:rsidR="00F732BD" w:rsidRDefault="00B1355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sym w:font="Wingdings 2" w:char="F052"/>
            </w:r>
            <w:r w:rsidR="004B7065">
              <w:rPr>
                <w:rFonts w:asciiTheme="minorEastAsia" w:eastAsiaTheme="minorEastAsia" w:hAnsiTheme="minorEastAsia" w:hint="eastAsia"/>
                <w:bCs/>
                <w:iCs/>
                <w:sz w:val="24"/>
                <w:szCs w:val="24"/>
              </w:rPr>
              <w:t>特定对象调研        □分析师会议</w:t>
            </w:r>
          </w:p>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□媒体采访            </w:t>
            </w:r>
            <w:r w:rsidR="00A77735">
              <w:rPr>
                <w:rFonts w:asciiTheme="minorEastAsia" w:eastAsiaTheme="minorEastAsia" w:hAnsiTheme="minorEastAsia" w:hint="eastAsia"/>
                <w:bCs/>
                <w:iCs/>
                <w:sz w:val="24"/>
                <w:szCs w:val="24"/>
              </w:rPr>
              <w:sym w:font="Wingdings 2" w:char="F052"/>
            </w:r>
            <w:r>
              <w:rPr>
                <w:rFonts w:asciiTheme="minorEastAsia" w:eastAsiaTheme="minorEastAsia" w:hAnsiTheme="minorEastAsia" w:hint="eastAsia"/>
                <w:bCs/>
                <w:iCs/>
                <w:sz w:val="24"/>
                <w:szCs w:val="24"/>
              </w:rPr>
              <w:t>业绩说明会</w:t>
            </w:r>
          </w:p>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□新闻发布会          </w:t>
            </w:r>
            <w:r w:rsidR="00A77735" w:rsidRPr="00A77735">
              <w:rPr>
                <w:rFonts w:asciiTheme="minorEastAsia" w:eastAsiaTheme="minorEastAsia" w:hAnsiTheme="minorEastAsia" w:hint="eastAsia"/>
                <w:bCs/>
                <w:iCs/>
                <w:sz w:val="24"/>
                <w:szCs w:val="24"/>
              </w:rPr>
              <w:t>□</w:t>
            </w:r>
            <w:r>
              <w:rPr>
                <w:rFonts w:asciiTheme="minorEastAsia" w:eastAsiaTheme="minorEastAsia" w:hAnsiTheme="minorEastAsia" w:hint="eastAsia"/>
                <w:bCs/>
                <w:iCs/>
                <w:sz w:val="24"/>
                <w:szCs w:val="24"/>
              </w:rPr>
              <w:t>路演活动</w:t>
            </w:r>
          </w:p>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□现场参观</w:t>
            </w:r>
            <w:r>
              <w:rPr>
                <w:rFonts w:asciiTheme="minorEastAsia" w:eastAsiaTheme="minorEastAsia" w:hAnsiTheme="minorEastAsia" w:hint="eastAsia"/>
                <w:bCs/>
                <w:iCs/>
                <w:sz w:val="24"/>
                <w:szCs w:val="24"/>
              </w:rPr>
              <w:tab/>
            </w:r>
          </w:p>
          <w:p w:rsidR="00F732BD" w:rsidRDefault="00B13555">
            <w:pPr>
              <w:tabs>
                <w:tab w:val="center" w:pos="3199"/>
              </w:tabs>
              <w:spacing w:line="480" w:lineRule="atLeast"/>
              <w:rPr>
                <w:rFonts w:asciiTheme="minorEastAsia" w:eastAsiaTheme="minorEastAsia" w:hAnsiTheme="minorEastAsia"/>
                <w:bCs/>
                <w:iCs/>
                <w:sz w:val="24"/>
                <w:szCs w:val="24"/>
              </w:rPr>
            </w:pPr>
            <w:r w:rsidRPr="00B13555">
              <w:rPr>
                <w:rFonts w:asciiTheme="minorEastAsia" w:eastAsiaTheme="minorEastAsia" w:hAnsiTheme="minorEastAsia" w:hint="eastAsia"/>
                <w:bCs/>
                <w:iCs/>
                <w:sz w:val="24"/>
                <w:szCs w:val="24"/>
              </w:rPr>
              <w:t>□</w:t>
            </w:r>
            <w:r w:rsidR="004B7065">
              <w:rPr>
                <w:rFonts w:asciiTheme="minorEastAsia" w:eastAsiaTheme="minorEastAsia" w:hAnsiTheme="minorEastAsia" w:hint="eastAsia"/>
                <w:bCs/>
                <w:iCs/>
                <w:sz w:val="24"/>
                <w:szCs w:val="24"/>
              </w:rPr>
              <w:t>其他（电话会议）</w:t>
            </w:r>
          </w:p>
        </w:tc>
      </w:tr>
      <w:tr w:rsidR="00F732BD">
        <w:trPr>
          <w:trHeight w:val="732"/>
        </w:trPr>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参与单位名称及人员姓名</w:t>
            </w:r>
          </w:p>
        </w:tc>
        <w:tc>
          <w:tcPr>
            <w:tcW w:w="7302" w:type="dxa"/>
            <w:tcBorders>
              <w:top w:val="single" w:sz="4" w:space="0" w:color="auto"/>
              <w:left w:val="single" w:sz="4" w:space="0" w:color="auto"/>
              <w:bottom w:val="single" w:sz="4" w:space="0" w:color="auto"/>
              <w:right w:val="single" w:sz="4" w:space="0" w:color="auto"/>
            </w:tcBorders>
            <w:vAlign w:val="center"/>
          </w:tcPr>
          <w:p w:rsidR="00B13555" w:rsidRDefault="007506DC" w:rsidP="00B13555">
            <w:pPr>
              <w:spacing w:line="360" w:lineRule="auto"/>
              <w:jc w:val="left"/>
              <w:rPr>
                <w:rFonts w:asciiTheme="minorEastAsia" w:eastAsiaTheme="minorEastAsia" w:hAnsiTheme="minorEastAsia"/>
                <w:bCs/>
                <w:iCs/>
                <w:sz w:val="24"/>
                <w:szCs w:val="24"/>
              </w:rPr>
            </w:pPr>
            <w:r>
              <w:rPr>
                <w:rFonts w:asciiTheme="minorEastAsia" w:eastAsiaTheme="minorEastAsia" w:hAnsiTheme="minorEastAsia"/>
                <w:bCs/>
                <w:iCs/>
                <w:sz w:val="24"/>
                <w:szCs w:val="24"/>
              </w:rPr>
              <w:t>见附件</w:t>
            </w:r>
          </w:p>
        </w:tc>
      </w:tr>
      <w:tr w:rsidR="00F732BD">
        <w:trPr>
          <w:trHeight w:val="604"/>
        </w:trPr>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时间</w:t>
            </w:r>
          </w:p>
        </w:tc>
        <w:tc>
          <w:tcPr>
            <w:tcW w:w="7302" w:type="dxa"/>
            <w:tcBorders>
              <w:top w:val="single" w:sz="4" w:space="0" w:color="auto"/>
              <w:left w:val="single" w:sz="4" w:space="0" w:color="auto"/>
              <w:bottom w:val="single" w:sz="4" w:space="0" w:color="auto"/>
              <w:right w:val="single" w:sz="4" w:space="0" w:color="auto"/>
            </w:tcBorders>
          </w:tcPr>
          <w:p w:rsidR="00F732BD" w:rsidRDefault="004B7065" w:rsidP="00B1355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202</w:t>
            </w:r>
            <w:r w:rsidR="00941937">
              <w:rPr>
                <w:rFonts w:asciiTheme="minorEastAsia" w:eastAsiaTheme="minorEastAsia" w:hAnsiTheme="minorEastAsia" w:hint="eastAsia"/>
                <w:bCs/>
                <w:iCs/>
                <w:sz w:val="24"/>
                <w:szCs w:val="24"/>
              </w:rPr>
              <w:t>6</w:t>
            </w:r>
            <w:r>
              <w:rPr>
                <w:rFonts w:asciiTheme="minorEastAsia" w:eastAsiaTheme="minorEastAsia" w:hAnsiTheme="minorEastAsia" w:hint="eastAsia"/>
                <w:bCs/>
                <w:iCs/>
                <w:sz w:val="24"/>
                <w:szCs w:val="24"/>
              </w:rPr>
              <w:t>年</w:t>
            </w:r>
            <w:r w:rsidR="00941937">
              <w:rPr>
                <w:rFonts w:asciiTheme="minorEastAsia" w:eastAsiaTheme="minorEastAsia" w:hAnsiTheme="minorEastAsia" w:hint="eastAsia"/>
                <w:bCs/>
                <w:iCs/>
                <w:sz w:val="24"/>
                <w:szCs w:val="24"/>
              </w:rPr>
              <w:t>5</w:t>
            </w:r>
            <w:r>
              <w:rPr>
                <w:rFonts w:asciiTheme="minorEastAsia" w:eastAsiaTheme="minorEastAsia" w:hAnsiTheme="minorEastAsia" w:hint="eastAsia"/>
                <w:bCs/>
                <w:iCs/>
                <w:sz w:val="24"/>
                <w:szCs w:val="24"/>
              </w:rPr>
              <w:t>月</w:t>
            </w:r>
          </w:p>
        </w:tc>
      </w:tr>
      <w:tr w:rsidR="00F732BD">
        <w:trPr>
          <w:trHeight w:val="696"/>
        </w:trPr>
        <w:tc>
          <w:tcPr>
            <w:tcW w:w="1220" w:type="dxa"/>
            <w:tcBorders>
              <w:top w:val="single" w:sz="4" w:space="0" w:color="auto"/>
              <w:left w:val="single" w:sz="4" w:space="0" w:color="auto"/>
              <w:bottom w:val="single" w:sz="4" w:space="0" w:color="auto"/>
              <w:right w:val="single" w:sz="4" w:space="0" w:color="auto"/>
            </w:tcBorders>
            <w:vAlign w:val="center"/>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地点</w:t>
            </w:r>
          </w:p>
        </w:tc>
        <w:tc>
          <w:tcPr>
            <w:tcW w:w="7302" w:type="dxa"/>
            <w:tcBorders>
              <w:top w:val="single" w:sz="4" w:space="0" w:color="auto"/>
              <w:left w:val="single" w:sz="4" w:space="0" w:color="auto"/>
              <w:bottom w:val="single" w:sz="4" w:space="0" w:color="auto"/>
              <w:right w:val="single" w:sz="4" w:space="0" w:color="auto"/>
            </w:tcBorders>
            <w:vAlign w:val="center"/>
          </w:tcPr>
          <w:p w:rsidR="00F732BD" w:rsidRDefault="00B13555">
            <w:pPr>
              <w:spacing w:line="360" w:lineRule="auto"/>
              <w:jc w:val="left"/>
              <w:rPr>
                <w:rFonts w:asciiTheme="minorEastAsia" w:eastAsiaTheme="minorEastAsia" w:hAnsiTheme="minorEastAsia"/>
                <w:bCs/>
                <w:iCs/>
                <w:sz w:val="24"/>
                <w:szCs w:val="24"/>
              </w:rPr>
            </w:pPr>
            <w:r>
              <w:rPr>
                <w:rFonts w:asciiTheme="minorEastAsia" w:eastAsiaTheme="minorEastAsia" w:hAnsiTheme="minorEastAsia" w:hint="eastAsia"/>
                <w:sz w:val="24"/>
                <w:szCs w:val="24"/>
              </w:rPr>
              <w:t>公司会议室、</w:t>
            </w:r>
            <w:r w:rsidR="00EE1A2C" w:rsidRPr="00EE1A2C">
              <w:rPr>
                <w:rFonts w:asciiTheme="minorEastAsia" w:eastAsiaTheme="minorEastAsia" w:hAnsiTheme="minorEastAsia" w:hint="eastAsia"/>
                <w:sz w:val="24"/>
                <w:szCs w:val="24"/>
              </w:rPr>
              <w:t>上海证券交易所上证路演中心（网址：http://roadshow.sseinfo.com/）</w:t>
            </w:r>
          </w:p>
        </w:tc>
      </w:tr>
      <w:tr w:rsidR="00F732BD">
        <w:tc>
          <w:tcPr>
            <w:tcW w:w="1220" w:type="dxa"/>
            <w:tcBorders>
              <w:top w:val="single" w:sz="4" w:space="0" w:color="auto"/>
              <w:left w:val="single" w:sz="4" w:space="0" w:color="auto"/>
              <w:bottom w:val="single" w:sz="4" w:space="0" w:color="auto"/>
              <w:right w:val="single" w:sz="4" w:space="0" w:color="auto"/>
            </w:tcBorders>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上市公司接待人员姓名</w:t>
            </w:r>
          </w:p>
        </w:tc>
        <w:tc>
          <w:tcPr>
            <w:tcW w:w="7302" w:type="dxa"/>
            <w:tcBorders>
              <w:top w:val="single" w:sz="4" w:space="0" w:color="auto"/>
              <w:left w:val="single" w:sz="4" w:space="0" w:color="auto"/>
              <w:bottom w:val="single" w:sz="4" w:space="0" w:color="auto"/>
              <w:right w:val="single" w:sz="4" w:space="0" w:color="auto"/>
            </w:tcBorders>
            <w:vAlign w:val="center"/>
          </w:tcPr>
          <w:p w:rsidR="00EE1A2C" w:rsidRPr="00EE1A2C"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公司董事长、总经理</w:t>
            </w:r>
            <w:r w:rsidR="00B13555">
              <w:rPr>
                <w:rFonts w:asciiTheme="minorEastAsia" w:eastAsiaTheme="minorEastAsia" w:hAnsiTheme="minorEastAsia" w:hint="eastAsia"/>
                <w:bCs/>
                <w:iCs/>
                <w:sz w:val="24"/>
                <w:szCs w:val="24"/>
              </w:rPr>
              <w:t>：</w:t>
            </w:r>
            <w:r w:rsidRPr="00EE1A2C">
              <w:rPr>
                <w:rFonts w:asciiTheme="minorEastAsia" w:eastAsiaTheme="minorEastAsia" w:hAnsiTheme="minorEastAsia" w:hint="eastAsia"/>
                <w:bCs/>
                <w:iCs/>
                <w:sz w:val="24"/>
                <w:szCs w:val="24"/>
              </w:rPr>
              <w:t>赵龙先生</w:t>
            </w:r>
          </w:p>
          <w:p w:rsidR="00EE1A2C" w:rsidRPr="00EE1A2C"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董事、财务总监</w:t>
            </w:r>
            <w:r w:rsidR="00B13555">
              <w:rPr>
                <w:rFonts w:asciiTheme="minorEastAsia" w:eastAsiaTheme="minorEastAsia" w:hAnsiTheme="minorEastAsia" w:hint="eastAsia"/>
                <w:bCs/>
                <w:iCs/>
                <w:sz w:val="24"/>
                <w:szCs w:val="24"/>
              </w:rPr>
              <w:t>：</w:t>
            </w:r>
            <w:r w:rsidRPr="00EE1A2C">
              <w:rPr>
                <w:rFonts w:asciiTheme="minorEastAsia" w:eastAsiaTheme="minorEastAsia" w:hAnsiTheme="minorEastAsia" w:hint="eastAsia"/>
                <w:bCs/>
                <w:iCs/>
                <w:sz w:val="24"/>
                <w:szCs w:val="24"/>
              </w:rPr>
              <w:t>杨蕾女士</w:t>
            </w:r>
          </w:p>
          <w:p w:rsidR="00EE1A2C" w:rsidRPr="00EE1A2C"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独立董事</w:t>
            </w:r>
            <w:r w:rsidR="00B13555">
              <w:rPr>
                <w:rFonts w:asciiTheme="minorEastAsia" w:eastAsiaTheme="minorEastAsia" w:hAnsiTheme="minorEastAsia" w:hint="eastAsia"/>
                <w:bCs/>
                <w:iCs/>
                <w:sz w:val="24"/>
                <w:szCs w:val="24"/>
              </w:rPr>
              <w:t>：</w:t>
            </w:r>
            <w:r w:rsidRPr="00EE1A2C">
              <w:rPr>
                <w:rFonts w:asciiTheme="minorEastAsia" w:eastAsiaTheme="minorEastAsia" w:hAnsiTheme="minorEastAsia" w:hint="eastAsia"/>
                <w:bCs/>
                <w:iCs/>
                <w:sz w:val="24"/>
                <w:szCs w:val="24"/>
              </w:rPr>
              <w:t>孟为女士</w:t>
            </w:r>
          </w:p>
          <w:p w:rsidR="00F732BD" w:rsidRDefault="00EE1A2C" w:rsidP="00EE1A2C">
            <w:pPr>
              <w:spacing w:line="360" w:lineRule="auto"/>
              <w:jc w:val="left"/>
              <w:rPr>
                <w:rFonts w:asciiTheme="minorEastAsia" w:eastAsiaTheme="minorEastAsia" w:hAnsiTheme="minorEastAsia"/>
                <w:bCs/>
                <w:iCs/>
                <w:sz w:val="24"/>
                <w:szCs w:val="24"/>
              </w:rPr>
            </w:pPr>
            <w:r w:rsidRPr="00EE1A2C">
              <w:rPr>
                <w:rFonts w:asciiTheme="minorEastAsia" w:eastAsiaTheme="minorEastAsia" w:hAnsiTheme="minorEastAsia" w:hint="eastAsia"/>
                <w:bCs/>
                <w:iCs/>
                <w:sz w:val="24"/>
                <w:szCs w:val="24"/>
              </w:rPr>
              <w:t>董事会秘书</w:t>
            </w:r>
            <w:r w:rsidR="00B13555">
              <w:rPr>
                <w:rFonts w:asciiTheme="minorEastAsia" w:eastAsiaTheme="minorEastAsia" w:hAnsiTheme="minorEastAsia" w:hint="eastAsia"/>
                <w:bCs/>
                <w:iCs/>
                <w:sz w:val="24"/>
                <w:szCs w:val="24"/>
              </w:rPr>
              <w:t>：</w:t>
            </w:r>
            <w:r w:rsidRPr="00EE1A2C">
              <w:rPr>
                <w:rFonts w:asciiTheme="minorEastAsia" w:eastAsiaTheme="minorEastAsia" w:hAnsiTheme="minorEastAsia" w:hint="eastAsia"/>
                <w:bCs/>
                <w:iCs/>
                <w:sz w:val="24"/>
                <w:szCs w:val="24"/>
              </w:rPr>
              <w:t>何东炯先生</w:t>
            </w:r>
          </w:p>
          <w:p w:rsidR="00B13555" w:rsidRDefault="00B13555" w:rsidP="00EE1A2C">
            <w:pPr>
              <w:spacing w:line="360" w:lineRule="auto"/>
              <w:jc w:val="left"/>
              <w:rPr>
                <w:rFonts w:asciiTheme="minorEastAsia" w:eastAsiaTheme="minorEastAsia" w:hAnsiTheme="minorEastAsia"/>
                <w:bCs/>
                <w:iCs/>
                <w:sz w:val="24"/>
                <w:szCs w:val="24"/>
              </w:rPr>
            </w:pPr>
            <w:r w:rsidRPr="00B13555">
              <w:rPr>
                <w:rFonts w:asciiTheme="minorEastAsia" w:eastAsiaTheme="minorEastAsia" w:hAnsiTheme="minorEastAsia" w:hint="eastAsia"/>
                <w:bCs/>
                <w:iCs/>
                <w:sz w:val="24"/>
                <w:szCs w:val="24"/>
              </w:rPr>
              <w:t>资本运营与市场部总经理：杨晓波</w:t>
            </w:r>
            <w:r>
              <w:rPr>
                <w:rFonts w:asciiTheme="minorEastAsia" w:eastAsiaTheme="minorEastAsia" w:hAnsiTheme="minorEastAsia" w:hint="eastAsia"/>
                <w:bCs/>
                <w:iCs/>
                <w:sz w:val="24"/>
                <w:szCs w:val="24"/>
              </w:rPr>
              <w:t>先生</w:t>
            </w:r>
          </w:p>
        </w:tc>
      </w:tr>
      <w:tr w:rsidR="00F732BD">
        <w:trPr>
          <w:trHeight w:val="90"/>
        </w:trPr>
        <w:tc>
          <w:tcPr>
            <w:tcW w:w="1220" w:type="dxa"/>
            <w:tcBorders>
              <w:top w:val="single" w:sz="4" w:space="0" w:color="auto"/>
              <w:left w:val="single" w:sz="4" w:space="0" w:color="auto"/>
              <w:bottom w:val="single" w:sz="4" w:space="0" w:color="auto"/>
              <w:right w:val="single" w:sz="4" w:space="0" w:color="auto"/>
            </w:tcBorders>
            <w:vAlign w:val="center"/>
          </w:tcPr>
          <w:p w:rsidR="00F732BD" w:rsidRDefault="004B7065">
            <w:pPr>
              <w:spacing w:line="480" w:lineRule="atLeas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投资者关系活动主要内容介绍</w:t>
            </w:r>
          </w:p>
          <w:p w:rsidR="00F732BD" w:rsidRDefault="00F732BD">
            <w:pPr>
              <w:spacing w:line="480" w:lineRule="atLeast"/>
              <w:rPr>
                <w:rFonts w:asciiTheme="minorEastAsia" w:eastAsiaTheme="minorEastAsia" w:hAnsiTheme="minorEastAsia"/>
                <w:bCs/>
                <w:iCs/>
                <w:sz w:val="24"/>
                <w:szCs w:val="24"/>
              </w:rPr>
            </w:pPr>
          </w:p>
        </w:tc>
        <w:tc>
          <w:tcPr>
            <w:tcW w:w="7302" w:type="dxa"/>
            <w:tcBorders>
              <w:top w:val="single" w:sz="4" w:space="0" w:color="auto"/>
              <w:left w:val="single" w:sz="4" w:space="0" w:color="auto"/>
              <w:bottom w:val="single" w:sz="4" w:space="0" w:color="auto"/>
              <w:right w:val="single" w:sz="4" w:space="0" w:color="auto"/>
            </w:tcBorders>
          </w:tcPr>
          <w:p w:rsidR="00EE1A2C" w:rsidRPr="00B13555" w:rsidRDefault="00B13555" w:rsidP="00EE1A2C">
            <w:pPr>
              <w:spacing w:beforeLines="20" w:before="62" w:afterLines="20" w:after="62"/>
              <w:rPr>
                <w:rFonts w:asciiTheme="minorEastAsia" w:eastAsiaTheme="minorEastAsia" w:hAnsiTheme="minorEastAsia"/>
                <w:bCs/>
                <w:szCs w:val="21"/>
              </w:rPr>
            </w:pPr>
            <w:r w:rsidRPr="00B13555">
              <w:rPr>
                <w:rFonts w:asciiTheme="minorEastAsia" w:eastAsiaTheme="minorEastAsia" w:hAnsiTheme="minorEastAsia" w:hint="eastAsia"/>
                <w:bCs/>
                <w:szCs w:val="21"/>
              </w:rPr>
              <w:t>投资者沟通交流活动中的主要内容归纳整理如下</w:t>
            </w:r>
            <w:r w:rsidR="00EE1A2C" w:rsidRPr="00B13555">
              <w:rPr>
                <w:rFonts w:asciiTheme="minorEastAsia" w:eastAsiaTheme="minorEastAsia" w:hAnsiTheme="minorEastAsia" w:hint="eastAsia"/>
                <w:bCs/>
                <w:szCs w:val="21"/>
              </w:rPr>
              <w:t>：</w:t>
            </w:r>
          </w:p>
          <w:p w:rsidR="00941937" w:rsidRPr="00941937" w:rsidRDefault="00941937" w:rsidP="00941937">
            <w:pPr>
              <w:spacing w:beforeLines="20" w:before="62" w:afterLines="20" w:after="62"/>
              <w:rPr>
                <w:rFonts w:ascii="宋体" w:hAnsi="宋体" w:cs="宋体"/>
                <w:b/>
                <w:szCs w:val="21"/>
                <w:lang w:val="en"/>
              </w:rPr>
            </w:pPr>
            <w:r w:rsidRPr="00941937">
              <w:rPr>
                <w:rFonts w:ascii="宋体" w:hAnsi="宋体" w:cs="宋体" w:hint="eastAsia"/>
                <w:b/>
                <w:szCs w:val="21"/>
                <w:lang w:val="en"/>
              </w:rPr>
              <w:t>1、请问贵司在应对上游硬件、云计算、存储等产品涨价的情况有何举措？</w:t>
            </w:r>
          </w:p>
          <w:p w:rsidR="00941937" w:rsidRPr="00941937" w:rsidRDefault="00941937" w:rsidP="00941937">
            <w:pPr>
              <w:spacing w:beforeLines="20" w:before="62" w:afterLines="20" w:after="62"/>
              <w:ind w:firstLineChars="200" w:firstLine="422"/>
              <w:rPr>
                <w:rFonts w:ascii="宋体" w:hAnsi="宋体" w:cs="宋体"/>
                <w:b/>
                <w:szCs w:val="21"/>
                <w:lang w:val="en"/>
              </w:rPr>
            </w:pPr>
            <w:r w:rsidRPr="00941937">
              <w:rPr>
                <w:rFonts w:ascii="宋体" w:hAnsi="宋体" w:cs="宋体" w:hint="eastAsia"/>
                <w:b/>
                <w:szCs w:val="21"/>
                <w:lang w:val="en"/>
              </w:rPr>
              <w:t>答:</w:t>
            </w:r>
            <w:r w:rsidRPr="00941937">
              <w:rPr>
                <w:rFonts w:ascii="宋体" w:hAnsi="宋体" w:cs="宋体" w:hint="eastAsia"/>
                <w:szCs w:val="21"/>
                <w:lang w:val="en"/>
              </w:rPr>
              <w:t>公司业务服务能力基本不受相关产品涨价的影响，部分相关资源实际由所服务的客户方提供，且当前自主拥有的资源已可满足近期业务服务能力扩展的需要。公司将密切跟踪上游市场动态，灵活优化经营策略，全力保障盈利水平与股东长期价值。</w:t>
            </w:r>
          </w:p>
          <w:p w:rsidR="00941937" w:rsidRPr="00941937" w:rsidRDefault="00941937" w:rsidP="00941937">
            <w:pPr>
              <w:spacing w:beforeLines="20" w:before="62" w:afterLines="20" w:after="62"/>
              <w:rPr>
                <w:rFonts w:ascii="宋体" w:hAnsi="宋体" w:cs="宋体"/>
                <w:b/>
                <w:szCs w:val="21"/>
                <w:lang w:val="en"/>
              </w:rPr>
            </w:pPr>
            <w:r w:rsidRPr="00941937">
              <w:rPr>
                <w:rFonts w:ascii="宋体" w:hAnsi="宋体" w:cs="宋体" w:hint="eastAsia"/>
                <w:b/>
                <w:szCs w:val="21"/>
                <w:lang w:val="en"/>
              </w:rPr>
              <w:t>2、想请教公司及董秘层面，当前公司估值明显低估、二级市场投资者关注度偏低。后续董秘是否会加大与机构、中小投资者的沟通路演频次，主动传递公司 AI 业务进展、合作落地及业绩成长逻辑，通过常态化市值管理和正向价值传递，稳定市场预期、提振投资者信心？</w:t>
            </w:r>
          </w:p>
          <w:p w:rsidR="00941937" w:rsidRPr="00941937" w:rsidRDefault="00941937" w:rsidP="00941937">
            <w:pPr>
              <w:spacing w:beforeLines="20" w:before="62" w:afterLines="20" w:after="62"/>
              <w:ind w:firstLineChars="200" w:firstLine="422"/>
              <w:rPr>
                <w:rFonts w:ascii="宋体" w:hAnsi="宋体" w:cs="宋体"/>
                <w:szCs w:val="21"/>
                <w:lang w:val="en"/>
              </w:rPr>
            </w:pPr>
            <w:r w:rsidRPr="00941937">
              <w:rPr>
                <w:rFonts w:ascii="宋体" w:hAnsi="宋体" w:cs="宋体" w:hint="eastAsia"/>
                <w:b/>
                <w:szCs w:val="21"/>
                <w:lang w:val="en"/>
              </w:rPr>
              <w:t>答</w:t>
            </w:r>
            <w:r w:rsidRPr="00941937">
              <w:rPr>
                <w:rFonts w:ascii="宋体" w:hAnsi="宋体" w:cs="宋体"/>
                <w:b/>
                <w:szCs w:val="21"/>
                <w:lang w:val="en"/>
              </w:rPr>
              <w:t>:</w:t>
            </w:r>
            <w:r w:rsidRPr="00941937">
              <w:rPr>
                <w:rFonts w:ascii="宋体" w:hAnsi="宋体" w:cs="宋体" w:hint="eastAsia"/>
                <w:szCs w:val="21"/>
                <w:lang w:val="en"/>
              </w:rPr>
              <w:t>感谢您对公司市值管理方面的建议，公司将积极听取吸收投资者对公</w:t>
            </w:r>
            <w:r w:rsidRPr="00941937">
              <w:rPr>
                <w:rFonts w:ascii="宋体" w:hAnsi="宋体" w:cs="宋体" w:hint="eastAsia"/>
                <w:szCs w:val="21"/>
                <w:lang w:val="en"/>
              </w:rPr>
              <w:lastRenderedPageBreak/>
              <w:t>司的建议，增加对外输出的渠道，加强交流的频次，传递好公司在“数据</w:t>
            </w:r>
            <w:r w:rsidRPr="00941937">
              <w:rPr>
                <w:rFonts w:ascii="宋体" w:hAnsi="宋体" w:cs="宋体"/>
                <w:szCs w:val="21"/>
                <w:lang w:val="en"/>
              </w:rPr>
              <w:t>+AI”</w:t>
            </w:r>
            <w:r w:rsidRPr="00941937">
              <w:rPr>
                <w:rFonts w:ascii="宋体" w:hAnsi="宋体" w:cs="宋体" w:hint="eastAsia"/>
                <w:szCs w:val="21"/>
                <w:lang w:val="en"/>
              </w:rPr>
              <w:t>业务上的进展及布局，让更多的投资者了解到公司的价值，同时公司将持续推进业务的开拓、产品的研发等基本盘，实现公司市值合理回归。</w:t>
            </w:r>
            <w:r w:rsidRPr="00941937">
              <w:rPr>
                <w:rFonts w:ascii="宋体" w:hAnsi="宋体" w:cs="宋体"/>
                <w:szCs w:val="21"/>
                <w:lang w:val="en"/>
              </w:rPr>
              <w:t xml:space="preserve"> </w:t>
            </w:r>
          </w:p>
          <w:p w:rsidR="00941937" w:rsidRPr="00941937" w:rsidRDefault="00941937" w:rsidP="00941937">
            <w:pPr>
              <w:spacing w:beforeLines="20" w:before="62" w:afterLines="20" w:after="62"/>
              <w:rPr>
                <w:rFonts w:ascii="宋体" w:hAnsi="宋体" w:cs="宋体"/>
                <w:b/>
                <w:szCs w:val="21"/>
                <w:lang w:val="en"/>
              </w:rPr>
            </w:pPr>
            <w:r w:rsidRPr="00941937">
              <w:rPr>
                <w:rFonts w:ascii="宋体" w:hAnsi="宋体" w:cs="宋体" w:hint="eastAsia"/>
                <w:b/>
                <w:szCs w:val="21"/>
                <w:lang w:val="en"/>
              </w:rPr>
              <w:t>3、请问贵司数据资产一体化管理应用平台和ImpetaGEO数据监测平台是否有预计投入市场的时间点以及目前是否与一些客户形成合作意向？</w:t>
            </w:r>
          </w:p>
          <w:p w:rsidR="00941937" w:rsidRPr="00941937" w:rsidRDefault="00941937" w:rsidP="00941937">
            <w:pPr>
              <w:spacing w:beforeLines="20" w:before="62" w:afterLines="20" w:after="62"/>
              <w:ind w:firstLineChars="200" w:firstLine="422"/>
              <w:rPr>
                <w:rFonts w:ascii="宋体" w:hAnsi="宋体" w:cs="宋体"/>
                <w:b/>
                <w:szCs w:val="21"/>
                <w:lang w:val="en"/>
              </w:rPr>
            </w:pPr>
            <w:r w:rsidRPr="00941937">
              <w:rPr>
                <w:rFonts w:ascii="宋体" w:hAnsi="宋体" w:cs="宋体" w:hint="eastAsia"/>
                <w:b/>
                <w:szCs w:val="21"/>
                <w:lang w:val="en"/>
              </w:rPr>
              <w:t>答:</w:t>
            </w:r>
            <w:r w:rsidRPr="00941937">
              <w:rPr>
                <w:rFonts w:ascii="宋体" w:hAnsi="宋体" w:cs="宋体" w:hint="eastAsia"/>
                <w:szCs w:val="21"/>
                <w:lang w:val="en"/>
              </w:rPr>
              <w:t>公司的相关</w:t>
            </w:r>
            <w:r w:rsidR="00A44514">
              <w:rPr>
                <w:rFonts w:ascii="宋体" w:hAnsi="宋体" w:cs="宋体" w:hint="eastAsia"/>
                <w:szCs w:val="21"/>
                <w:lang w:val="en"/>
              </w:rPr>
              <w:t>平台目前正在持续迭代更新，其中数据资产一体化管理应用平台将会</w:t>
            </w:r>
            <w:r w:rsidRPr="00941937">
              <w:rPr>
                <w:rFonts w:ascii="宋体" w:hAnsi="宋体" w:cs="宋体" w:hint="eastAsia"/>
                <w:szCs w:val="21"/>
                <w:lang w:val="en"/>
              </w:rPr>
              <w:t>完成公司内部各行业数据资源的管理与价值转化，同时也在与行业客户广泛沟通；ImpetaGEO数据监测平台当前版本已向用户测试交付，目前已有意向客户开展进一步洽谈。进一步情况请您持续关注公司发布的信息，谢谢！</w:t>
            </w:r>
          </w:p>
          <w:p w:rsidR="00941937" w:rsidRPr="00941937" w:rsidRDefault="00941937" w:rsidP="00941937">
            <w:pPr>
              <w:spacing w:beforeLines="20" w:before="62" w:afterLines="20" w:after="62"/>
              <w:rPr>
                <w:rFonts w:ascii="宋体" w:hAnsi="宋体" w:cs="宋体"/>
                <w:b/>
                <w:szCs w:val="21"/>
                <w:lang w:val="en"/>
              </w:rPr>
            </w:pPr>
            <w:r w:rsidRPr="00941937">
              <w:rPr>
                <w:rFonts w:ascii="宋体" w:hAnsi="宋体" w:cs="宋体" w:hint="eastAsia"/>
                <w:b/>
                <w:szCs w:val="21"/>
                <w:lang w:val="en"/>
              </w:rPr>
              <w:t>4、贵司长期服务于国内、国际500强公司，请问贵司在存量客户中推广数字产品普及率如何，以及推广普及率目标是多少？</w:t>
            </w:r>
          </w:p>
          <w:p w:rsidR="00941937" w:rsidRPr="00941937" w:rsidRDefault="00941937" w:rsidP="00941937">
            <w:pPr>
              <w:spacing w:beforeLines="20" w:before="62" w:afterLines="20" w:after="62"/>
              <w:ind w:firstLineChars="200" w:firstLine="422"/>
              <w:rPr>
                <w:rFonts w:ascii="宋体" w:hAnsi="宋体" w:cs="宋体"/>
                <w:b/>
                <w:szCs w:val="21"/>
                <w:lang w:val="en"/>
              </w:rPr>
            </w:pPr>
            <w:r w:rsidRPr="00941937">
              <w:rPr>
                <w:rFonts w:ascii="宋体" w:hAnsi="宋体" w:cs="宋体" w:hint="eastAsia"/>
                <w:b/>
                <w:szCs w:val="21"/>
                <w:lang w:val="en"/>
              </w:rPr>
              <w:t>答:</w:t>
            </w:r>
            <w:r w:rsidRPr="00941937">
              <w:rPr>
                <w:rFonts w:ascii="宋体" w:hAnsi="宋体" w:cs="宋体" w:hint="eastAsia"/>
                <w:szCs w:val="21"/>
                <w:lang w:val="en"/>
              </w:rPr>
              <w:t>公司长期服务于国内外优质客户，始终将数字化转型作为赋能客户的重要方向。目前，公司正有序推进存量客户的数字产品普及工作，整体渗透率保持稳步提升态势。未来，公司将持续加大推广力度，深化数字技术与客户业务的融合，助力客户实现高质量发展。</w:t>
            </w:r>
          </w:p>
          <w:p w:rsidR="00941937" w:rsidRPr="00941937" w:rsidRDefault="00941937" w:rsidP="00941937">
            <w:pPr>
              <w:spacing w:beforeLines="20" w:before="62" w:afterLines="20" w:after="62"/>
              <w:rPr>
                <w:rFonts w:ascii="宋体" w:hAnsi="宋体" w:cs="宋体"/>
                <w:b/>
                <w:szCs w:val="21"/>
                <w:lang w:val="en"/>
              </w:rPr>
            </w:pPr>
            <w:r w:rsidRPr="00941937">
              <w:rPr>
                <w:rFonts w:ascii="宋体" w:hAnsi="宋体" w:cs="宋体" w:hint="eastAsia"/>
                <w:b/>
                <w:szCs w:val="21"/>
                <w:lang w:val="en"/>
              </w:rPr>
              <w:t>5、回顾2025年年报，公司在汽车、科技、消费领域营收占比较高，一季度公众号发文说明在这三个领域增长良好，请问贵司为何在比重较高领域增长良好的情况下，经营活动产生的现金流量仅从约1.5亿增加至约1.6亿？</w:t>
            </w:r>
          </w:p>
          <w:p w:rsidR="00941937" w:rsidRPr="00941937" w:rsidRDefault="00941937" w:rsidP="00941937">
            <w:pPr>
              <w:spacing w:beforeLines="20" w:before="62" w:afterLines="20" w:after="62"/>
              <w:ind w:firstLineChars="200" w:firstLine="422"/>
              <w:rPr>
                <w:rFonts w:ascii="宋体" w:hAnsi="宋体" w:cs="宋体"/>
                <w:b/>
                <w:szCs w:val="21"/>
                <w:lang w:val="en"/>
              </w:rPr>
            </w:pPr>
            <w:r w:rsidRPr="00941937">
              <w:rPr>
                <w:rFonts w:ascii="宋体" w:hAnsi="宋体" w:cs="宋体" w:hint="eastAsia"/>
                <w:b/>
                <w:szCs w:val="21"/>
                <w:lang w:val="en"/>
              </w:rPr>
              <w:t>答:</w:t>
            </w:r>
            <w:r w:rsidRPr="00941937">
              <w:rPr>
                <w:rFonts w:ascii="宋体" w:hAnsi="宋体" w:cs="宋体" w:hint="eastAsia"/>
                <w:szCs w:val="21"/>
                <w:lang w:val="en"/>
              </w:rPr>
              <w:t>感谢您对公司业务发展的关注，在业务构成中汽车、科技、消费领域营收占较高，每个行业的客户均有不同的特点，过去一年公司持续强化经营管理，在现金流方面有了积极改善。从公司2025年年报看，现金流方面实现</w:t>
            </w:r>
            <w:r w:rsidR="00A44514">
              <w:rPr>
                <w:rFonts w:ascii="宋体" w:hAnsi="宋体" w:cs="宋体" w:hint="eastAsia"/>
                <w:szCs w:val="21"/>
                <w:lang w:val="en"/>
              </w:rPr>
              <w:t>2,5</w:t>
            </w:r>
            <w:r w:rsidRPr="00941937">
              <w:rPr>
                <w:rFonts w:ascii="宋体" w:hAnsi="宋体" w:cs="宋体" w:hint="eastAsia"/>
                <w:szCs w:val="21"/>
                <w:lang w:val="en"/>
              </w:rPr>
              <w:t>77.85万元，同比增长140.80%；2026年一季度经营活动产生的现金流量净额1</w:t>
            </w:r>
            <w:r w:rsidR="00A44514">
              <w:rPr>
                <w:rFonts w:ascii="宋体" w:hAnsi="宋体" w:cs="宋体" w:hint="eastAsia"/>
                <w:szCs w:val="21"/>
                <w:lang w:val="en"/>
              </w:rPr>
              <w:t>,</w:t>
            </w:r>
            <w:r w:rsidRPr="00941937">
              <w:rPr>
                <w:rFonts w:ascii="宋体" w:hAnsi="宋体" w:cs="宋体" w:hint="eastAsia"/>
                <w:szCs w:val="21"/>
                <w:lang w:val="en"/>
              </w:rPr>
              <w:t>351.20万元，同比显著增长89,213.09%，资金周转效率与抗风险能力持续提升。从数据上看，公司现金流呈现持续向好趋势发展。</w:t>
            </w:r>
          </w:p>
          <w:p w:rsidR="00941937" w:rsidRPr="00941937" w:rsidRDefault="00941937" w:rsidP="00941937">
            <w:pPr>
              <w:spacing w:beforeLines="20" w:before="62" w:afterLines="20" w:after="62"/>
              <w:rPr>
                <w:rFonts w:ascii="宋体" w:hAnsi="宋体" w:cs="宋体"/>
                <w:b/>
                <w:szCs w:val="21"/>
                <w:lang w:val="en"/>
              </w:rPr>
            </w:pPr>
            <w:r w:rsidRPr="00941937">
              <w:rPr>
                <w:rFonts w:ascii="宋体" w:hAnsi="宋体" w:cs="宋体" w:hint="eastAsia"/>
                <w:b/>
                <w:szCs w:val="21"/>
                <w:lang w:val="en"/>
              </w:rPr>
              <w:t>6、请问贵司毛利率下降的主要原因是否是由于采购数据成本上升还是其他原因？</w:t>
            </w:r>
          </w:p>
          <w:p w:rsidR="00941937" w:rsidRPr="00941937" w:rsidRDefault="00941937" w:rsidP="00941937">
            <w:pPr>
              <w:spacing w:beforeLines="20" w:before="62" w:afterLines="20" w:after="62"/>
              <w:ind w:firstLineChars="200" w:firstLine="422"/>
              <w:rPr>
                <w:rFonts w:ascii="宋体" w:hAnsi="宋体" w:cs="宋体"/>
                <w:szCs w:val="21"/>
                <w:lang w:val="en"/>
              </w:rPr>
            </w:pPr>
            <w:r w:rsidRPr="00941937">
              <w:rPr>
                <w:rFonts w:ascii="宋体" w:hAnsi="宋体" w:cs="宋体" w:hint="eastAsia"/>
                <w:b/>
                <w:szCs w:val="21"/>
                <w:lang w:val="en"/>
              </w:rPr>
              <w:t>答:</w:t>
            </w:r>
            <w:r w:rsidRPr="00941937">
              <w:rPr>
                <w:rFonts w:ascii="宋体" w:hAnsi="宋体" w:cs="宋体" w:hint="eastAsia"/>
                <w:szCs w:val="21"/>
                <w:lang w:val="en"/>
              </w:rPr>
              <w:t>受宏观市场环境及行业景气度变化影响，客户整体预算有所收缩，项目议价空间承压；同时数据及服务采购成本上行，双重因素叠加，使得公司本期综合毛利率出现阶段性下滑。公司将通过优化业务结构、严控成本费用、提升高毛利业务占比等举措，持续改善毛利率水平。</w:t>
            </w:r>
          </w:p>
          <w:p w:rsidR="00941937" w:rsidRPr="00941937" w:rsidRDefault="00941937" w:rsidP="00941937">
            <w:pPr>
              <w:spacing w:beforeLines="20" w:before="62" w:afterLines="20" w:after="62"/>
              <w:rPr>
                <w:rFonts w:ascii="宋体" w:hAnsi="宋体" w:cs="宋体"/>
                <w:b/>
                <w:szCs w:val="21"/>
                <w:lang w:val="en"/>
              </w:rPr>
            </w:pPr>
            <w:r w:rsidRPr="00941937">
              <w:rPr>
                <w:rFonts w:ascii="宋体" w:hAnsi="宋体" w:cs="宋体" w:hint="eastAsia"/>
                <w:b/>
                <w:szCs w:val="21"/>
                <w:lang w:val="en"/>
              </w:rPr>
              <w:t>7、想请问公司，2026 年全年营收和扣非净利润有没有明确预期区间？另外医疗、金融两大核心业务，今年计划落地多少家客户，能贡献多少新增毛利？同时公司如何看待当前二级市场股价估值水平，后续有没有稳定市值、提升市场信心的相关举措和规划？</w:t>
            </w:r>
          </w:p>
          <w:p w:rsidR="00941937" w:rsidRPr="00941937" w:rsidRDefault="00941937" w:rsidP="00941937">
            <w:pPr>
              <w:spacing w:beforeLines="20" w:before="62" w:afterLines="20" w:after="62"/>
              <w:ind w:firstLineChars="200" w:firstLine="422"/>
              <w:rPr>
                <w:rFonts w:ascii="宋体" w:hAnsi="宋体" w:cs="宋体"/>
                <w:szCs w:val="21"/>
                <w:lang w:val="en"/>
              </w:rPr>
            </w:pPr>
            <w:r w:rsidRPr="00941937">
              <w:rPr>
                <w:rFonts w:ascii="宋体" w:hAnsi="宋体" w:cs="宋体" w:hint="eastAsia"/>
                <w:b/>
                <w:szCs w:val="21"/>
                <w:lang w:val="en"/>
              </w:rPr>
              <w:t>答:</w:t>
            </w:r>
            <w:r w:rsidRPr="00941937">
              <w:rPr>
                <w:rFonts w:ascii="宋体" w:hAnsi="宋体" w:cs="宋体" w:hint="eastAsia"/>
                <w:szCs w:val="21"/>
                <w:lang w:val="en"/>
              </w:rPr>
              <w:t>感谢您对公司发展的关注，您提到的具体财务数据及客户数据请以公司发布的定期报告数据为准。公司高度重视市值管理工作，发布了市值管理方案，公司将持续开拓业务做好公司基本盘，持续加强与市场交流沟通等多措并举，实现公司市值回归合理区间。</w:t>
            </w:r>
          </w:p>
          <w:p w:rsidR="00941937" w:rsidRPr="00941937" w:rsidRDefault="00941937" w:rsidP="00941937">
            <w:pPr>
              <w:spacing w:beforeLines="20" w:before="62" w:afterLines="20" w:after="62"/>
              <w:rPr>
                <w:rFonts w:ascii="宋体" w:hAnsi="宋体" w:cs="宋体"/>
                <w:b/>
                <w:szCs w:val="21"/>
                <w:lang w:val="en"/>
              </w:rPr>
            </w:pPr>
            <w:r w:rsidRPr="00941937">
              <w:rPr>
                <w:rFonts w:ascii="宋体" w:hAnsi="宋体" w:cs="宋体" w:hint="eastAsia"/>
                <w:b/>
                <w:szCs w:val="21"/>
                <w:lang w:val="en"/>
              </w:rPr>
              <w:t>8、公司今年的目标是扭亏为盈，有什么规划么，通过什么途径</w:t>
            </w:r>
          </w:p>
          <w:p w:rsidR="00941937" w:rsidRPr="00941937" w:rsidRDefault="00941937" w:rsidP="00941937">
            <w:pPr>
              <w:spacing w:beforeLines="20" w:before="62" w:afterLines="20" w:after="62"/>
              <w:ind w:firstLineChars="200" w:firstLine="422"/>
              <w:rPr>
                <w:rFonts w:ascii="宋体" w:hAnsi="宋体" w:cs="宋体"/>
                <w:szCs w:val="21"/>
                <w:lang w:val="en"/>
              </w:rPr>
            </w:pPr>
            <w:r w:rsidRPr="00941937">
              <w:rPr>
                <w:rFonts w:ascii="宋体" w:hAnsi="宋体" w:cs="宋体" w:hint="eastAsia"/>
                <w:b/>
                <w:szCs w:val="21"/>
                <w:lang w:val="en"/>
              </w:rPr>
              <w:t>答:</w:t>
            </w:r>
            <w:r w:rsidRPr="00941937">
              <w:rPr>
                <w:rFonts w:ascii="宋体" w:hAnsi="宋体" w:cs="宋体" w:hint="eastAsia"/>
                <w:szCs w:val="21"/>
                <w:lang w:val="en"/>
              </w:rPr>
              <w:t>公司坚持“数据+AI”的发展战略，随着数据要素及人工智能相关市场的快速发展，公司正在积极拓展业务，提升运营效率，从2026年一季报可以看出，公司在收入拓展和运营效能优化方面有显著成效；同时，公司积极投入</w:t>
            </w:r>
            <w:r w:rsidRPr="00941937">
              <w:rPr>
                <w:rFonts w:ascii="宋体" w:hAnsi="宋体" w:cs="宋体" w:hint="eastAsia"/>
                <w:szCs w:val="21"/>
                <w:lang w:val="en"/>
              </w:rPr>
              <w:lastRenderedPageBreak/>
              <w:t>研发，基于自身长期服务行业头部客户的禀赋，推进AI赋能，向数据相关人工智能服务，具身智能智脑及数采、GEO优化等领域拓展业务，实现业务增长和利润优化</w:t>
            </w:r>
            <w:r w:rsidR="00D3136B">
              <w:rPr>
                <w:rFonts w:ascii="宋体" w:hAnsi="宋体" w:cs="宋体" w:hint="eastAsia"/>
                <w:szCs w:val="21"/>
                <w:lang w:val="en"/>
              </w:rPr>
              <w:t>。</w:t>
            </w:r>
          </w:p>
          <w:p w:rsidR="00941937" w:rsidRPr="00941937" w:rsidRDefault="00941937" w:rsidP="00941937">
            <w:pPr>
              <w:spacing w:beforeLines="20" w:before="62" w:afterLines="20" w:after="62"/>
              <w:rPr>
                <w:rFonts w:ascii="宋体" w:hAnsi="宋体" w:cs="宋体"/>
                <w:b/>
                <w:szCs w:val="21"/>
                <w:lang w:val="en"/>
              </w:rPr>
            </w:pPr>
            <w:r w:rsidRPr="00941937">
              <w:rPr>
                <w:rFonts w:ascii="宋体" w:hAnsi="宋体" w:cs="宋体" w:hint="eastAsia"/>
                <w:b/>
                <w:szCs w:val="21"/>
                <w:lang w:val="en"/>
              </w:rPr>
              <w:t>9、公司今年一季度的新增客户签约情况怎么样？合同金额有无较过去提升？</w:t>
            </w:r>
          </w:p>
          <w:p w:rsidR="00941937" w:rsidRPr="00941937" w:rsidRDefault="00941937" w:rsidP="00941937">
            <w:pPr>
              <w:spacing w:beforeLines="20" w:before="62" w:afterLines="20" w:after="62"/>
              <w:ind w:firstLineChars="200" w:firstLine="422"/>
              <w:rPr>
                <w:rFonts w:ascii="宋体" w:hAnsi="宋体" w:cs="宋体"/>
                <w:szCs w:val="21"/>
                <w:lang w:val="en"/>
              </w:rPr>
            </w:pPr>
            <w:r w:rsidRPr="00941937">
              <w:rPr>
                <w:rFonts w:ascii="宋体" w:hAnsi="宋体" w:cs="宋体" w:hint="eastAsia"/>
                <w:b/>
                <w:szCs w:val="21"/>
                <w:lang w:val="en"/>
              </w:rPr>
              <w:t>答:</w:t>
            </w:r>
            <w:r w:rsidRPr="00941937">
              <w:rPr>
                <w:rFonts w:ascii="宋体" w:hAnsi="宋体" w:cs="宋体" w:hint="eastAsia"/>
                <w:szCs w:val="21"/>
                <w:lang w:val="en"/>
              </w:rPr>
              <w:t>目前，公司客户签约正常，从2026年一季报的财务数据可以看</w:t>
            </w:r>
            <w:r w:rsidR="00A44514">
              <w:rPr>
                <w:rFonts w:ascii="宋体" w:hAnsi="宋体" w:cs="宋体" w:hint="eastAsia"/>
                <w:szCs w:val="21"/>
                <w:lang w:val="en"/>
              </w:rPr>
              <w:t>出</w:t>
            </w:r>
            <w:r w:rsidRPr="00941937">
              <w:rPr>
                <w:rFonts w:ascii="宋体" w:hAnsi="宋体" w:cs="宋体" w:hint="eastAsia"/>
                <w:szCs w:val="21"/>
                <w:lang w:val="en"/>
              </w:rPr>
              <w:t>公司的积极变化。公司2026年一季度营业收入实现1.05亿元，同比增长36.48%，业务规模持续扩大；现金流管理成效显著，经营活动产生的现金流量净额1,351.20万元，同比显著增长，资金周转效率与抗风险能力持续提升；运营效能优化方面，通过AI赋能与内部流程优化，一季度人均产出同比提升48.58%，运营效率显著改善，人力成本的投入产出比持续优化；技术创新是公司发展的核心引擎，报告期内，研发投入较上年同期增长10.50%。从这些数据上看，公司的各项指标均表现不俗，公司将持续提升管理水平，持续提升产品服务能力，持续开拓客户，实现业务的增长。</w:t>
            </w:r>
          </w:p>
          <w:p w:rsidR="00941937" w:rsidRPr="00941937" w:rsidRDefault="00941937" w:rsidP="00941937">
            <w:pPr>
              <w:spacing w:beforeLines="20" w:before="62" w:afterLines="20" w:after="62"/>
              <w:rPr>
                <w:rFonts w:ascii="宋体" w:hAnsi="宋体" w:cs="宋体"/>
                <w:b/>
                <w:szCs w:val="21"/>
                <w:lang w:val="en"/>
              </w:rPr>
            </w:pPr>
            <w:r w:rsidRPr="00941937">
              <w:rPr>
                <w:rFonts w:ascii="宋体" w:hAnsi="宋体" w:cs="宋体" w:hint="eastAsia"/>
                <w:b/>
                <w:szCs w:val="21"/>
                <w:lang w:val="en"/>
              </w:rPr>
              <w:t>1</w:t>
            </w:r>
            <w:r w:rsidR="009C3184">
              <w:rPr>
                <w:rFonts w:ascii="宋体" w:hAnsi="宋体" w:cs="宋体" w:hint="eastAsia"/>
                <w:b/>
                <w:szCs w:val="21"/>
                <w:lang w:val="en"/>
              </w:rPr>
              <w:t>0</w:t>
            </w:r>
            <w:r w:rsidRPr="00941937">
              <w:rPr>
                <w:rFonts w:ascii="宋体" w:hAnsi="宋体" w:cs="宋体" w:hint="eastAsia"/>
                <w:b/>
                <w:szCs w:val="21"/>
                <w:lang w:val="en"/>
              </w:rPr>
              <w:t>、请问贵司一季度计提的信用减值600多万，后续有无收回可能？</w:t>
            </w:r>
          </w:p>
          <w:p w:rsidR="00594F6A" w:rsidRPr="00594F6A" w:rsidRDefault="00941937" w:rsidP="009C3184">
            <w:pPr>
              <w:spacing w:beforeLines="20" w:before="62" w:afterLines="20" w:after="62"/>
              <w:ind w:firstLineChars="200" w:firstLine="422"/>
              <w:rPr>
                <w:rFonts w:ascii="宋体" w:hAnsi="宋体" w:cs="宋体"/>
                <w:szCs w:val="21"/>
                <w:lang w:val="en"/>
              </w:rPr>
            </w:pPr>
            <w:r w:rsidRPr="00941937">
              <w:rPr>
                <w:rFonts w:ascii="宋体" w:hAnsi="宋体" w:cs="宋体" w:hint="eastAsia"/>
                <w:b/>
                <w:szCs w:val="21"/>
                <w:lang w:val="en"/>
              </w:rPr>
              <w:t>答:</w:t>
            </w:r>
            <w:r w:rsidRPr="00941937">
              <w:rPr>
                <w:rFonts w:ascii="宋体" w:hAnsi="宋体" w:cs="宋体" w:hint="eastAsia"/>
                <w:szCs w:val="21"/>
                <w:lang w:val="en"/>
              </w:rPr>
              <w:t>公司一季度计提信用减值损失600余万元，主要基于审慎性原则，对部分应收款项的预期信用风险进行了充分评估，严格按照《企业会计准则》及公司会计政策进行计提。后续若相关款项实际收回，公司将严格依据《企业会计准则》相关规定进行减值转回处理，并及时履行信息披露义务，保障广大投资者的知情权。</w:t>
            </w:r>
            <w:bookmarkStart w:id="0" w:name="_GoBack"/>
            <w:bookmarkEnd w:id="0"/>
          </w:p>
        </w:tc>
      </w:tr>
      <w:tr w:rsidR="00EE1A2C" w:rsidTr="00EE1A2C">
        <w:trPr>
          <w:trHeight w:val="889"/>
        </w:trPr>
        <w:tc>
          <w:tcPr>
            <w:tcW w:w="1220" w:type="dxa"/>
            <w:tcBorders>
              <w:top w:val="single" w:sz="4" w:space="0" w:color="auto"/>
              <w:left w:val="single" w:sz="4" w:space="0" w:color="auto"/>
              <w:bottom w:val="single" w:sz="4" w:space="0" w:color="auto"/>
              <w:right w:val="single" w:sz="4" w:space="0" w:color="auto"/>
            </w:tcBorders>
            <w:vAlign w:val="center"/>
          </w:tcPr>
          <w:p w:rsidR="00EE1A2C" w:rsidRDefault="00EE1A2C" w:rsidP="00EE1A2C">
            <w:pPr>
              <w:spacing w:line="480" w:lineRule="atLeast"/>
              <w:rPr>
                <w:rFonts w:ascii="宋体" w:hAnsi="宋体"/>
                <w:bCs/>
                <w:iCs/>
                <w:sz w:val="24"/>
              </w:rPr>
            </w:pPr>
            <w:r>
              <w:rPr>
                <w:rFonts w:ascii="宋体" w:hAnsi="宋体" w:hint="eastAsia"/>
                <w:bCs/>
                <w:iCs/>
                <w:sz w:val="24"/>
              </w:rPr>
              <w:lastRenderedPageBreak/>
              <w:t>附件清单（如有）</w:t>
            </w:r>
          </w:p>
        </w:tc>
        <w:tc>
          <w:tcPr>
            <w:tcW w:w="7302" w:type="dxa"/>
            <w:tcBorders>
              <w:top w:val="single" w:sz="4" w:space="0" w:color="auto"/>
              <w:left w:val="single" w:sz="4" w:space="0" w:color="auto"/>
              <w:bottom w:val="single" w:sz="4" w:space="0" w:color="auto"/>
              <w:right w:val="single" w:sz="4" w:space="0" w:color="auto"/>
            </w:tcBorders>
            <w:vAlign w:val="center"/>
          </w:tcPr>
          <w:p w:rsidR="007506DC" w:rsidRPr="007506DC" w:rsidRDefault="007506DC" w:rsidP="007506DC">
            <w:pPr>
              <w:spacing w:line="360" w:lineRule="auto"/>
              <w:rPr>
                <w:sz w:val="24"/>
                <w:szCs w:val="24"/>
              </w:rPr>
            </w:pPr>
            <w:r w:rsidRPr="007506DC">
              <w:rPr>
                <w:rFonts w:hint="eastAsia"/>
                <w:sz w:val="24"/>
                <w:szCs w:val="24"/>
              </w:rPr>
              <w:t>北京风炎私募基金管理有限公司</w:t>
            </w:r>
          </w:p>
          <w:p w:rsidR="007506DC" w:rsidRPr="007506DC" w:rsidRDefault="007506DC" w:rsidP="007506DC">
            <w:pPr>
              <w:spacing w:line="360" w:lineRule="auto"/>
              <w:rPr>
                <w:sz w:val="24"/>
                <w:szCs w:val="24"/>
              </w:rPr>
            </w:pPr>
            <w:r w:rsidRPr="007506DC">
              <w:rPr>
                <w:rFonts w:hint="eastAsia"/>
                <w:sz w:val="24"/>
                <w:szCs w:val="24"/>
              </w:rPr>
              <w:t>南京金友私募基金管理有限公司</w:t>
            </w:r>
          </w:p>
          <w:p w:rsidR="007506DC" w:rsidRPr="007506DC" w:rsidRDefault="007506DC" w:rsidP="007506DC">
            <w:pPr>
              <w:spacing w:line="360" w:lineRule="auto"/>
              <w:rPr>
                <w:sz w:val="24"/>
                <w:szCs w:val="24"/>
              </w:rPr>
            </w:pPr>
            <w:r w:rsidRPr="007506DC">
              <w:rPr>
                <w:rFonts w:hint="eastAsia"/>
                <w:sz w:val="24"/>
                <w:szCs w:val="24"/>
              </w:rPr>
              <w:t>平安证券北京分公司</w:t>
            </w:r>
          </w:p>
          <w:p w:rsidR="007506DC" w:rsidRPr="007506DC" w:rsidRDefault="007506DC" w:rsidP="007506DC">
            <w:pPr>
              <w:spacing w:line="360" w:lineRule="auto"/>
              <w:rPr>
                <w:sz w:val="24"/>
                <w:szCs w:val="24"/>
              </w:rPr>
            </w:pPr>
            <w:r w:rsidRPr="007506DC">
              <w:rPr>
                <w:rFonts w:hint="eastAsia"/>
                <w:sz w:val="24"/>
                <w:szCs w:val="24"/>
              </w:rPr>
              <w:t>北京三和宏信投资管理有限公司</w:t>
            </w:r>
          </w:p>
          <w:p w:rsidR="007506DC" w:rsidRPr="007506DC" w:rsidRDefault="007506DC" w:rsidP="007506DC">
            <w:pPr>
              <w:spacing w:line="360" w:lineRule="auto"/>
              <w:rPr>
                <w:sz w:val="24"/>
                <w:szCs w:val="24"/>
              </w:rPr>
            </w:pPr>
            <w:r w:rsidRPr="007506DC">
              <w:rPr>
                <w:rFonts w:hint="eastAsia"/>
                <w:sz w:val="24"/>
                <w:szCs w:val="24"/>
              </w:rPr>
              <w:t>华西证券股份有限公司</w:t>
            </w:r>
          </w:p>
          <w:p w:rsidR="007506DC" w:rsidRPr="007506DC" w:rsidRDefault="007506DC" w:rsidP="007506DC">
            <w:pPr>
              <w:spacing w:line="360" w:lineRule="auto"/>
              <w:rPr>
                <w:sz w:val="24"/>
                <w:szCs w:val="24"/>
              </w:rPr>
            </w:pPr>
            <w:r w:rsidRPr="007506DC">
              <w:rPr>
                <w:rFonts w:hint="eastAsia"/>
                <w:sz w:val="24"/>
                <w:szCs w:val="24"/>
              </w:rPr>
              <w:t>德邦证券股份有限公司北京分公司</w:t>
            </w:r>
          </w:p>
          <w:p w:rsidR="007506DC" w:rsidRPr="007506DC" w:rsidRDefault="007506DC" w:rsidP="007506DC">
            <w:pPr>
              <w:spacing w:line="360" w:lineRule="auto"/>
              <w:rPr>
                <w:sz w:val="24"/>
                <w:szCs w:val="24"/>
              </w:rPr>
            </w:pPr>
            <w:r w:rsidRPr="007506DC">
              <w:rPr>
                <w:rFonts w:hint="eastAsia"/>
                <w:sz w:val="24"/>
                <w:szCs w:val="24"/>
              </w:rPr>
              <w:t>北京宝通鑫源投资管理有限公司</w:t>
            </w:r>
          </w:p>
          <w:p w:rsidR="007506DC" w:rsidRPr="007506DC" w:rsidRDefault="007506DC" w:rsidP="007506DC">
            <w:pPr>
              <w:spacing w:line="360" w:lineRule="auto"/>
              <w:rPr>
                <w:sz w:val="24"/>
                <w:szCs w:val="24"/>
              </w:rPr>
            </w:pPr>
            <w:r w:rsidRPr="007506DC">
              <w:rPr>
                <w:rFonts w:hint="eastAsia"/>
                <w:sz w:val="24"/>
                <w:szCs w:val="24"/>
              </w:rPr>
              <w:t>北京大时代私募基金</w:t>
            </w:r>
          </w:p>
          <w:p w:rsidR="007506DC" w:rsidRPr="007506DC" w:rsidRDefault="007506DC" w:rsidP="007506DC">
            <w:pPr>
              <w:spacing w:line="360" w:lineRule="auto"/>
              <w:rPr>
                <w:sz w:val="24"/>
                <w:szCs w:val="24"/>
              </w:rPr>
            </w:pPr>
            <w:r w:rsidRPr="007506DC">
              <w:rPr>
                <w:rFonts w:hint="eastAsia"/>
                <w:sz w:val="24"/>
                <w:szCs w:val="24"/>
              </w:rPr>
              <w:t>北京乐桥资本</w:t>
            </w:r>
          </w:p>
          <w:p w:rsidR="007506DC" w:rsidRPr="007506DC" w:rsidRDefault="007506DC" w:rsidP="007506DC">
            <w:pPr>
              <w:spacing w:line="360" w:lineRule="auto"/>
              <w:rPr>
                <w:sz w:val="24"/>
                <w:szCs w:val="24"/>
              </w:rPr>
            </w:pPr>
            <w:r w:rsidRPr="007506DC">
              <w:rPr>
                <w:rFonts w:hint="eastAsia"/>
                <w:sz w:val="24"/>
                <w:szCs w:val="24"/>
              </w:rPr>
              <w:t>国新证券股份有限公司</w:t>
            </w:r>
          </w:p>
          <w:p w:rsidR="007506DC" w:rsidRPr="007506DC" w:rsidRDefault="007506DC" w:rsidP="007506DC">
            <w:pPr>
              <w:spacing w:line="360" w:lineRule="auto"/>
              <w:rPr>
                <w:sz w:val="24"/>
                <w:szCs w:val="24"/>
              </w:rPr>
            </w:pPr>
            <w:r w:rsidRPr="007506DC">
              <w:rPr>
                <w:rFonts w:hint="eastAsia"/>
                <w:sz w:val="24"/>
                <w:szCs w:val="24"/>
              </w:rPr>
              <w:t>参与公司</w:t>
            </w:r>
            <w:r w:rsidRPr="007506DC">
              <w:rPr>
                <w:rFonts w:hint="eastAsia"/>
                <w:sz w:val="24"/>
                <w:szCs w:val="24"/>
              </w:rPr>
              <w:t>2025</w:t>
            </w:r>
            <w:r w:rsidRPr="007506DC">
              <w:rPr>
                <w:rFonts w:hint="eastAsia"/>
                <w:sz w:val="24"/>
                <w:szCs w:val="24"/>
              </w:rPr>
              <w:t>年年度暨</w:t>
            </w:r>
            <w:r w:rsidRPr="007506DC">
              <w:rPr>
                <w:rFonts w:hint="eastAsia"/>
                <w:sz w:val="24"/>
                <w:szCs w:val="24"/>
              </w:rPr>
              <w:t>2026</w:t>
            </w:r>
            <w:r w:rsidRPr="007506DC">
              <w:rPr>
                <w:rFonts w:hint="eastAsia"/>
                <w:sz w:val="24"/>
                <w:szCs w:val="24"/>
              </w:rPr>
              <w:t>年第一季度业绩说明会的投资者</w:t>
            </w:r>
          </w:p>
          <w:p w:rsidR="00EE1A2C" w:rsidRDefault="007506DC" w:rsidP="007506DC">
            <w:pPr>
              <w:spacing w:line="360" w:lineRule="auto"/>
              <w:rPr>
                <w:sz w:val="24"/>
                <w:szCs w:val="24"/>
              </w:rPr>
            </w:pPr>
            <w:r w:rsidRPr="007506DC">
              <w:rPr>
                <w:rFonts w:hint="eastAsia"/>
                <w:sz w:val="24"/>
                <w:szCs w:val="24"/>
              </w:rPr>
              <w:t>（以上排名不分先后）</w:t>
            </w:r>
          </w:p>
        </w:tc>
      </w:tr>
    </w:tbl>
    <w:p w:rsidR="00F732BD" w:rsidRDefault="00F732BD">
      <w:pPr>
        <w:rPr>
          <w:rFonts w:asciiTheme="minorEastAsia" w:eastAsiaTheme="minorEastAsia" w:hAnsiTheme="minorEastAsia"/>
          <w:sz w:val="24"/>
          <w:szCs w:val="24"/>
        </w:rPr>
      </w:pPr>
    </w:p>
    <w:sectPr w:rsidR="00F732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8CE" w:rsidRDefault="00A378CE" w:rsidP="00FD6A59">
      <w:r>
        <w:separator/>
      </w:r>
    </w:p>
  </w:endnote>
  <w:endnote w:type="continuationSeparator" w:id="0">
    <w:p w:rsidR="00A378CE" w:rsidRDefault="00A378CE" w:rsidP="00FD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songti sc">
    <w:altName w:val="Arial Unicode MS"/>
    <w:charset w:val="86"/>
    <w:family w:val="auto"/>
    <w:pitch w:val="default"/>
    <w:sig w:usb0="00000000" w:usb1="080F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8CE" w:rsidRDefault="00A378CE" w:rsidP="00FD6A59">
      <w:r>
        <w:separator/>
      </w:r>
    </w:p>
  </w:footnote>
  <w:footnote w:type="continuationSeparator" w:id="0">
    <w:p w:rsidR="00A378CE" w:rsidRDefault="00A378CE" w:rsidP="00FD6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636D3"/>
    <w:multiLevelType w:val="singleLevel"/>
    <w:tmpl w:val="716636D3"/>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YmQwMjRlMjk1MWUzZTBiZWI2OTU2YjVlZGY1NGIifQ=="/>
  </w:docVars>
  <w:rsids>
    <w:rsidRoot w:val="5F5C0C32"/>
    <w:rsid w:val="5F5C0C32"/>
    <w:rsid w:val="9FEF71F1"/>
    <w:rsid w:val="B79608EB"/>
    <w:rsid w:val="BB77C71A"/>
    <w:rsid w:val="D54505A2"/>
    <w:rsid w:val="F5E70857"/>
    <w:rsid w:val="FD2F47A2"/>
    <w:rsid w:val="FF9F170B"/>
    <w:rsid w:val="FFDFCBE4"/>
    <w:rsid w:val="000E70E5"/>
    <w:rsid w:val="00237C15"/>
    <w:rsid w:val="00265E2C"/>
    <w:rsid w:val="002D5B77"/>
    <w:rsid w:val="002F24AC"/>
    <w:rsid w:val="00314A4B"/>
    <w:rsid w:val="00385496"/>
    <w:rsid w:val="003B0162"/>
    <w:rsid w:val="00413360"/>
    <w:rsid w:val="00435848"/>
    <w:rsid w:val="00481190"/>
    <w:rsid w:val="0049371B"/>
    <w:rsid w:val="004B7065"/>
    <w:rsid w:val="00525E6F"/>
    <w:rsid w:val="0053213B"/>
    <w:rsid w:val="00594F6A"/>
    <w:rsid w:val="005954F4"/>
    <w:rsid w:val="005B3A4A"/>
    <w:rsid w:val="005B471E"/>
    <w:rsid w:val="005E4F14"/>
    <w:rsid w:val="006338E5"/>
    <w:rsid w:val="0066609D"/>
    <w:rsid w:val="00741B18"/>
    <w:rsid w:val="007506DC"/>
    <w:rsid w:val="00760B1F"/>
    <w:rsid w:val="00777F0E"/>
    <w:rsid w:val="00852FF2"/>
    <w:rsid w:val="008E3718"/>
    <w:rsid w:val="00941937"/>
    <w:rsid w:val="00967BD0"/>
    <w:rsid w:val="009773A7"/>
    <w:rsid w:val="009A7905"/>
    <w:rsid w:val="009B2410"/>
    <w:rsid w:val="009C1FD2"/>
    <w:rsid w:val="009C3184"/>
    <w:rsid w:val="009F3310"/>
    <w:rsid w:val="00A378CE"/>
    <w:rsid w:val="00A44514"/>
    <w:rsid w:val="00A57850"/>
    <w:rsid w:val="00A61901"/>
    <w:rsid w:val="00A76D42"/>
    <w:rsid w:val="00A77735"/>
    <w:rsid w:val="00A917D2"/>
    <w:rsid w:val="00B13555"/>
    <w:rsid w:val="00C04F3C"/>
    <w:rsid w:val="00C65342"/>
    <w:rsid w:val="00C83B36"/>
    <w:rsid w:val="00CD09B8"/>
    <w:rsid w:val="00CE3747"/>
    <w:rsid w:val="00D00A31"/>
    <w:rsid w:val="00D3136B"/>
    <w:rsid w:val="00D35BAB"/>
    <w:rsid w:val="00D51E16"/>
    <w:rsid w:val="00E55DC0"/>
    <w:rsid w:val="00EE1A2C"/>
    <w:rsid w:val="00F07C60"/>
    <w:rsid w:val="00F31437"/>
    <w:rsid w:val="00F372A9"/>
    <w:rsid w:val="00F46587"/>
    <w:rsid w:val="00F5133B"/>
    <w:rsid w:val="00F732BD"/>
    <w:rsid w:val="00FB6D20"/>
    <w:rsid w:val="00FD6A59"/>
    <w:rsid w:val="00FE0465"/>
    <w:rsid w:val="00FF1421"/>
    <w:rsid w:val="00FF4595"/>
    <w:rsid w:val="010B405F"/>
    <w:rsid w:val="01A0716D"/>
    <w:rsid w:val="023876D9"/>
    <w:rsid w:val="041374FB"/>
    <w:rsid w:val="04247911"/>
    <w:rsid w:val="05750E2D"/>
    <w:rsid w:val="08C7477D"/>
    <w:rsid w:val="08F33D56"/>
    <w:rsid w:val="0E236E8B"/>
    <w:rsid w:val="0E43308A"/>
    <w:rsid w:val="0FFF7484"/>
    <w:rsid w:val="11B922AF"/>
    <w:rsid w:val="125C296C"/>
    <w:rsid w:val="15202377"/>
    <w:rsid w:val="162F6444"/>
    <w:rsid w:val="18BF5A03"/>
    <w:rsid w:val="1C8A78E8"/>
    <w:rsid w:val="1DA653E3"/>
    <w:rsid w:val="1DAC0C4B"/>
    <w:rsid w:val="1DBFB89C"/>
    <w:rsid w:val="20AE6A88"/>
    <w:rsid w:val="2192A3E5"/>
    <w:rsid w:val="22477195"/>
    <w:rsid w:val="255120D8"/>
    <w:rsid w:val="26775B6F"/>
    <w:rsid w:val="26C30DB4"/>
    <w:rsid w:val="28F60FCD"/>
    <w:rsid w:val="29891E41"/>
    <w:rsid w:val="2A905451"/>
    <w:rsid w:val="2E382087"/>
    <w:rsid w:val="2E4E5407"/>
    <w:rsid w:val="2EDB15C4"/>
    <w:rsid w:val="2FAE6846"/>
    <w:rsid w:val="36D6243D"/>
    <w:rsid w:val="36DD1A1E"/>
    <w:rsid w:val="3B2D7F3C"/>
    <w:rsid w:val="3B7FCB50"/>
    <w:rsid w:val="3C7F0BD9"/>
    <w:rsid w:val="3D0E35D7"/>
    <w:rsid w:val="40DF1974"/>
    <w:rsid w:val="422B7AE1"/>
    <w:rsid w:val="42B23D5F"/>
    <w:rsid w:val="431C38CE"/>
    <w:rsid w:val="48EDE4B5"/>
    <w:rsid w:val="4AC565F9"/>
    <w:rsid w:val="4D126248"/>
    <w:rsid w:val="4F455F5A"/>
    <w:rsid w:val="53215E4A"/>
    <w:rsid w:val="53740BBC"/>
    <w:rsid w:val="57B974E6"/>
    <w:rsid w:val="5A9164F8"/>
    <w:rsid w:val="5D8F4F70"/>
    <w:rsid w:val="5F3A0F0C"/>
    <w:rsid w:val="5F5C0C32"/>
    <w:rsid w:val="5F922AF6"/>
    <w:rsid w:val="60441811"/>
    <w:rsid w:val="613C71BD"/>
    <w:rsid w:val="633839B4"/>
    <w:rsid w:val="666A657B"/>
    <w:rsid w:val="670E33AA"/>
    <w:rsid w:val="678B5DB5"/>
    <w:rsid w:val="693B41FE"/>
    <w:rsid w:val="69951B60"/>
    <w:rsid w:val="6A016C65"/>
    <w:rsid w:val="6B18C7DC"/>
    <w:rsid w:val="6D4F7BA7"/>
    <w:rsid w:val="6DFCC49A"/>
    <w:rsid w:val="6FBF4F22"/>
    <w:rsid w:val="7003534A"/>
    <w:rsid w:val="70074A49"/>
    <w:rsid w:val="70BD199D"/>
    <w:rsid w:val="722F294A"/>
    <w:rsid w:val="73C13552"/>
    <w:rsid w:val="74A25132"/>
    <w:rsid w:val="769B28BF"/>
    <w:rsid w:val="7702635B"/>
    <w:rsid w:val="783B1190"/>
    <w:rsid w:val="78E03DAA"/>
    <w:rsid w:val="7CFE4F69"/>
    <w:rsid w:val="7F453289"/>
    <w:rsid w:val="7FF3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character" w:customStyle="1" w:styleId="s1">
    <w:name w:val="s1"/>
    <w:basedOn w:val="a0"/>
  </w:style>
  <w:style w:type="paragraph" w:customStyle="1" w:styleId="p1">
    <w:name w:val="p1"/>
    <w:basedOn w:val="a"/>
    <w:rPr>
      <w:rFonts w:ascii="Times" w:eastAsia="Times" w:hAnsi="Times"/>
      <w:kern w:val="0"/>
      <w:sz w:val="28"/>
      <w:szCs w:val="28"/>
    </w:rPr>
  </w:style>
  <w:style w:type="paragraph" w:customStyle="1" w:styleId="p2">
    <w:name w:val="p2"/>
    <w:basedOn w:val="a"/>
    <w:rPr>
      <w:rFonts w:ascii="songti sc" w:eastAsia="songti sc" w:hAnsi="songti sc"/>
      <w:kern w:val="0"/>
      <w:sz w:val="28"/>
      <w:szCs w:val="28"/>
    </w:rPr>
  </w:style>
  <w:style w:type="paragraph" w:styleId="a6">
    <w:name w:val="Balloon Text"/>
    <w:basedOn w:val="a"/>
    <w:link w:val="Char1"/>
    <w:rsid w:val="009C3184"/>
    <w:rPr>
      <w:sz w:val="18"/>
      <w:szCs w:val="18"/>
    </w:rPr>
  </w:style>
  <w:style w:type="character" w:customStyle="1" w:styleId="Char1">
    <w:name w:val="批注框文本 Char"/>
    <w:basedOn w:val="a0"/>
    <w:link w:val="a6"/>
    <w:rsid w:val="009C318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character" w:customStyle="1" w:styleId="s1">
    <w:name w:val="s1"/>
    <w:basedOn w:val="a0"/>
  </w:style>
  <w:style w:type="paragraph" w:customStyle="1" w:styleId="p1">
    <w:name w:val="p1"/>
    <w:basedOn w:val="a"/>
    <w:rPr>
      <w:rFonts w:ascii="Times" w:eastAsia="Times" w:hAnsi="Times"/>
      <w:kern w:val="0"/>
      <w:sz w:val="28"/>
      <w:szCs w:val="28"/>
    </w:rPr>
  </w:style>
  <w:style w:type="paragraph" w:customStyle="1" w:styleId="p2">
    <w:name w:val="p2"/>
    <w:basedOn w:val="a"/>
    <w:rPr>
      <w:rFonts w:ascii="songti sc" w:eastAsia="songti sc" w:hAnsi="songti sc"/>
      <w:kern w:val="0"/>
      <w:sz w:val="28"/>
      <w:szCs w:val="28"/>
    </w:rPr>
  </w:style>
  <w:style w:type="paragraph" w:styleId="a6">
    <w:name w:val="Balloon Text"/>
    <w:basedOn w:val="a"/>
    <w:link w:val="Char1"/>
    <w:rsid w:val="009C3184"/>
    <w:rPr>
      <w:sz w:val="18"/>
      <w:szCs w:val="18"/>
    </w:rPr>
  </w:style>
  <w:style w:type="character" w:customStyle="1" w:styleId="Char1">
    <w:name w:val="批注框文本 Char"/>
    <w:basedOn w:val="a0"/>
    <w:link w:val="a6"/>
    <w:rsid w:val="009C31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398714">
      <w:bodyDiv w:val="1"/>
      <w:marLeft w:val="0"/>
      <w:marRight w:val="0"/>
      <w:marTop w:val="0"/>
      <w:marBottom w:val="0"/>
      <w:divBdr>
        <w:top w:val="none" w:sz="0" w:space="0" w:color="auto"/>
        <w:left w:val="none" w:sz="0" w:space="0" w:color="auto"/>
        <w:bottom w:val="none" w:sz="0" w:space="0" w:color="auto"/>
        <w:right w:val="none" w:sz="0" w:space="0" w:color="auto"/>
      </w:divBdr>
    </w:div>
    <w:div w:id="1152722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2490</Words>
  <Characters>297</Characters>
  <Application>Microsoft Office Word</Application>
  <DocSecurity>0</DocSecurity>
  <Lines>2</Lines>
  <Paragraphs>5</Paragraphs>
  <ScaleCrop>false</ScaleCrop>
  <Company>HaseeComputer</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杨晓波</dc:creator>
  <cp:lastModifiedBy>Zy</cp:lastModifiedBy>
  <cp:revision>16</cp:revision>
  <cp:lastPrinted>2026-05-29T06:44:00Z</cp:lastPrinted>
  <dcterms:created xsi:type="dcterms:W3CDTF">2025-11-18T07:54:00Z</dcterms:created>
  <dcterms:modified xsi:type="dcterms:W3CDTF">2026-05-29T06:51:00Z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CD0D94F953715D40998EC00B7F0D55D3_43</vt:lpwstr>
  </property>
  <property fmtid="{D5CDD505-2E9C-101B-9397-08002B2CF9AE}" pid="4" name="KSOTemplateDocerSaveRecord">
    <vt:lpwstr>eyJoZGlkIjoiN2NiMjE5MjY2ZjJjMjgxMWM1NjI3MjE1NTVkMTVlODYiLCJ1c2VySWQiOiIxOTg5OTM4NjEifQ==</vt:lpwstr>
  </property>
</Properties>
</file>