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02FAE">
      <w:pPr>
        <w:rPr>
          <w:rFonts w:ascii="Times New Roman" w:hAnsi="Times New Roman" w:cs="Times New Roman"/>
          <w:bCs/>
          <w:sz w:val="24"/>
        </w:rPr>
      </w:pPr>
      <w:r>
        <w:rPr>
          <w:rFonts w:ascii="Times New Roman" w:hAnsi="Times New Roman" w:cs="Times New Roman"/>
          <w:bCs/>
          <w:sz w:val="24"/>
        </w:rPr>
        <w:t>公司代码：688160                                    公司简称：步科股份</w:t>
      </w:r>
    </w:p>
    <w:p w14:paraId="066D0183">
      <w:pPr>
        <w:rPr>
          <w:rFonts w:ascii="Times New Roman" w:hAnsi="Times New Roman" w:cs="Times New Roman"/>
          <w:bCs/>
          <w:sz w:val="24"/>
        </w:rPr>
      </w:pPr>
    </w:p>
    <w:p w14:paraId="6C414555">
      <w:pPr>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上海步科自动化股份有限公司</w:t>
      </w:r>
    </w:p>
    <w:p w14:paraId="1011A4AE">
      <w:pPr>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投资者关系活动记录表</w:t>
      </w:r>
    </w:p>
    <w:p w14:paraId="52F98794">
      <w:pPr>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编号：2026-0</w:t>
      </w:r>
      <w:r>
        <w:rPr>
          <w:rFonts w:hint="eastAsia" w:ascii="Times New Roman" w:hAnsi="Times New Roman" w:eastAsia="宋体" w:cs="Times New Roman"/>
          <w:color w:val="000000"/>
          <w:kern w:val="0"/>
          <w:szCs w:val="21"/>
        </w:rPr>
        <w:t>11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8"/>
      </w:tblGrid>
      <w:tr w14:paraId="6F71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76B79AA2">
            <w:pPr>
              <w:rPr>
                <w:rFonts w:hint="eastAsia" w:ascii="宋体" w:hAnsi="宋体" w:eastAsia="宋体" w:cs="Times New Roman"/>
                <w:sz w:val="24"/>
              </w:rPr>
            </w:pPr>
            <w:r>
              <w:rPr>
                <w:rFonts w:ascii="宋体" w:hAnsi="宋体" w:eastAsia="宋体" w:cs="Times New Roman"/>
                <w:sz w:val="24"/>
              </w:rPr>
              <w:t>投资者关系活动类别</w:t>
            </w:r>
          </w:p>
        </w:tc>
        <w:tc>
          <w:tcPr>
            <w:tcW w:w="6088" w:type="dxa"/>
          </w:tcPr>
          <w:p w14:paraId="3978EF2F">
            <w:pPr>
              <w:spacing w:line="360" w:lineRule="auto"/>
              <w:rPr>
                <w:rFonts w:hint="eastAsia" w:ascii="宋体" w:hAnsi="宋体" w:eastAsia="宋体" w:cs="Times New Roman"/>
                <w:sz w:val="24"/>
              </w:rPr>
            </w:pPr>
            <w:r>
              <w:rPr>
                <w:rFonts w:ascii="宋体" w:hAnsi="宋体" w:eastAsia="宋体" w:cs="Times New Roman"/>
                <w:sz w:val="24"/>
              </w:rPr>
              <w:t xml:space="preserve">□特定对象调研     </w:t>
            </w:r>
            <w:r>
              <w:rPr>
                <w:rFonts w:hint="eastAsia" w:ascii="宋体" w:hAnsi="宋体" w:eastAsia="宋体" w:cs="Times New Roman"/>
                <w:sz w:val="24"/>
              </w:rPr>
              <w:t>☑</w:t>
            </w:r>
            <w:r>
              <w:rPr>
                <w:rFonts w:ascii="宋体" w:hAnsi="宋体" w:eastAsia="宋体" w:cs="Times New Roman"/>
                <w:sz w:val="24"/>
              </w:rPr>
              <w:t>分析师会议</w:t>
            </w:r>
          </w:p>
          <w:p w14:paraId="6F7CAB53">
            <w:pPr>
              <w:spacing w:line="360" w:lineRule="auto"/>
              <w:rPr>
                <w:rFonts w:hint="eastAsia" w:ascii="宋体" w:hAnsi="宋体" w:eastAsia="宋体" w:cs="Times New Roman"/>
                <w:sz w:val="24"/>
              </w:rPr>
            </w:pPr>
            <w:r>
              <w:rPr>
                <w:rFonts w:ascii="宋体" w:hAnsi="宋体" w:eastAsia="宋体" w:cs="Times New Roman"/>
                <w:sz w:val="24"/>
              </w:rPr>
              <w:t xml:space="preserve">□媒体采访         □业绩说明会 </w:t>
            </w:r>
          </w:p>
          <w:p w14:paraId="1CC57369">
            <w:pPr>
              <w:spacing w:line="360" w:lineRule="auto"/>
              <w:rPr>
                <w:rFonts w:hint="eastAsia" w:ascii="宋体" w:hAnsi="宋体" w:eastAsia="宋体" w:cs="Times New Roman"/>
                <w:sz w:val="24"/>
              </w:rPr>
            </w:pPr>
            <w:bookmarkStart w:id="0" w:name="OLE_LINK1"/>
            <w:r>
              <w:rPr>
                <w:rFonts w:ascii="宋体" w:hAnsi="宋体" w:eastAsia="宋体" w:cs="Times New Roman"/>
                <w:sz w:val="24"/>
              </w:rPr>
              <w:t>□</w:t>
            </w:r>
            <w:bookmarkEnd w:id="0"/>
            <w:r>
              <w:rPr>
                <w:rFonts w:ascii="宋体" w:hAnsi="宋体" w:eastAsia="宋体" w:cs="Times New Roman"/>
                <w:sz w:val="24"/>
              </w:rPr>
              <w:t>新闻发布会       □路演活动</w:t>
            </w:r>
          </w:p>
          <w:p w14:paraId="5DE9381E">
            <w:pPr>
              <w:spacing w:line="360" w:lineRule="auto"/>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现场参观         □一对一沟通</w:t>
            </w:r>
          </w:p>
          <w:p w14:paraId="52E412EC">
            <w:pPr>
              <w:spacing w:line="360" w:lineRule="auto"/>
              <w:rPr>
                <w:rFonts w:hint="eastAsia" w:ascii="宋体" w:hAnsi="宋体" w:eastAsia="宋体" w:cs="Times New Roman"/>
                <w:sz w:val="24"/>
              </w:rPr>
            </w:pPr>
            <w:r>
              <w:rPr>
                <w:rFonts w:ascii="宋体" w:hAnsi="宋体" w:eastAsia="宋体" w:cs="Times New Roman"/>
                <w:sz w:val="24"/>
              </w:rPr>
              <w:t>□其他（电话会议）</w:t>
            </w:r>
          </w:p>
        </w:tc>
      </w:tr>
      <w:tr w14:paraId="6B6F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01E25465">
            <w:pPr>
              <w:rPr>
                <w:rFonts w:ascii="Times New Roman" w:hAnsi="Times New Roman" w:eastAsia="宋体" w:cs="Times New Roman"/>
                <w:sz w:val="24"/>
              </w:rPr>
            </w:pPr>
            <w:r>
              <w:rPr>
                <w:rFonts w:ascii="Times New Roman" w:hAnsi="Times New Roman" w:eastAsia="宋体" w:cs="Times New Roman"/>
                <w:sz w:val="24"/>
              </w:rPr>
              <w:t>参与单位名称</w:t>
            </w:r>
          </w:p>
        </w:tc>
        <w:tc>
          <w:tcPr>
            <w:tcW w:w="6088" w:type="dxa"/>
          </w:tcPr>
          <w:p w14:paraId="4E4B0EC9">
            <w:pPr>
              <w:rPr>
                <w:rFonts w:ascii="Times New Roman" w:hAnsi="Times New Roman" w:eastAsia="宋体" w:cs="Times New Roman"/>
                <w:sz w:val="24"/>
              </w:rPr>
            </w:pPr>
            <w:r>
              <w:rPr>
                <w:rFonts w:hint="eastAsia" w:ascii="Times New Roman" w:hAnsi="Times New Roman" w:eastAsia="宋体" w:cs="Times New Roman"/>
                <w:sz w:val="24"/>
              </w:rPr>
              <w:t>巴黎银行香港峰会</w:t>
            </w:r>
          </w:p>
          <w:p w14:paraId="07467BB9">
            <w:pPr>
              <w:rPr>
                <w:rFonts w:ascii="Times New Roman" w:hAnsi="Times New Roman" w:eastAsia="宋体" w:cs="Times New Roman"/>
                <w:sz w:val="24"/>
              </w:rPr>
            </w:pPr>
            <w:r>
              <w:rPr>
                <w:rFonts w:hint="eastAsia" w:ascii="Times New Roman" w:hAnsi="Times New Roman" w:eastAsia="宋体" w:cs="Times New Roman"/>
                <w:sz w:val="24"/>
              </w:rPr>
              <w:t>深圳财沣投资、瑞业资产、深圳市前海铂悦投资、优美利投资、深圳市恒泰永成私募、光影资本、深圳证金投资、深圳汇杰达理资本、殷实基金、佛山抱石投资、东方财富证券、德润鹏远基金、瀚鑫基金、深圳汇合创业投资、赞道私募</w:t>
            </w:r>
          </w:p>
          <w:p w14:paraId="798CBC03">
            <w:pPr>
              <w:rPr>
                <w:rFonts w:ascii="Times New Roman" w:hAnsi="Times New Roman" w:eastAsia="宋体" w:cs="Times New Roman"/>
                <w:sz w:val="24"/>
              </w:rPr>
            </w:pPr>
            <w:r>
              <w:rPr>
                <w:rFonts w:hint="eastAsia" w:ascii="Times New Roman" w:hAnsi="Times New Roman" w:eastAsia="宋体" w:cs="Times New Roman"/>
                <w:sz w:val="24"/>
              </w:rPr>
              <w:t>大成基金</w:t>
            </w:r>
          </w:p>
          <w:p w14:paraId="39E6C0E2">
            <w:pPr>
              <w:rPr>
                <w:rFonts w:ascii="Times New Roman" w:hAnsi="Times New Roman" w:eastAsia="宋体" w:cs="Times New Roman"/>
                <w:sz w:val="24"/>
              </w:rPr>
            </w:pPr>
            <w:r>
              <w:rPr>
                <w:rFonts w:hint="eastAsia" w:ascii="Times New Roman" w:hAnsi="Times New Roman" w:eastAsia="宋体" w:cs="Times New Roman"/>
                <w:sz w:val="24"/>
              </w:rPr>
              <w:t>东财证券策略会</w:t>
            </w:r>
          </w:p>
          <w:p w14:paraId="2CC65749">
            <w:pPr>
              <w:rPr>
                <w:rFonts w:ascii="Times New Roman" w:hAnsi="Times New Roman" w:eastAsia="宋体" w:cs="Times New Roman"/>
                <w:sz w:val="24"/>
              </w:rPr>
            </w:pPr>
            <w:r>
              <w:rPr>
                <w:rFonts w:hint="eastAsia" w:ascii="Times New Roman" w:hAnsi="Times New Roman" w:eastAsia="宋体" w:cs="Times New Roman"/>
                <w:sz w:val="24"/>
              </w:rPr>
              <w:t>华创证券策略会</w:t>
            </w:r>
          </w:p>
          <w:p w14:paraId="7182AB7A">
            <w:pPr>
              <w:rPr>
                <w:rFonts w:hint="eastAsia" w:ascii="Times New Roman" w:hAnsi="Times New Roman" w:eastAsia="宋体" w:cs="Times New Roman"/>
                <w:sz w:val="24"/>
              </w:rPr>
            </w:pPr>
            <w:r>
              <w:rPr>
                <w:rFonts w:hint="eastAsia" w:ascii="Times New Roman" w:hAnsi="Times New Roman" w:eastAsia="宋体" w:cs="Times New Roman"/>
                <w:sz w:val="24"/>
              </w:rPr>
              <w:t>巴黎银行、</w:t>
            </w:r>
            <w:r>
              <w:rPr>
                <w:rFonts w:ascii="Times New Roman" w:hAnsi="Times New Roman" w:eastAsia="宋体" w:cs="Times New Roman"/>
                <w:sz w:val="24"/>
              </w:rPr>
              <w:t>Classical Capital</w:t>
            </w:r>
            <w:bookmarkStart w:id="1" w:name="_GoBack"/>
            <w:bookmarkEnd w:id="1"/>
          </w:p>
          <w:p w14:paraId="7CA941EC">
            <w:pPr>
              <w:rPr>
                <w:rFonts w:ascii="Times New Roman" w:hAnsi="Times New Roman" w:eastAsia="宋体" w:cs="Times New Roman"/>
                <w:sz w:val="24"/>
              </w:rPr>
            </w:pPr>
            <w:r>
              <w:rPr>
                <w:rFonts w:hint="eastAsia" w:ascii="Times New Roman" w:hAnsi="Times New Roman" w:eastAsia="宋体" w:cs="Times New Roman"/>
                <w:sz w:val="24"/>
              </w:rPr>
              <w:t>华福证券策略会</w:t>
            </w:r>
          </w:p>
          <w:p w14:paraId="4253E3FE">
            <w:pPr>
              <w:rPr>
                <w:rFonts w:ascii="Times New Roman" w:hAnsi="Times New Roman" w:eastAsia="宋体" w:cs="Times New Roman"/>
                <w:sz w:val="24"/>
              </w:rPr>
            </w:pPr>
            <w:r>
              <w:rPr>
                <w:rFonts w:hint="eastAsia" w:ascii="Times New Roman" w:hAnsi="Times New Roman" w:eastAsia="宋体" w:cs="Times New Roman"/>
                <w:sz w:val="24"/>
              </w:rPr>
              <w:t>中信证券策略会</w:t>
            </w:r>
          </w:p>
        </w:tc>
      </w:tr>
      <w:tr w14:paraId="089B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34" w:type="dxa"/>
            <w:vAlign w:val="center"/>
          </w:tcPr>
          <w:p w14:paraId="66A3FC76">
            <w:pPr>
              <w:rPr>
                <w:rFonts w:ascii="Times New Roman" w:hAnsi="Times New Roman" w:eastAsia="宋体" w:cs="Times New Roman"/>
                <w:sz w:val="24"/>
              </w:rPr>
            </w:pPr>
            <w:r>
              <w:rPr>
                <w:rFonts w:ascii="Times New Roman" w:hAnsi="Times New Roman" w:eastAsia="宋体" w:cs="Times New Roman"/>
                <w:sz w:val="24"/>
              </w:rPr>
              <w:t>时间</w:t>
            </w:r>
          </w:p>
        </w:tc>
        <w:tc>
          <w:tcPr>
            <w:tcW w:w="6088" w:type="dxa"/>
            <w:vAlign w:val="center"/>
          </w:tcPr>
          <w:p w14:paraId="02DEA0ED">
            <w:pPr>
              <w:rPr>
                <w:rFonts w:ascii="Times New Roman" w:hAnsi="Times New Roman" w:eastAsia="宋体" w:cs="Times New Roman"/>
                <w:sz w:val="24"/>
              </w:rPr>
            </w:pPr>
            <w:r>
              <w:rPr>
                <w:rFonts w:hint="eastAsia" w:ascii="Times New Roman" w:hAnsi="Times New Roman" w:eastAsia="宋体" w:cs="Times New Roman"/>
                <w:sz w:val="24"/>
              </w:rPr>
              <w:t>2026年5月18日下午13:00</w:t>
            </w:r>
          </w:p>
          <w:p w14:paraId="4FAE400A">
            <w:pPr>
              <w:rPr>
                <w:rFonts w:ascii="Times New Roman" w:hAnsi="Times New Roman" w:eastAsia="宋体" w:cs="Times New Roman"/>
                <w:sz w:val="24"/>
              </w:rPr>
            </w:pPr>
            <w:r>
              <w:rPr>
                <w:rFonts w:hint="eastAsia" w:ascii="Times New Roman" w:hAnsi="Times New Roman" w:eastAsia="宋体" w:cs="Times New Roman"/>
                <w:sz w:val="24"/>
              </w:rPr>
              <w:t>2026年5月19日下午15:00</w:t>
            </w:r>
          </w:p>
          <w:p w14:paraId="2E8EB390">
            <w:pPr>
              <w:rPr>
                <w:rFonts w:ascii="Times New Roman" w:hAnsi="Times New Roman" w:eastAsia="宋体" w:cs="Times New Roman"/>
                <w:sz w:val="24"/>
              </w:rPr>
            </w:pPr>
            <w:r>
              <w:rPr>
                <w:rFonts w:hint="eastAsia" w:ascii="Times New Roman" w:hAnsi="Times New Roman" w:eastAsia="宋体" w:cs="Times New Roman"/>
                <w:sz w:val="24"/>
              </w:rPr>
              <w:t>2026年5月20日下午13:00</w:t>
            </w:r>
          </w:p>
          <w:p w14:paraId="38D9C1B0">
            <w:pPr>
              <w:rPr>
                <w:rFonts w:ascii="Times New Roman" w:hAnsi="Times New Roman" w:eastAsia="宋体" w:cs="Times New Roman"/>
                <w:sz w:val="24"/>
              </w:rPr>
            </w:pPr>
            <w:r>
              <w:rPr>
                <w:rFonts w:hint="eastAsia" w:ascii="Times New Roman" w:hAnsi="Times New Roman" w:eastAsia="宋体" w:cs="Times New Roman"/>
                <w:sz w:val="24"/>
              </w:rPr>
              <w:t>2026年5月20日下午14:30</w:t>
            </w:r>
          </w:p>
          <w:p w14:paraId="13455805">
            <w:pPr>
              <w:rPr>
                <w:rFonts w:ascii="Times New Roman" w:hAnsi="Times New Roman" w:eastAsia="宋体" w:cs="Times New Roman"/>
                <w:sz w:val="24"/>
              </w:rPr>
            </w:pPr>
            <w:r>
              <w:rPr>
                <w:rFonts w:hint="eastAsia" w:ascii="Times New Roman" w:hAnsi="Times New Roman" w:eastAsia="宋体" w:cs="Times New Roman"/>
                <w:sz w:val="24"/>
              </w:rPr>
              <w:t>2026年5月21日上午10:00</w:t>
            </w:r>
          </w:p>
          <w:p w14:paraId="41019E56">
            <w:pPr>
              <w:rPr>
                <w:rFonts w:ascii="Times New Roman" w:hAnsi="Times New Roman" w:eastAsia="宋体" w:cs="Times New Roman"/>
                <w:sz w:val="24"/>
              </w:rPr>
            </w:pPr>
            <w:r>
              <w:rPr>
                <w:rFonts w:hint="eastAsia" w:ascii="Times New Roman" w:hAnsi="Times New Roman" w:eastAsia="宋体" w:cs="Times New Roman"/>
                <w:sz w:val="24"/>
              </w:rPr>
              <w:t>2026年5月21日下午14:00</w:t>
            </w:r>
          </w:p>
          <w:p w14:paraId="02193AF6">
            <w:pPr>
              <w:rPr>
                <w:rFonts w:ascii="Times New Roman" w:hAnsi="Times New Roman" w:eastAsia="宋体" w:cs="Times New Roman"/>
                <w:sz w:val="24"/>
              </w:rPr>
            </w:pPr>
            <w:r>
              <w:rPr>
                <w:rFonts w:hint="eastAsia" w:ascii="Times New Roman" w:hAnsi="Times New Roman" w:eastAsia="宋体" w:cs="Times New Roman"/>
                <w:sz w:val="24"/>
              </w:rPr>
              <w:t>2026年5月26日上午10:00</w:t>
            </w:r>
          </w:p>
          <w:p w14:paraId="362AEBA6">
            <w:pPr>
              <w:rPr>
                <w:rFonts w:ascii="Times New Roman" w:hAnsi="Times New Roman" w:eastAsia="宋体" w:cs="Times New Roman"/>
                <w:sz w:val="24"/>
              </w:rPr>
            </w:pPr>
            <w:r>
              <w:rPr>
                <w:rFonts w:hint="eastAsia" w:ascii="Times New Roman" w:hAnsi="Times New Roman" w:eastAsia="宋体" w:cs="Times New Roman"/>
                <w:sz w:val="24"/>
              </w:rPr>
              <w:t>2026年5月28日上午9:00</w:t>
            </w:r>
          </w:p>
        </w:tc>
      </w:tr>
      <w:tr w14:paraId="05E6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10EAF300">
            <w:pPr>
              <w:rPr>
                <w:rFonts w:ascii="Times New Roman" w:hAnsi="Times New Roman" w:eastAsia="宋体" w:cs="Times New Roman"/>
                <w:sz w:val="24"/>
              </w:rPr>
            </w:pPr>
            <w:r>
              <w:rPr>
                <w:rFonts w:ascii="Times New Roman" w:hAnsi="Times New Roman" w:eastAsia="宋体" w:cs="Times New Roman"/>
                <w:sz w:val="24"/>
              </w:rPr>
              <w:t>地点</w:t>
            </w:r>
          </w:p>
        </w:tc>
        <w:tc>
          <w:tcPr>
            <w:tcW w:w="6088" w:type="dxa"/>
          </w:tcPr>
          <w:p w14:paraId="4BC6FDE2">
            <w:pPr>
              <w:rPr>
                <w:rFonts w:ascii="Times New Roman" w:hAnsi="Times New Roman" w:eastAsia="宋体" w:cs="Times New Roman"/>
                <w:sz w:val="24"/>
              </w:rPr>
            </w:pPr>
            <w:r>
              <w:rPr>
                <w:rFonts w:hint="eastAsia" w:ascii="Times New Roman" w:hAnsi="Times New Roman" w:eastAsia="宋体" w:cs="Times New Roman"/>
                <w:sz w:val="24"/>
              </w:rPr>
              <w:t>香港香格里拉酒店</w:t>
            </w:r>
          </w:p>
          <w:p w14:paraId="5BA07A6E">
            <w:pPr>
              <w:rPr>
                <w:rFonts w:ascii="Times New Roman" w:hAnsi="Times New Roman" w:eastAsia="宋体" w:cs="Times New Roman"/>
                <w:sz w:val="24"/>
              </w:rPr>
            </w:pPr>
            <w:r>
              <w:rPr>
                <w:rFonts w:hint="eastAsia" w:ascii="Times New Roman" w:hAnsi="Times New Roman" w:eastAsia="宋体" w:cs="Times New Roman"/>
                <w:sz w:val="24"/>
              </w:rPr>
              <w:t>深圳市南山区意中利科技园1号楼3楼会议室</w:t>
            </w:r>
          </w:p>
          <w:p w14:paraId="76CA4D22">
            <w:pPr>
              <w:rPr>
                <w:rFonts w:ascii="Times New Roman" w:hAnsi="Times New Roman" w:eastAsia="宋体" w:cs="Times New Roman"/>
                <w:sz w:val="24"/>
              </w:rPr>
            </w:pPr>
            <w:r>
              <w:rPr>
                <w:rFonts w:hint="eastAsia" w:ascii="Times New Roman" w:hAnsi="Times New Roman" w:eastAsia="宋体" w:cs="Times New Roman"/>
                <w:sz w:val="24"/>
              </w:rPr>
              <w:t>上海金茂君悦大酒店</w:t>
            </w:r>
          </w:p>
          <w:p w14:paraId="1C0400E6">
            <w:pPr>
              <w:rPr>
                <w:rFonts w:ascii="Times New Roman" w:hAnsi="Times New Roman" w:eastAsia="宋体" w:cs="Times New Roman"/>
                <w:sz w:val="24"/>
              </w:rPr>
            </w:pPr>
            <w:r>
              <w:rPr>
                <w:rFonts w:hint="eastAsia" w:ascii="Times New Roman" w:hAnsi="Times New Roman" w:eastAsia="宋体" w:cs="Times New Roman"/>
                <w:sz w:val="24"/>
              </w:rPr>
              <w:t>深圳大中华希尔顿酒店</w:t>
            </w:r>
          </w:p>
          <w:p w14:paraId="2F99DE18">
            <w:pPr>
              <w:rPr>
                <w:rFonts w:ascii="Times New Roman" w:hAnsi="Times New Roman" w:eastAsia="宋体" w:cs="Times New Roman"/>
                <w:sz w:val="24"/>
              </w:rPr>
            </w:pPr>
            <w:r>
              <w:rPr>
                <w:rFonts w:hint="eastAsia" w:ascii="Times New Roman" w:hAnsi="Times New Roman" w:eastAsia="宋体" w:cs="Times New Roman"/>
                <w:sz w:val="24"/>
              </w:rPr>
              <w:t>上海金茂君悦大酒店</w:t>
            </w:r>
          </w:p>
          <w:p w14:paraId="232CA7BF">
            <w:pPr>
              <w:rPr>
                <w:rFonts w:ascii="Times New Roman" w:hAnsi="Times New Roman" w:eastAsia="宋体" w:cs="Times New Roman"/>
                <w:sz w:val="24"/>
              </w:rPr>
            </w:pPr>
            <w:r>
              <w:rPr>
                <w:rFonts w:hint="eastAsia" w:ascii="Times New Roman" w:hAnsi="Times New Roman" w:eastAsia="宋体" w:cs="Times New Roman"/>
                <w:sz w:val="24"/>
              </w:rPr>
              <w:t>深圳市南山区意中利科技园1号楼3楼会议室</w:t>
            </w:r>
          </w:p>
          <w:p w14:paraId="3D8601A7">
            <w:pPr>
              <w:rPr>
                <w:rFonts w:ascii="Times New Roman" w:hAnsi="Times New Roman" w:eastAsia="宋体" w:cs="Times New Roman"/>
                <w:sz w:val="24"/>
              </w:rPr>
            </w:pPr>
            <w:r>
              <w:rPr>
                <w:rFonts w:hint="eastAsia" w:ascii="Times New Roman" w:hAnsi="Times New Roman" w:eastAsia="宋体" w:cs="Times New Roman"/>
                <w:sz w:val="24"/>
              </w:rPr>
              <w:t>深圳东海朗廷酒店</w:t>
            </w:r>
          </w:p>
          <w:p w14:paraId="161CE629">
            <w:pPr>
              <w:rPr>
                <w:rFonts w:ascii="Times New Roman" w:hAnsi="Times New Roman" w:eastAsia="宋体" w:cs="Times New Roman"/>
                <w:sz w:val="24"/>
              </w:rPr>
            </w:pPr>
            <w:r>
              <w:rPr>
                <w:rFonts w:hint="eastAsia" w:ascii="Times New Roman" w:hAnsi="Times New Roman" w:eastAsia="宋体" w:cs="Times New Roman"/>
                <w:sz w:val="24"/>
              </w:rPr>
              <w:t>上海浦东香格里拉酒店</w:t>
            </w:r>
          </w:p>
        </w:tc>
      </w:tr>
      <w:tr w14:paraId="0BBA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0D2311CF">
            <w:pPr>
              <w:spacing w:line="360" w:lineRule="auto"/>
              <w:rPr>
                <w:rFonts w:ascii="Times New Roman" w:hAnsi="Times New Roman" w:eastAsia="宋体" w:cs="Times New Roman"/>
                <w:sz w:val="24"/>
              </w:rPr>
            </w:pPr>
            <w:r>
              <w:rPr>
                <w:rFonts w:ascii="Times New Roman" w:hAnsi="Times New Roman" w:eastAsia="宋体" w:cs="Times New Roman"/>
                <w:sz w:val="24"/>
              </w:rPr>
              <w:t>公司接待人员姓名</w:t>
            </w:r>
          </w:p>
        </w:tc>
        <w:tc>
          <w:tcPr>
            <w:tcW w:w="6088" w:type="dxa"/>
          </w:tcPr>
          <w:p w14:paraId="5A5EB8FB">
            <w:pPr>
              <w:rPr>
                <w:rFonts w:ascii="Times New Roman" w:hAnsi="Times New Roman" w:eastAsia="宋体" w:cs="Times New Roman"/>
                <w:sz w:val="24"/>
              </w:rPr>
            </w:pPr>
            <w:r>
              <w:rPr>
                <w:rFonts w:ascii="Times New Roman" w:hAnsi="Times New Roman" w:eastAsia="宋体" w:cs="Times New Roman"/>
                <w:sz w:val="24"/>
              </w:rPr>
              <w:t>董事会秘书 刘耘</w:t>
            </w:r>
          </w:p>
          <w:p w14:paraId="5D4014E9">
            <w:pPr>
              <w:rPr>
                <w:rFonts w:ascii="Times New Roman" w:hAnsi="Times New Roman" w:eastAsia="宋体" w:cs="Times New Roman"/>
                <w:sz w:val="24"/>
              </w:rPr>
            </w:pPr>
            <w:r>
              <w:rPr>
                <w:rFonts w:ascii="Times New Roman" w:hAnsi="Times New Roman" w:eastAsia="宋体" w:cs="Times New Roman"/>
                <w:sz w:val="24"/>
              </w:rPr>
              <w:t xml:space="preserve">证券事务代表 </w:t>
            </w:r>
            <w:r>
              <w:rPr>
                <w:rFonts w:hint="eastAsia" w:ascii="Times New Roman" w:hAnsi="Times New Roman" w:eastAsia="宋体" w:cs="Times New Roman"/>
                <w:sz w:val="24"/>
              </w:rPr>
              <w:t>邵凯真</w:t>
            </w:r>
          </w:p>
        </w:tc>
      </w:tr>
      <w:tr w14:paraId="39EC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38AF47D2">
            <w:pPr>
              <w:rPr>
                <w:rFonts w:ascii="Times New Roman" w:hAnsi="Times New Roman" w:eastAsia="宋体" w:cs="Times New Roman"/>
                <w:sz w:val="24"/>
              </w:rPr>
            </w:pPr>
            <w:r>
              <w:rPr>
                <w:rFonts w:ascii="Times New Roman" w:hAnsi="Times New Roman" w:eastAsia="宋体" w:cs="Times New Roman"/>
                <w:sz w:val="24"/>
              </w:rPr>
              <w:t>投资者关系活动主要内容介绍</w:t>
            </w:r>
          </w:p>
        </w:tc>
        <w:tc>
          <w:tcPr>
            <w:tcW w:w="6088" w:type="dxa"/>
          </w:tcPr>
          <w:p w14:paraId="6689B14D">
            <w:pPr>
              <w:ind w:firstLine="480" w:firstLineChars="200"/>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人机界面的作用和重要性是什么？</w:t>
            </w:r>
          </w:p>
          <w:p w14:paraId="4B63D5FA">
            <w:pPr>
              <w:ind w:firstLine="480" w:firstLineChars="200"/>
              <w:rPr>
                <w:rFonts w:ascii="Times New Roman" w:hAnsi="Times New Roman" w:eastAsia="宋体" w:cs="Times New Roman"/>
                <w:sz w:val="24"/>
              </w:rPr>
            </w:pPr>
            <w:r>
              <w:rPr>
                <w:rFonts w:ascii="Times New Roman" w:hAnsi="Times New Roman" w:eastAsia="宋体" w:cs="Times New Roman"/>
                <w:sz w:val="24"/>
              </w:rPr>
              <w:t>答：</w:t>
            </w:r>
            <w:r>
              <w:rPr>
                <w:rFonts w:hint="eastAsia" w:ascii="Times New Roman" w:hAnsi="Times New Roman" w:eastAsia="宋体" w:cs="Times New Roman"/>
                <w:sz w:val="24"/>
              </w:rPr>
              <w:t>人机界面是人与机器设备进行交互的核心终端，主要用于向设备下达操作指令、设定运行程序、指定生产参数以及实时监控设备运行状态（如产量、温度、速度等）。所有自动化设备均需配置人机界面，因为设备无法自主运行，必须通过该界面接收并执行操作指令。人机界面不仅承担信息显示功能，更是实现控制输入、参数调整与状态反馈的关键交互接口，其可靠性、易用性和智能化水平直接影响设备的使用效率与用户体验。</w:t>
            </w:r>
          </w:p>
          <w:p w14:paraId="5014AD17">
            <w:pPr>
              <w:ind w:firstLine="480" w:firstLineChars="200"/>
              <w:rPr>
                <w:rFonts w:ascii="Times New Roman" w:hAnsi="Times New Roman" w:eastAsia="宋体" w:cs="Times New Roman"/>
                <w:sz w:val="24"/>
              </w:rPr>
            </w:pPr>
          </w:p>
          <w:p w14:paraId="444119F5">
            <w:pPr>
              <w:ind w:firstLine="480" w:firstLineChars="200"/>
              <w:rPr>
                <w:rFonts w:ascii="Times New Roman" w:hAnsi="Times New Roman" w:eastAsia="宋体" w:cs="Times New Roman"/>
                <w:sz w:val="24"/>
              </w:rPr>
            </w:pPr>
            <w:r>
              <w:rPr>
                <w:rFonts w:ascii="Times New Roman" w:hAnsi="Times New Roman" w:eastAsia="宋体" w:cs="Times New Roman"/>
                <w:sz w:val="24"/>
              </w:rPr>
              <w:t>2、</w:t>
            </w:r>
            <w:r>
              <w:rPr>
                <w:rFonts w:hint="eastAsia" w:ascii="Times New Roman" w:hAnsi="Times New Roman" w:eastAsia="宋体" w:cs="Times New Roman"/>
                <w:sz w:val="24"/>
              </w:rPr>
              <w:t>今年上半年电容、电感及芯片等原材料价格上涨，是否对公司毛利率产生影响？</w:t>
            </w:r>
          </w:p>
          <w:p w14:paraId="227C9F89">
            <w:pPr>
              <w:ind w:firstLine="480" w:firstLineChars="200"/>
              <w:rPr>
                <w:rFonts w:ascii="Times New Roman" w:hAnsi="Times New Roman" w:eastAsia="宋体" w:cs="Times New Roman"/>
                <w:sz w:val="24"/>
              </w:rPr>
            </w:pPr>
            <w:r>
              <w:rPr>
                <w:rFonts w:ascii="Times New Roman" w:hAnsi="Times New Roman" w:eastAsia="宋体" w:cs="Times New Roman"/>
                <w:sz w:val="24"/>
              </w:rPr>
              <w:t>答：</w:t>
            </w:r>
            <w:r>
              <w:rPr>
                <w:rFonts w:hint="eastAsia" w:ascii="Times New Roman" w:hAnsi="Times New Roman" w:eastAsia="宋体" w:cs="Times New Roman"/>
                <w:sz w:val="24"/>
              </w:rPr>
              <w:t>原材料价格上涨对公司毛利率产生了一定影响，为应对这一挑战，公司已积极开展多项措施，包括对关键物料进行长期备货、加强特殊物料的比价采购工作，以及持续优化供应链管理，力求将原材料价格波动对毛利率的影响控制在合理范围内。</w:t>
            </w:r>
          </w:p>
          <w:p w14:paraId="1C387E04">
            <w:pPr>
              <w:ind w:firstLine="480" w:firstLineChars="200"/>
              <w:rPr>
                <w:rFonts w:ascii="Times New Roman" w:hAnsi="Times New Roman" w:eastAsia="宋体" w:cs="Times New Roman"/>
                <w:sz w:val="24"/>
              </w:rPr>
            </w:pPr>
          </w:p>
          <w:p w14:paraId="2201072A">
            <w:pPr>
              <w:ind w:firstLine="480" w:firstLineChars="200"/>
              <w:rPr>
                <w:rFonts w:ascii="Times New Roman" w:hAnsi="Times New Roman" w:eastAsia="宋体" w:cs="Times New Roman"/>
                <w:sz w:val="24"/>
              </w:rPr>
            </w:pPr>
            <w:r>
              <w:rPr>
                <w:rFonts w:ascii="Times New Roman" w:hAnsi="Times New Roman" w:eastAsia="宋体" w:cs="Times New Roman"/>
                <w:sz w:val="24"/>
              </w:rPr>
              <w:t>3、</w:t>
            </w:r>
            <w:r>
              <w:rPr>
                <w:rFonts w:hint="eastAsia" w:ascii="Times New Roman" w:hAnsi="Times New Roman" w:eastAsia="宋体" w:cs="Times New Roman"/>
                <w:sz w:val="24"/>
              </w:rPr>
              <w:t>人形机器人未来的主要应用落地场景是否首先集中在工业工厂？</w:t>
            </w:r>
          </w:p>
          <w:p w14:paraId="1C7C992C">
            <w:pPr>
              <w:ind w:firstLine="480" w:firstLineChars="200"/>
              <w:rPr>
                <w:rFonts w:ascii="Times New Roman" w:hAnsi="Times New Roman" w:eastAsia="宋体" w:cs="Times New Roman"/>
                <w:sz w:val="24"/>
              </w:rPr>
            </w:pPr>
            <w:r>
              <w:rPr>
                <w:rFonts w:ascii="Times New Roman" w:hAnsi="Times New Roman" w:eastAsia="宋体" w:cs="Times New Roman"/>
                <w:sz w:val="24"/>
              </w:rPr>
              <w:t>答：</w:t>
            </w:r>
            <w:r>
              <w:rPr>
                <w:rFonts w:hint="eastAsia" w:ascii="Times New Roman" w:hAnsi="Times New Roman" w:eastAsia="宋体" w:cs="Times New Roman"/>
                <w:sz w:val="24"/>
              </w:rPr>
              <w:t>人形机器人在工业工厂的应用是一个重要且市场空间巨大的场景，具有较强的确定性。但从当前行业发展趋势来看，部分团队已开始将方向转向直接面向C端的家庭服务场景。因此，短期内难以明确判断哪个场景将率先实现大规模落地。工业场景虽然确定性高、空间广阔，但家庭服务场景的发展速度也在加快，未来可能呈现工业与家庭双线并行、相互促进的发展格局。</w:t>
            </w:r>
          </w:p>
          <w:p w14:paraId="730CE853">
            <w:pPr>
              <w:ind w:firstLine="480" w:firstLineChars="200"/>
              <w:rPr>
                <w:rFonts w:ascii="Times New Roman" w:hAnsi="Times New Roman" w:eastAsia="宋体" w:cs="Times New Roman"/>
                <w:sz w:val="24"/>
              </w:rPr>
            </w:pPr>
          </w:p>
          <w:p w14:paraId="5139B2F6">
            <w:pPr>
              <w:ind w:firstLine="480" w:firstLineChars="200"/>
              <w:rPr>
                <w:rFonts w:ascii="Times New Roman" w:hAnsi="Times New Roman" w:eastAsia="宋体" w:cs="Times New Roman"/>
                <w:sz w:val="24"/>
              </w:rPr>
            </w:pPr>
            <w:r>
              <w:rPr>
                <w:rFonts w:ascii="Times New Roman" w:hAnsi="Times New Roman" w:eastAsia="宋体" w:cs="Times New Roman"/>
                <w:sz w:val="24"/>
              </w:rPr>
              <w:t>4、</w:t>
            </w:r>
            <w:r>
              <w:rPr>
                <w:rFonts w:hint="eastAsia" w:ascii="Times New Roman" w:hAnsi="Times New Roman" w:eastAsia="宋体" w:cs="Times New Roman"/>
                <w:sz w:val="24"/>
              </w:rPr>
              <w:t>新产品iSML伺服轮毂电机具体应用在哪个部位？</w:t>
            </w:r>
          </w:p>
          <w:p w14:paraId="2D93561E">
            <w:pPr>
              <w:ind w:firstLine="480" w:firstLineChars="200"/>
              <w:rPr>
                <w:rFonts w:ascii="Times New Roman" w:hAnsi="Times New Roman" w:eastAsia="宋体" w:cs="Times New Roman"/>
                <w:sz w:val="24"/>
              </w:rPr>
            </w:pPr>
            <w:r>
              <w:rPr>
                <w:rFonts w:ascii="Times New Roman" w:hAnsi="Times New Roman" w:eastAsia="宋体" w:cs="Times New Roman"/>
                <w:sz w:val="24"/>
              </w:rPr>
              <w:t>答：</w:t>
            </w:r>
            <w:r>
              <w:rPr>
                <w:rFonts w:hint="eastAsia" w:ascii="Times New Roman" w:hAnsi="Times New Roman" w:eastAsia="宋体" w:cs="Times New Roman"/>
                <w:sz w:val="24"/>
              </w:rPr>
              <w:t>该产品主要面向机器人的底盘驱动系统，是一种针对移动场景的解决方案，可应用于服务机器人、移动机器人及轮式人形机器人的底盘部位，为其提供移动能力支撑。同时，该轮毂产品也面向工厂场景，用于满足内部物流装备的移动需求。</w:t>
            </w:r>
          </w:p>
          <w:p w14:paraId="085B9312">
            <w:pPr>
              <w:ind w:firstLine="480" w:firstLineChars="200"/>
              <w:rPr>
                <w:rFonts w:ascii="Times New Roman" w:hAnsi="Times New Roman" w:eastAsia="宋体" w:cs="Times New Roman"/>
                <w:sz w:val="24"/>
              </w:rPr>
            </w:pPr>
            <w:r>
              <w:rPr>
                <w:rFonts w:hint="eastAsia" w:ascii="Times New Roman" w:hAnsi="Times New Roman" w:eastAsia="宋体" w:cs="Times New Roman"/>
                <w:sz w:val="24"/>
              </w:rPr>
              <w:t xml:space="preserve"> </w:t>
            </w:r>
          </w:p>
          <w:p w14:paraId="3C25C8AB">
            <w:pPr>
              <w:ind w:firstLine="480" w:firstLineChars="200"/>
              <w:rPr>
                <w:rFonts w:ascii="Times New Roman" w:hAnsi="Times New Roman" w:eastAsia="宋体" w:cs="Times New Roman"/>
                <w:sz w:val="24"/>
              </w:rPr>
            </w:pPr>
            <w:r>
              <w:rPr>
                <w:rFonts w:ascii="Times New Roman" w:hAnsi="Times New Roman" w:eastAsia="宋体" w:cs="Times New Roman"/>
                <w:sz w:val="24"/>
              </w:rPr>
              <w:t>5、</w:t>
            </w:r>
            <w:r>
              <w:rPr>
                <w:rFonts w:hint="eastAsia" w:ascii="Times New Roman" w:hAnsi="Times New Roman" w:eastAsia="宋体" w:cs="Times New Roman"/>
                <w:sz w:val="24"/>
              </w:rPr>
              <w:t>通过公司系统集成实现的一体化方案，对未来智能化物流包装和新能源制造领域的市场应用有何影响？</w:t>
            </w:r>
          </w:p>
          <w:p w14:paraId="2E5910D6">
            <w:pPr>
              <w:ind w:firstLine="480" w:firstLineChars="200"/>
              <w:rPr>
                <w:rFonts w:ascii="Times New Roman" w:hAnsi="Times New Roman" w:eastAsia="宋体" w:cs="Times New Roman"/>
                <w:sz w:val="24"/>
              </w:rPr>
            </w:pPr>
            <w:r>
              <w:rPr>
                <w:rFonts w:ascii="Times New Roman" w:hAnsi="Times New Roman" w:eastAsia="宋体" w:cs="Times New Roman"/>
                <w:sz w:val="24"/>
              </w:rPr>
              <w:t>答：</w:t>
            </w:r>
            <w:r>
              <w:rPr>
                <w:rFonts w:hint="eastAsia" w:ascii="Times New Roman" w:hAnsi="Times New Roman" w:eastAsia="宋体" w:cs="Times New Roman"/>
                <w:sz w:val="24"/>
              </w:rPr>
              <w:t>公司的一体化方案将积极推动智能化物流包装与新能源制造领域的升级。在物流包装领域，方案可简化设备布线、降低调试难度，帮助客户缩短交付周期、降低综合成本，并为远程运维与智能调度提供基础支撑。在新能源制造领域，集成化设计提升了系统的抗干扰能力与响应速度，特别适用于锂电、光伏等行业中高速、高精度的运动控制场景。总体而言，一体化方案的核心价值在于降低客户总拥有成本、提升系统可靠性与智能化水平，随着两大领域对智能化和柔性化生产需求的持续增长，公司一体化方案的市场应用空间将进一步拓展。</w:t>
            </w:r>
          </w:p>
        </w:tc>
      </w:tr>
      <w:tr w14:paraId="3BB8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0671F016">
            <w:pPr>
              <w:spacing w:line="360" w:lineRule="auto"/>
              <w:rPr>
                <w:rFonts w:ascii="Times New Roman" w:hAnsi="Times New Roman" w:eastAsia="宋体" w:cs="Times New Roman"/>
                <w:sz w:val="24"/>
              </w:rPr>
            </w:pPr>
            <w:r>
              <w:rPr>
                <w:rFonts w:ascii="Times New Roman" w:hAnsi="Times New Roman" w:eastAsia="宋体" w:cs="Times New Roman"/>
                <w:sz w:val="24"/>
              </w:rPr>
              <w:t>附件清单</w:t>
            </w:r>
          </w:p>
        </w:tc>
        <w:tc>
          <w:tcPr>
            <w:tcW w:w="6088" w:type="dxa"/>
          </w:tcPr>
          <w:p w14:paraId="70539824">
            <w:pPr>
              <w:spacing w:line="360" w:lineRule="auto"/>
              <w:rPr>
                <w:rFonts w:ascii="Times New Roman" w:hAnsi="Times New Roman" w:eastAsia="宋体" w:cs="Times New Roman"/>
                <w:sz w:val="24"/>
              </w:rPr>
            </w:pPr>
            <w:r>
              <w:rPr>
                <w:rFonts w:ascii="Times New Roman" w:hAnsi="Times New Roman" w:eastAsia="宋体" w:cs="Times New Roman"/>
                <w:sz w:val="24"/>
              </w:rPr>
              <w:t>无</w:t>
            </w:r>
          </w:p>
        </w:tc>
      </w:tr>
      <w:tr w14:paraId="2F03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2D83B64A">
            <w:pPr>
              <w:spacing w:line="360" w:lineRule="auto"/>
              <w:rPr>
                <w:rFonts w:ascii="Times New Roman" w:hAnsi="Times New Roman" w:eastAsia="宋体" w:cs="Times New Roman"/>
                <w:sz w:val="24"/>
              </w:rPr>
            </w:pPr>
            <w:r>
              <w:rPr>
                <w:rFonts w:ascii="Times New Roman" w:hAnsi="Times New Roman" w:eastAsia="宋体" w:cs="Times New Roman"/>
                <w:sz w:val="24"/>
              </w:rPr>
              <w:t>日期</w:t>
            </w:r>
          </w:p>
        </w:tc>
        <w:tc>
          <w:tcPr>
            <w:tcW w:w="6088" w:type="dxa"/>
          </w:tcPr>
          <w:p w14:paraId="7C854A0A">
            <w:pPr>
              <w:spacing w:line="360" w:lineRule="auto"/>
              <w:rPr>
                <w:rFonts w:ascii="Times New Roman" w:hAnsi="Times New Roman" w:eastAsia="宋体" w:cs="Times New Roman"/>
                <w:sz w:val="24"/>
              </w:rPr>
            </w:pPr>
            <w:r>
              <w:rPr>
                <w:rFonts w:ascii="Times New Roman" w:hAnsi="Times New Roman" w:eastAsia="宋体" w:cs="Times New Roman"/>
                <w:sz w:val="24"/>
              </w:rPr>
              <w:t>2026年5月</w:t>
            </w:r>
            <w:r>
              <w:rPr>
                <w:rFonts w:hint="eastAsia" w:ascii="Times New Roman" w:hAnsi="Times New Roman" w:eastAsia="宋体" w:cs="Times New Roman"/>
                <w:sz w:val="24"/>
              </w:rPr>
              <w:t>18</w:t>
            </w:r>
            <w:r>
              <w:rPr>
                <w:rFonts w:ascii="Times New Roman" w:hAnsi="Times New Roman" w:eastAsia="宋体" w:cs="Times New Roman"/>
                <w:sz w:val="24"/>
              </w:rPr>
              <w:t>日-</w:t>
            </w:r>
            <w:r>
              <w:rPr>
                <w:rFonts w:hint="eastAsia" w:ascii="Times New Roman" w:hAnsi="Times New Roman" w:eastAsia="宋体" w:cs="Times New Roman"/>
                <w:sz w:val="24"/>
              </w:rPr>
              <w:t>28</w:t>
            </w:r>
            <w:r>
              <w:rPr>
                <w:rFonts w:ascii="Times New Roman" w:hAnsi="Times New Roman" w:eastAsia="宋体" w:cs="Times New Roman"/>
                <w:sz w:val="24"/>
              </w:rPr>
              <w:t>日</w:t>
            </w:r>
          </w:p>
        </w:tc>
      </w:tr>
    </w:tbl>
    <w:p w14:paraId="799E922C">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26066"/>
    <w:rsid w:val="000B5603"/>
    <w:rsid w:val="000E6BA8"/>
    <w:rsid w:val="00103530"/>
    <w:rsid w:val="00123ACE"/>
    <w:rsid w:val="00164594"/>
    <w:rsid w:val="00191D2F"/>
    <w:rsid w:val="001C72AB"/>
    <w:rsid w:val="00275075"/>
    <w:rsid w:val="002C62C6"/>
    <w:rsid w:val="0031745B"/>
    <w:rsid w:val="003427D2"/>
    <w:rsid w:val="003813F7"/>
    <w:rsid w:val="00391D59"/>
    <w:rsid w:val="003A400A"/>
    <w:rsid w:val="003C599F"/>
    <w:rsid w:val="004210A5"/>
    <w:rsid w:val="004F2497"/>
    <w:rsid w:val="005463F4"/>
    <w:rsid w:val="00553135"/>
    <w:rsid w:val="005D0CB2"/>
    <w:rsid w:val="005D2141"/>
    <w:rsid w:val="005E1E60"/>
    <w:rsid w:val="005E1FB4"/>
    <w:rsid w:val="0062230C"/>
    <w:rsid w:val="006951ED"/>
    <w:rsid w:val="006B6A7F"/>
    <w:rsid w:val="006F5805"/>
    <w:rsid w:val="00705621"/>
    <w:rsid w:val="0071740A"/>
    <w:rsid w:val="0073139C"/>
    <w:rsid w:val="00755B4F"/>
    <w:rsid w:val="007614EB"/>
    <w:rsid w:val="00774650"/>
    <w:rsid w:val="00777DF8"/>
    <w:rsid w:val="007A1864"/>
    <w:rsid w:val="007B69ED"/>
    <w:rsid w:val="00825242"/>
    <w:rsid w:val="009246FE"/>
    <w:rsid w:val="009625D2"/>
    <w:rsid w:val="00982932"/>
    <w:rsid w:val="009A5504"/>
    <w:rsid w:val="009F2C0A"/>
    <w:rsid w:val="00A03BBF"/>
    <w:rsid w:val="00A04559"/>
    <w:rsid w:val="00A26A0A"/>
    <w:rsid w:val="00AF6561"/>
    <w:rsid w:val="00BE55D2"/>
    <w:rsid w:val="00C33805"/>
    <w:rsid w:val="00D111AD"/>
    <w:rsid w:val="00D252C9"/>
    <w:rsid w:val="00D370CA"/>
    <w:rsid w:val="00D612E7"/>
    <w:rsid w:val="00E31E6F"/>
    <w:rsid w:val="00E44145"/>
    <w:rsid w:val="00E811AE"/>
    <w:rsid w:val="00EB25F5"/>
    <w:rsid w:val="00F96E65"/>
    <w:rsid w:val="00FA34AF"/>
    <w:rsid w:val="00FA6D4C"/>
    <w:rsid w:val="00FA7375"/>
    <w:rsid w:val="00FB099B"/>
    <w:rsid w:val="00FE4AA6"/>
    <w:rsid w:val="00FF7060"/>
    <w:rsid w:val="00FF7740"/>
    <w:rsid w:val="0122354B"/>
    <w:rsid w:val="024D663C"/>
    <w:rsid w:val="035C62D6"/>
    <w:rsid w:val="0384614D"/>
    <w:rsid w:val="0441634B"/>
    <w:rsid w:val="04487311"/>
    <w:rsid w:val="04D055E9"/>
    <w:rsid w:val="054A2F00"/>
    <w:rsid w:val="061460EF"/>
    <w:rsid w:val="069D7E4F"/>
    <w:rsid w:val="07256B46"/>
    <w:rsid w:val="0732110A"/>
    <w:rsid w:val="0800312E"/>
    <w:rsid w:val="08B65FD7"/>
    <w:rsid w:val="0B762225"/>
    <w:rsid w:val="0BC640FE"/>
    <w:rsid w:val="0C13146D"/>
    <w:rsid w:val="0DB46BF1"/>
    <w:rsid w:val="0E840219"/>
    <w:rsid w:val="1005419D"/>
    <w:rsid w:val="10620DA8"/>
    <w:rsid w:val="11381917"/>
    <w:rsid w:val="13B0499D"/>
    <w:rsid w:val="13C921B5"/>
    <w:rsid w:val="14467CEA"/>
    <w:rsid w:val="15A30211"/>
    <w:rsid w:val="15B33CFB"/>
    <w:rsid w:val="19F01D51"/>
    <w:rsid w:val="1AA027BB"/>
    <w:rsid w:val="1C2C57C5"/>
    <w:rsid w:val="1E373B07"/>
    <w:rsid w:val="1F137A73"/>
    <w:rsid w:val="1FA97357"/>
    <w:rsid w:val="1FFE715F"/>
    <w:rsid w:val="25752ABF"/>
    <w:rsid w:val="26B41A72"/>
    <w:rsid w:val="2A7523C5"/>
    <w:rsid w:val="2B3B152D"/>
    <w:rsid w:val="2C5724E3"/>
    <w:rsid w:val="2C787B09"/>
    <w:rsid w:val="2D153A12"/>
    <w:rsid w:val="2D5061EB"/>
    <w:rsid w:val="2E76524B"/>
    <w:rsid w:val="2E7E31F6"/>
    <w:rsid w:val="301D62D8"/>
    <w:rsid w:val="31B859B9"/>
    <w:rsid w:val="31D22CC8"/>
    <w:rsid w:val="32487D80"/>
    <w:rsid w:val="32601473"/>
    <w:rsid w:val="35836053"/>
    <w:rsid w:val="35B14EE0"/>
    <w:rsid w:val="37F16A56"/>
    <w:rsid w:val="3B6049CB"/>
    <w:rsid w:val="3BAB0D94"/>
    <w:rsid w:val="3C027200"/>
    <w:rsid w:val="3DAA7FA5"/>
    <w:rsid w:val="3DFB283E"/>
    <w:rsid w:val="40721429"/>
    <w:rsid w:val="408E4D75"/>
    <w:rsid w:val="41877ED9"/>
    <w:rsid w:val="41DB46F3"/>
    <w:rsid w:val="41F71F64"/>
    <w:rsid w:val="422D5520"/>
    <w:rsid w:val="42305CE2"/>
    <w:rsid w:val="42811173"/>
    <w:rsid w:val="42F51E9D"/>
    <w:rsid w:val="450B6910"/>
    <w:rsid w:val="47F52305"/>
    <w:rsid w:val="4DE87EC3"/>
    <w:rsid w:val="525B6843"/>
    <w:rsid w:val="536501AB"/>
    <w:rsid w:val="54393B41"/>
    <w:rsid w:val="57FD4342"/>
    <w:rsid w:val="58F47708"/>
    <w:rsid w:val="59A9774A"/>
    <w:rsid w:val="5A8666CA"/>
    <w:rsid w:val="5B1563EB"/>
    <w:rsid w:val="5B2306FD"/>
    <w:rsid w:val="5B4D4A8F"/>
    <w:rsid w:val="5CFF45E2"/>
    <w:rsid w:val="5E4403FB"/>
    <w:rsid w:val="61A7566E"/>
    <w:rsid w:val="62E35390"/>
    <w:rsid w:val="641734A5"/>
    <w:rsid w:val="650F6997"/>
    <w:rsid w:val="66402C33"/>
    <w:rsid w:val="6809724F"/>
    <w:rsid w:val="68BA3757"/>
    <w:rsid w:val="68D35D6D"/>
    <w:rsid w:val="691E2D99"/>
    <w:rsid w:val="6A283301"/>
    <w:rsid w:val="6BBF14A8"/>
    <w:rsid w:val="6BCF01F8"/>
    <w:rsid w:val="6C374937"/>
    <w:rsid w:val="6C76175F"/>
    <w:rsid w:val="6EED093A"/>
    <w:rsid w:val="6FFB4F5E"/>
    <w:rsid w:val="70674EDD"/>
    <w:rsid w:val="70C70003"/>
    <w:rsid w:val="729A2C47"/>
    <w:rsid w:val="74C826DD"/>
    <w:rsid w:val="76BB49BF"/>
    <w:rsid w:val="77C26066"/>
    <w:rsid w:val="78BF0B7F"/>
    <w:rsid w:val="798E1E9F"/>
    <w:rsid w:val="7A2414A5"/>
    <w:rsid w:val="7A5E4A39"/>
    <w:rsid w:val="7B9B2F2D"/>
    <w:rsid w:val="7C3F4164"/>
    <w:rsid w:val="7D7D46A0"/>
    <w:rsid w:val="7DA32391"/>
    <w:rsid w:val="7DB9701B"/>
    <w:rsid w:val="7E334D6B"/>
    <w:rsid w:val="7FC4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8">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9">
    <w:name w:val="List Paragraph"/>
    <w:basedOn w:val="1"/>
    <w:unhideWhenUsed/>
    <w:qFormat/>
    <w:uiPriority w:val="99"/>
    <w:pPr>
      <w:ind w:firstLine="420" w:firstLineChars="200"/>
    </w:pPr>
  </w:style>
  <w:style w:type="paragraph" w:customStyle="1" w:styleId="10">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1">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2">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43ae482e-bfcc-4884-a7a9-3cc07b7f46ad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D91DB9B</paraID>
      <start>0</start>
      <end>2</end>
      <status>unmodified</status>
      <modifiedWord/>
      <trackRevisions>false</trackRevisions>
    </reviewItem>
    <reviewItem>
      <errorID>43160c13-91ee-43f1-b5e4-ebb1c32de0e9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6E345F14</paraID>
      <start>0</start>
      <end>2</end>
      <status>unmodified</status>
      <modifiedWord/>
      <trackRevisions>false</trackRevisions>
    </reviewItem>
    <reviewItem>
      <errorID>96f3c9f3-cbaa-4fe3-838a-699186e00afd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7A92767C</paraID>
      <start>0</start>
      <end>2</end>
      <status>unmodified</status>
      <modifiedWord/>
      <trackRevisions>false</trackRevisions>
    </reviewItem>
    <reviewItem>
      <errorID>e9137868-114e-4f60-87ca-0c478d26d3be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735EC0F2</paraID>
      <start>0</start>
      <end>2</end>
      <status>unmodified</status>
      <modifiedWord/>
      <trackRevisions>false</trackRevisions>
    </reviewItem>
    <reviewItem>
      <errorID>bdc7ec78-b1bd-4097-b5a5-2b686f700729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5845A66D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F22022EE-7788-49C6-930B-29B69E54EF43}">
  <ds:schemaRefs/>
</ds:datastoreItem>
</file>

<file path=customXml/itemProps2.xml><?xml version="1.0" encoding="utf-8"?>
<ds:datastoreItem xmlns:ds="http://schemas.openxmlformats.org/officeDocument/2006/customXml" ds:itemID="{78771AC3-7177-4041-85A4-E6CC3686EC4B}">
  <ds:schemaRefs/>
</ds:datastoreItem>
</file>

<file path=docProps/app.xml><?xml version="1.0" encoding="utf-8"?>
<Properties xmlns="http://schemas.openxmlformats.org/officeDocument/2006/extended-properties" xmlns:vt="http://schemas.openxmlformats.org/officeDocument/2006/docPropsVTypes">
  <Template>Normal</Template>
  <Pages>3</Pages>
  <Words>1444</Words>
  <Characters>1536</Characters>
  <Lines>61</Lines>
  <Paragraphs>62</Paragraphs>
  <TotalTime>8</TotalTime>
  <ScaleCrop>false</ScaleCrop>
  <LinksUpToDate>false</LinksUpToDate>
  <CharactersWithSpaces>1607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2025-11-13T01:57:00Z</dcterms:created>
  <dc:creator>余悦</dc:creator>
  <cp:lastModifiedBy>余悦</cp:lastModifiedBy>
  <dcterms:modified xsi:type="dcterms:W3CDTF">2026-05-29T05:19:28Z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59134E549CCC43828026B339BF1507E9_13</vt:lpwstr>
  </property>
  <property fmtid="{D5CDD505-2E9C-101B-9397-08002B2CF9AE}" pid="4" name="KSOTemplateDocerSaveRecord">
    <vt:lpwstr>eyJoZGlkIjoiNjljN2I1NWE2YjJkN2ViZTMxOTEwN2E5NWYyYjJkYzciLCJ1c2VySWQiOiIxMjYwMTIwNTkzIn0=</vt:lpwstr>
  </property>
</Properties>
</file>