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9494F5">
      <w:pPr>
        <w:spacing w:before="156" w:beforeLines="50" w:after="156" w:afterLines="50" w:line="400" w:lineRule="exact"/>
        <w:rPr>
          <w:rFonts w:hint="eastAsia"/>
          <w:bCs/>
          <w:iCs/>
          <w:color w:val="000000"/>
          <w:sz w:val="24"/>
        </w:rPr>
      </w:pPr>
      <w:bookmarkStart w:id="0" w:name="OLE_LINK16"/>
      <w:r>
        <w:rPr>
          <w:rFonts w:hAnsi="宋体"/>
          <w:bCs/>
          <w:iCs/>
          <w:color w:val="000000"/>
          <w:sz w:val="24"/>
        </w:rPr>
        <w:t>证券代码：</w:t>
      </w:r>
      <w:r>
        <w:rPr>
          <w:rFonts w:ascii="Times New Roman" w:hAnsi="Times New Roman"/>
          <w:color w:val="000000"/>
          <w:sz w:val="24"/>
        </w:rPr>
        <w:t>688707</w:t>
      </w:r>
      <w:r>
        <w:rPr>
          <w:color w:val="000000"/>
          <w:sz w:val="24"/>
        </w:rPr>
        <w:t xml:space="preserve">                            </w:t>
      </w:r>
      <w:r>
        <w:rPr>
          <w:rFonts w:hint="eastAsia"/>
          <w:color w:val="000000"/>
          <w:sz w:val="24"/>
          <w:lang w:val="en-US" w:eastAsia="zh-CN"/>
        </w:rPr>
        <w:t xml:space="preserve">   </w:t>
      </w:r>
      <w:r>
        <w:rPr>
          <w:color w:val="000000"/>
          <w:sz w:val="24"/>
        </w:rPr>
        <w:t xml:space="preserve"> </w:t>
      </w:r>
      <w:r>
        <w:rPr>
          <w:rFonts w:hint="eastAsia"/>
          <w:color w:val="000000"/>
          <w:sz w:val="24"/>
          <w:lang w:val="en-US" w:eastAsia="zh-CN"/>
        </w:rPr>
        <w:t xml:space="preserve">   </w:t>
      </w:r>
      <w:r>
        <w:rPr>
          <w:rFonts w:hAnsi="宋体"/>
          <w:bCs/>
          <w:iCs/>
          <w:color w:val="000000"/>
          <w:sz w:val="24"/>
        </w:rPr>
        <w:t>证券简称：</w:t>
      </w:r>
      <w:r>
        <w:rPr>
          <w:color w:val="000000"/>
          <w:sz w:val="24"/>
        </w:rPr>
        <w:t>振华新材</w:t>
      </w:r>
    </w:p>
    <w:p w14:paraId="7F9136F9">
      <w:pPr>
        <w:spacing w:before="156" w:beforeLines="50" w:after="156" w:afterLines="50" w:line="400" w:lineRule="exact"/>
        <w:jc w:val="center"/>
        <w:rPr>
          <w:rFonts w:hint="default" w:ascii="宋体" w:hAnsi="宋体"/>
          <w:b/>
          <w:bCs/>
          <w:iCs/>
          <w:color w:val="000000"/>
          <w:sz w:val="32"/>
          <w:szCs w:val="32"/>
        </w:rPr>
      </w:pPr>
    </w:p>
    <w:p w14:paraId="6383528C">
      <w:pPr>
        <w:spacing w:before="156" w:beforeLines="50" w:after="156" w:afterLines="50" w:line="400" w:lineRule="exact"/>
        <w:jc w:val="center"/>
        <w:rPr>
          <w:rFonts w:hint="default" w:ascii="宋体" w:hAnsi="宋体"/>
          <w:b/>
          <w:bCs/>
          <w:iCs/>
          <w:color w:val="000000"/>
          <w:sz w:val="32"/>
          <w:szCs w:val="32"/>
        </w:rPr>
      </w:pPr>
      <w:r>
        <w:rPr>
          <w:rFonts w:hint="default" w:ascii="宋体" w:hAnsi="宋体"/>
          <w:b/>
          <w:bCs/>
          <w:iCs/>
          <w:color w:val="000000"/>
          <w:sz w:val="32"/>
          <w:szCs w:val="32"/>
        </w:rPr>
        <w:t>贵州振华新材料股份有限公司</w:t>
      </w:r>
    </w:p>
    <w:p w14:paraId="79969967">
      <w:pPr>
        <w:spacing w:before="156" w:beforeLines="50" w:after="156" w:afterLines="50" w:line="400" w:lineRule="exact"/>
        <w:jc w:val="center"/>
        <w:rPr>
          <w:bCs/>
          <w:iCs/>
          <w:color w:val="000000"/>
          <w:sz w:val="24"/>
        </w:rPr>
      </w:pPr>
      <w:r>
        <w:rPr>
          <w:rFonts w:hint="eastAsia" w:ascii="宋体" w:hAnsi="宋体"/>
          <w:b/>
          <w:bCs/>
          <w:iCs/>
          <w:color w:val="000000"/>
          <w:sz w:val="32"/>
          <w:szCs w:val="32"/>
        </w:rPr>
        <w:t>投资者关系活动记录表</w:t>
      </w:r>
      <w:r>
        <w:rPr>
          <w:rFonts w:hint="eastAsia" w:ascii="宋体" w:hAnsi="宋体"/>
          <w:bCs/>
          <w:iCs/>
          <w:color w:val="000000"/>
          <w:sz w:val="24"/>
        </w:rPr>
        <w:t xml:space="preserve">               </w:t>
      </w:r>
    </w:p>
    <w:tbl>
      <w:tblPr>
        <w:tblStyle w:val="5"/>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847"/>
      </w:tblGrid>
      <w:tr w14:paraId="0BACA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14:paraId="0F736423">
            <w:pPr>
              <w:spacing w:line="420" w:lineRule="exact"/>
              <w:rPr>
                <w:bCs/>
                <w:iCs/>
                <w:color w:val="000000"/>
                <w:kern w:val="0"/>
                <w:sz w:val="24"/>
              </w:rPr>
            </w:pPr>
            <w:r>
              <w:rPr>
                <w:rFonts w:hAnsi="宋体"/>
                <w:bCs/>
                <w:iCs/>
                <w:color w:val="000000"/>
                <w:kern w:val="0"/>
                <w:sz w:val="24"/>
              </w:rPr>
              <w:t>投资者关系活动类别</w:t>
            </w:r>
          </w:p>
          <w:p w14:paraId="2BE85FE1">
            <w:pPr>
              <w:spacing w:line="420" w:lineRule="exact"/>
              <w:rPr>
                <w:bCs/>
                <w:iCs/>
                <w:color w:val="000000"/>
                <w:sz w:val="24"/>
              </w:rPr>
            </w:pPr>
          </w:p>
        </w:tc>
        <w:tc>
          <w:tcPr>
            <w:tcW w:w="6847" w:type="dxa"/>
            <w:tcBorders>
              <w:top w:val="single" w:color="auto" w:sz="4" w:space="0"/>
              <w:left w:val="single" w:color="auto" w:sz="4" w:space="0"/>
              <w:bottom w:val="single" w:color="auto" w:sz="4" w:space="0"/>
              <w:right w:val="single" w:color="auto" w:sz="4" w:space="0"/>
            </w:tcBorders>
            <w:noWrap w:val="0"/>
            <w:vAlign w:val="top"/>
          </w:tcPr>
          <w:p w14:paraId="7A6B1660">
            <w:pPr>
              <w:spacing w:line="420" w:lineRule="exact"/>
              <w:rPr>
                <w:bCs/>
                <w:iCs/>
                <w:color w:val="000000"/>
                <w:sz w:val="24"/>
              </w:rPr>
            </w:pPr>
            <w:r>
              <w:rPr>
                <w:rFonts w:hint="eastAsia"/>
                <w:bCs/>
                <w:iCs/>
                <w:color w:val="000000"/>
                <w:kern w:val="0"/>
                <w:sz w:val="24"/>
                <w:lang w:eastAsia="zh-CN"/>
              </w:rPr>
              <w:t>☑</w:t>
            </w:r>
            <w:r>
              <w:rPr>
                <w:rFonts w:hint="eastAsia"/>
                <w:bCs/>
                <w:iCs/>
                <w:color w:val="000000"/>
                <w:kern w:val="0"/>
                <w:sz w:val="24"/>
                <w:lang w:val="en-US" w:eastAsia="zh-CN"/>
              </w:rPr>
              <w:t xml:space="preserve"> </w:t>
            </w:r>
            <w:r>
              <w:rPr>
                <w:rFonts w:hAnsi="宋体"/>
                <w:kern w:val="0"/>
                <w:sz w:val="24"/>
              </w:rPr>
              <w:t>特定对象调研</w:t>
            </w:r>
            <w:r>
              <w:rPr>
                <w:kern w:val="0"/>
                <w:sz w:val="24"/>
              </w:rPr>
              <w:t xml:space="preserve">       </w:t>
            </w:r>
            <w:r>
              <w:rPr>
                <w:rFonts w:hint="eastAsia"/>
                <w:kern w:val="0"/>
                <w:sz w:val="24"/>
              </w:rPr>
              <w:t xml:space="preserve"> </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14:paraId="5BD5076F">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rFonts w:hint="eastAsia"/>
                <w:kern w:val="0"/>
                <w:sz w:val="24"/>
                <w:lang w:val="en-US" w:eastAsia="zh-CN"/>
              </w:rPr>
              <w:t xml:space="preserve">  </w:t>
            </w:r>
            <w:r>
              <w:rPr>
                <w:bCs/>
                <w:iCs/>
                <w:color w:val="000000"/>
                <w:kern w:val="0"/>
                <w:sz w:val="24"/>
              </w:rPr>
              <w:t>□</w:t>
            </w:r>
            <w:r>
              <w:rPr>
                <w:rFonts w:hint="eastAsia"/>
                <w:bCs/>
                <w:iCs/>
                <w:color w:val="000000"/>
                <w:kern w:val="0"/>
                <w:sz w:val="24"/>
              </w:rPr>
              <w:t xml:space="preserve"> </w:t>
            </w:r>
            <w:r>
              <w:rPr>
                <w:rFonts w:hAnsi="宋体"/>
                <w:kern w:val="0"/>
                <w:sz w:val="24"/>
              </w:rPr>
              <w:t>业绩说明会</w:t>
            </w:r>
          </w:p>
          <w:p w14:paraId="5C9A77D9">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rFonts w:hint="eastAsia"/>
                <w:kern w:val="0"/>
                <w:sz w:val="24"/>
                <w:lang w:val="en-US" w:eastAsia="zh-CN"/>
              </w:rPr>
              <w:t xml:space="preserve">  </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14:paraId="6551DE6F">
            <w:pPr>
              <w:tabs>
                <w:tab w:val="left" w:pos="3045"/>
                <w:tab w:val="center" w:pos="3199"/>
              </w:tabs>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14:paraId="099A5341">
            <w:pPr>
              <w:tabs>
                <w:tab w:val="center" w:pos="3199"/>
              </w:tabs>
              <w:spacing w:line="420" w:lineRule="exact"/>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其他</w:t>
            </w:r>
            <w:r>
              <w:rPr>
                <w:kern w:val="0"/>
                <w:sz w:val="24"/>
              </w:rPr>
              <w:t xml:space="preserve"> </w:t>
            </w:r>
            <w:r>
              <w:rPr>
                <w:rFonts w:hAnsi="宋体"/>
                <w:kern w:val="0"/>
                <w:sz w:val="24"/>
              </w:rPr>
              <w:t>（</w:t>
            </w:r>
            <w:r>
              <w:rPr>
                <w:rFonts w:hAnsi="宋体"/>
                <w:kern w:val="0"/>
                <w:sz w:val="24"/>
                <w:u w:val="single"/>
              </w:rPr>
              <w:t>请文字说明其他活动内容）</w:t>
            </w:r>
          </w:p>
        </w:tc>
      </w:tr>
      <w:bookmarkEnd w:id="0"/>
      <w:tr w14:paraId="5415D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14:paraId="6D4F2C86">
            <w:pPr>
              <w:spacing w:line="420" w:lineRule="exact"/>
              <w:rPr>
                <w:bCs/>
                <w:iCs/>
                <w:color w:val="000000"/>
                <w:kern w:val="0"/>
                <w:sz w:val="24"/>
              </w:rPr>
            </w:pPr>
            <w:r>
              <w:rPr>
                <w:rFonts w:hAnsi="宋体"/>
                <w:bCs/>
                <w:iCs/>
                <w:color w:val="000000"/>
                <w:kern w:val="0"/>
                <w:sz w:val="24"/>
              </w:rPr>
              <w:t>参与单位名称及人员姓名</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757A7BA9">
            <w:pPr>
              <w:spacing w:line="420" w:lineRule="exact"/>
              <w:rPr>
                <w:rFonts w:hint="default" w:ascii="Times New Roman" w:hAnsi="Times New Roman" w:cs="Times New Roman"/>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国泰海通</w:t>
            </w:r>
            <w:bookmarkStart w:id="6" w:name="_GoBack"/>
            <w:bookmarkEnd w:id="6"/>
            <w:r>
              <w:rPr>
                <w:rFonts w:hint="eastAsia" w:ascii="宋体" w:hAnsi="宋体" w:cs="宋体"/>
                <w:i w:val="0"/>
                <w:iCs w:val="0"/>
                <w:color w:val="000000"/>
                <w:kern w:val="0"/>
                <w:sz w:val="24"/>
                <w:szCs w:val="24"/>
                <w:u w:val="none"/>
                <w:lang w:val="en-US" w:eastAsia="zh-CN" w:bidi="ar"/>
              </w:rPr>
              <w:t xml:space="preserve"> 牟俊宇</w:t>
            </w:r>
          </w:p>
        </w:tc>
      </w:tr>
      <w:tr w14:paraId="44C1E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14:paraId="2530ABBD">
            <w:pPr>
              <w:spacing w:line="420" w:lineRule="exact"/>
              <w:rPr>
                <w:bCs/>
                <w:iCs/>
                <w:color w:val="000000"/>
                <w:kern w:val="0"/>
                <w:sz w:val="24"/>
              </w:rPr>
            </w:pPr>
            <w:r>
              <w:rPr>
                <w:rFonts w:hAnsi="宋体"/>
                <w:bCs/>
                <w:iCs/>
                <w:color w:val="000000"/>
                <w:kern w:val="0"/>
                <w:sz w:val="24"/>
              </w:rPr>
              <w:t>时间</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2C169320">
            <w:pPr>
              <w:spacing w:line="420" w:lineRule="exact"/>
              <w:rPr>
                <w:rFonts w:hint="default"/>
                <w:bCs/>
                <w:iCs/>
                <w:color w:val="000000"/>
                <w:sz w:val="24"/>
                <w:lang w:val="en-US"/>
              </w:rPr>
            </w:pPr>
            <w:r>
              <w:rPr>
                <w:rFonts w:hint="eastAsia" w:ascii="Times New Roman" w:hAnsi="Times New Roman"/>
                <w:sz w:val="24"/>
              </w:rPr>
              <w:t>202</w:t>
            </w:r>
            <w:r>
              <w:rPr>
                <w:rFonts w:hint="eastAsia" w:ascii="Times New Roman" w:hAnsi="Times New Roman"/>
                <w:sz w:val="24"/>
                <w:lang w:val="en-US" w:eastAsia="zh-CN"/>
              </w:rPr>
              <w:t>6</w:t>
            </w:r>
            <w:r>
              <w:rPr>
                <w:rFonts w:hint="eastAsia"/>
                <w:sz w:val="24"/>
              </w:rPr>
              <w:t>年</w:t>
            </w:r>
            <w:r>
              <w:rPr>
                <w:rFonts w:hint="eastAsia" w:ascii="Times New Roman" w:hAnsi="Times New Roman"/>
                <w:sz w:val="24"/>
                <w:lang w:val="en-US" w:eastAsia="zh-CN"/>
              </w:rPr>
              <w:t>6</w:t>
            </w:r>
            <w:r>
              <w:rPr>
                <w:rFonts w:hint="eastAsia"/>
                <w:sz w:val="24"/>
              </w:rPr>
              <w:t>月</w:t>
            </w:r>
            <w:r>
              <w:rPr>
                <w:rFonts w:hint="eastAsia"/>
                <w:sz w:val="24"/>
                <w:lang w:val="en-US" w:eastAsia="zh-CN"/>
              </w:rPr>
              <w:t>2日</w:t>
            </w:r>
            <w:r>
              <w:rPr>
                <w:rFonts w:hint="eastAsia" w:ascii="Times New Roman" w:hAnsi="Times New Roman"/>
                <w:sz w:val="24"/>
                <w:lang w:val="en-US" w:eastAsia="zh-CN"/>
              </w:rPr>
              <w:t>15</w:t>
            </w:r>
            <w:r>
              <w:rPr>
                <w:rFonts w:hint="eastAsia"/>
                <w:sz w:val="24"/>
                <w:lang w:val="en-US" w:eastAsia="zh-CN"/>
              </w:rPr>
              <w:t>:3</w:t>
            </w:r>
            <w:r>
              <w:rPr>
                <w:rFonts w:hint="eastAsia" w:ascii="Times New Roman" w:hAnsi="Times New Roman"/>
                <w:sz w:val="24"/>
                <w:lang w:val="en-US" w:eastAsia="zh-CN"/>
              </w:rPr>
              <w:t>0</w:t>
            </w:r>
            <w:r>
              <w:rPr>
                <w:rFonts w:hint="eastAsia"/>
                <w:sz w:val="24"/>
                <w:lang w:val="en-US" w:eastAsia="zh-CN"/>
              </w:rPr>
              <w:t>-</w:t>
            </w:r>
            <w:r>
              <w:rPr>
                <w:rFonts w:hint="eastAsia" w:ascii="Times New Roman" w:hAnsi="Times New Roman"/>
                <w:sz w:val="24"/>
                <w:lang w:val="en-US" w:eastAsia="zh-CN"/>
              </w:rPr>
              <w:t>1</w:t>
            </w:r>
            <w:r>
              <w:rPr>
                <w:rFonts w:hint="eastAsia"/>
                <w:sz w:val="24"/>
                <w:lang w:val="en-US" w:eastAsia="zh-CN"/>
              </w:rPr>
              <w:t>7:</w:t>
            </w:r>
            <w:r>
              <w:rPr>
                <w:rFonts w:hint="eastAsia" w:ascii="Times New Roman" w:hAnsi="Times New Roman"/>
                <w:sz w:val="24"/>
                <w:lang w:val="en-US" w:eastAsia="zh-CN"/>
              </w:rPr>
              <w:t>00</w:t>
            </w:r>
          </w:p>
        </w:tc>
      </w:tr>
      <w:tr w14:paraId="27C11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14:paraId="43E0316F">
            <w:pPr>
              <w:spacing w:line="420" w:lineRule="exact"/>
              <w:rPr>
                <w:bCs/>
                <w:iCs/>
                <w:color w:val="000000"/>
                <w:kern w:val="0"/>
                <w:sz w:val="24"/>
              </w:rPr>
            </w:pPr>
            <w:r>
              <w:rPr>
                <w:rFonts w:hAnsi="宋体"/>
                <w:bCs/>
                <w:iCs/>
                <w:color w:val="000000"/>
                <w:kern w:val="0"/>
                <w:sz w:val="24"/>
              </w:rPr>
              <w:t>地点</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6E5167FA">
            <w:pPr>
              <w:spacing w:line="420" w:lineRule="exact"/>
              <w:rPr>
                <w:rFonts w:hint="eastAsia" w:eastAsia="宋体"/>
                <w:bCs/>
                <w:iCs/>
                <w:color w:val="000000"/>
                <w:sz w:val="24"/>
                <w:lang w:val="en-US" w:eastAsia="zh-CN"/>
              </w:rPr>
            </w:pPr>
            <w:r>
              <w:rPr>
                <w:rFonts w:hint="eastAsia"/>
                <w:bCs/>
                <w:iCs/>
                <w:color w:val="000000"/>
                <w:sz w:val="24"/>
                <w:lang w:val="en-US" w:eastAsia="zh-CN"/>
              </w:rPr>
              <w:t>现场</w:t>
            </w:r>
          </w:p>
        </w:tc>
      </w:tr>
      <w:tr w14:paraId="75F67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14:paraId="65AAAF38">
            <w:pPr>
              <w:spacing w:line="420" w:lineRule="exact"/>
              <w:rPr>
                <w:bCs/>
                <w:iCs/>
                <w:color w:val="000000"/>
                <w:kern w:val="0"/>
                <w:sz w:val="24"/>
              </w:rPr>
            </w:pPr>
            <w:r>
              <w:rPr>
                <w:rFonts w:hAnsi="宋体"/>
                <w:bCs/>
                <w:iCs/>
                <w:color w:val="000000"/>
                <w:kern w:val="0"/>
                <w:sz w:val="24"/>
              </w:rPr>
              <w:t>上市公司接待人员姓名</w:t>
            </w:r>
          </w:p>
        </w:tc>
        <w:tc>
          <w:tcPr>
            <w:tcW w:w="6847" w:type="dxa"/>
            <w:tcBorders>
              <w:top w:val="single" w:color="auto" w:sz="4" w:space="0"/>
              <w:left w:val="single" w:color="auto" w:sz="4" w:space="0"/>
              <w:bottom w:val="single" w:color="auto" w:sz="4" w:space="0"/>
              <w:right w:val="single" w:color="auto" w:sz="4" w:space="0"/>
            </w:tcBorders>
            <w:noWrap w:val="0"/>
            <w:vAlign w:val="center"/>
          </w:tcPr>
          <w:p w14:paraId="15DEB005">
            <w:pPr>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 xml:space="preserve">王敬     </w:t>
            </w:r>
            <w:bookmarkStart w:id="1" w:name="OLE_LINK7"/>
            <w:r>
              <w:rPr>
                <w:rFonts w:hint="eastAsia" w:ascii="Times New Roman" w:hAnsi="Times New Roman" w:cs="Times New Roman"/>
                <w:sz w:val="24"/>
                <w:lang w:val="en-US" w:eastAsia="zh-CN"/>
              </w:rPr>
              <w:t>副总经理</w:t>
            </w:r>
            <w:bookmarkEnd w:id="1"/>
            <w:r>
              <w:rPr>
                <w:rFonts w:hint="eastAsia" w:ascii="Times New Roman" w:hAnsi="Times New Roman" w:cs="Times New Roman"/>
                <w:sz w:val="24"/>
                <w:lang w:val="en-US" w:eastAsia="zh-CN"/>
              </w:rPr>
              <w:t>/董事会秘书</w:t>
            </w:r>
          </w:p>
          <w:p w14:paraId="6C97D8AE">
            <w:pPr>
              <w:rPr>
                <w:rFonts w:hint="default" w:ascii="Times New Roman" w:hAnsi="Times New Roman" w:cs="Times New Roman"/>
                <w:sz w:val="24"/>
                <w:lang w:val="en-US" w:eastAsia="zh-CN"/>
              </w:rPr>
            </w:pPr>
            <w:r>
              <w:rPr>
                <w:rFonts w:hint="eastAsia" w:cs="Times New Roman"/>
                <w:sz w:val="24"/>
                <w:lang w:val="en-US" w:eastAsia="zh-CN"/>
              </w:rPr>
              <w:t>刘进     总会计师</w:t>
            </w:r>
          </w:p>
        </w:tc>
      </w:tr>
      <w:tr w14:paraId="496C5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2889A820">
            <w:pPr>
              <w:spacing w:line="420" w:lineRule="exact"/>
              <w:rPr>
                <w:bCs/>
                <w:iCs/>
                <w:color w:val="000000"/>
                <w:kern w:val="0"/>
                <w:sz w:val="24"/>
              </w:rPr>
            </w:pPr>
            <w:r>
              <w:rPr>
                <w:rFonts w:hAnsi="宋体"/>
                <w:bCs/>
                <w:iCs/>
                <w:color w:val="000000"/>
                <w:kern w:val="0"/>
                <w:sz w:val="24"/>
              </w:rPr>
              <w:t>投资者关系活动主要内容介绍</w:t>
            </w:r>
          </w:p>
          <w:p w14:paraId="08C9E7C0">
            <w:pPr>
              <w:spacing w:line="420" w:lineRule="exact"/>
              <w:rPr>
                <w:bCs/>
                <w:iCs/>
                <w:color w:val="000000"/>
                <w:sz w:val="24"/>
              </w:rPr>
            </w:pPr>
          </w:p>
        </w:tc>
        <w:tc>
          <w:tcPr>
            <w:tcW w:w="6847" w:type="dxa"/>
            <w:tcBorders>
              <w:top w:val="single" w:color="auto" w:sz="4" w:space="0"/>
              <w:left w:val="single" w:color="auto" w:sz="4" w:space="0"/>
              <w:bottom w:val="single" w:color="auto" w:sz="4" w:space="0"/>
              <w:right w:val="single" w:color="auto" w:sz="4" w:space="0"/>
            </w:tcBorders>
            <w:noWrap w:val="0"/>
            <w:vAlign w:val="top"/>
          </w:tcPr>
          <w:p w14:paraId="3B7A3428">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cs="宋体"/>
                <w:b/>
                <w:bCs/>
                <w:color w:val="000000"/>
                <w:kern w:val="0"/>
                <w:sz w:val="24"/>
                <w:lang w:val="en-US" w:eastAsia="zh-CN" w:bidi="ar"/>
              </w:rPr>
            </w:pPr>
            <w:r>
              <w:rPr>
                <w:rFonts w:hint="eastAsia" w:ascii="宋体" w:hAnsi="宋体" w:cs="宋体"/>
                <w:b/>
                <w:bCs/>
                <w:color w:val="000000"/>
                <w:kern w:val="0"/>
                <w:sz w:val="24"/>
                <w:lang w:val="en-US" w:eastAsia="zh-CN" w:bidi="ar"/>
              </w:rPr>
              <w:t>问题</w:t>
            </w:r>
            <w:r>
              <w:rPr>
                <w:rFonts w:hint="eastAsia" w:ascii="Times New Roman" w:hAnsi="Times New Roman" w:cs="宋体"/>
                <w:b/>
                <w:bCs/>
                <w:color w:val="000000"/>
                <w:kern w:val="0"/>
                <w:sz w:val="24"/>
                <w:lang w:val="en-US" w:eastAsia="zh-CN" w:bidi="ar"/>
              </w:rPr>
              <w:t>1</w:t>
            </w:r>
            <w:r>
              <w:rPr>
                <w:rFonts w:hint="eastAsia" w:ascii="宋体" w:hAnsi="宋体" w:cs="宋体"/>
                <w:b/>
                <w:bCs/>
                <w:color w:val="000000"/>
                <w:kern w:val="0"/>
                <w:sz w:val="24"/>
                <w:lang w:val="en-US" w:eastAsia="zh-CN" w:bidi="ar"/>
              </w:rPr>
              <w:t>：</w:t>
            </w:r>
            <w:bookmarkStart w:id="2" w:name="OLE_LINK4"/>
            <w:r>
              <w:rPr>
                <w:rFonts w:hint="eastAsia" w:ascii="宋体" w:hAnsi="宋体" w:cs="宋体"/>
                <w:b/>
                <w:bCs/>
                <w:color w:val="000000"/>
                <w:kern w:val="0"/>
                <w:sz w:val="24"/>
                <w:lang w:val="en-US" w:eastAsia="zh-CN" w:bidi="ar"/>
              </w:rPr>
              <w:t>请介绍一下公司</w:t>
            </w:r>
            <w:bookmarkEnd w:id="2"/>
            <w:r>
              <w:rPr>
                <w:rFonts w:hint="eastAsia" w:ascii="宋体" w:hAnsi="宋体" w:cs="宋体"/>
                <w:b/>
                <w:bCs/>
                <w:color w:val="000000"/>
                <w:kern w:val="0"/>
                <w:sz w:val="24"/>
                <w:lang w:val="en-US" w:eastAsia="zh-CN" w:bidi="ar"/>
              </w:rPr>
              <w:t>钠离子电池正极材料的研发进展及产能规划情况？</w:t>
            </w:r>
          </w:p>
          <w:p w14:paraId="02FDE499">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000000"/>
                <w:kern w:val="0"/>
                <w:sz w:val="24"/>
                <w:lang w:val="en-US" w:eastAsia="zh-CN" w:bidi="ar"/>
              </w:rPr>
            </w:pPr>
            <w:bookmarkStart w:id="3" w:name="OLE_LINK2"/>
            <w:r>
              <w:rPr>
                <w:rFonts w:hint="default" w:ascii="宋体" w:hAnsi="宋体" w:eastAsia="宋体" w:cs="宋体"/>
                <w:color w:val="000000"/>
                <w:kern w:val="0"/>
                <w:sz w:val="24"/>
                <w:lang w:val="en-US" w:bidi="ar"/>
              </w:rPr>
              <w:t>答：</w:t>
            </w:r>
            <w:r>
              <w:rPr>
                <w:rFonts w:hint="eastAsia" w:ascii="宋体" w:hAnsi="宋体" w:eastAsia="宋体" w:cs="宋体"/>
                <w:color w:val="000000"/>
                <w:kern w:val="0"/>
                <w:sz w:val="24"/>
                <w:lang w:val="en-US" w:eastAsia="zh-CN" w:bidi="ar"/>
              </w:rPr>
              <w:t>公司</w:t>
            </w:r>
            <w:r>
              <w:rPr>
                <w:rFonts w:hint="eastAsia" w:ascii="宋体" w:hAnsi="宋体" w:cs="宋体"/>
                <w:color w:val="000000"/>
                <w:kern w:val="0"/>
                <w:sz w:val="24"/>
                <w:lang w:val="en-US" w:eastAsia="zh-CN" w:bidi="ar"/>
              </w:rPr>
              <w:t>在钠离子电池正极材料领域已掌握层状氧化物与聚阴离子两大主流技术路线的核心制备工艺。层状氧化物路线方面，公司已储备多代产品并实现出货及装车验证。第四代产品通过多元素协同制备高熵材料，实现材料结构重构，同时通过表面包覆改善材料界面稳定性，容量及循环性能得到显著改善，可同时适配高、低电压液态电池和固态电池体系。专线产能大约为</w:t>
            </w:r>
            <w:r>
              <w:rPr>
                <w:rFonts w:hint="eastAsia" w:ascii="Times New Roman" w:hAnsi="Times New Roman" w:cs="宋体"/>
                <w:color w:val="000000"/>
                <w:kern w:val="0"/>
                <w:sz w:val="24"/>
                <w:lang w:val="en-US" w:eastAsia="zh-CN" w:bidi="ar"/>
              </w:rPr>
              <w:t>5000</w:t>
            </w:r>
            <w:r>
              <w:rPr>
                <w:rFonts w:hint="eastAsia" w:ascii="宋体" w:hAnsi="宋体" w:cs="宋体"/>
                <w:color w:val="000000"/>
                <w:kern w:val="0"/>
                <w:sz w:val="24"/>
                <w:lang w:val="en-US" w:eastAsia="zh-CN" w:bidi="ar"/>
              </w:rPr>
              <w:t>吨/年，同时公司现有的</w:t>
            </w:r>
            <w:bookmarkStart w:id="4" w:name="OLE_LINK10"/>
            <w:r>
              <w:rPr>
                <w:rFonts w:hint="eastAsia" w:ascii="宋体" w:hAnsi="宋体" w:cs="宋体"/>
                <w:color w:val="000000"/>
                <w:kern w:val="0"/>
                <w:sz w:val="24"/>
                <w:lang w:val="en-US" w:eastAsia="zh-CN" w:bidi="ar"/>
              </w:rPr>
              <w:t>约</w:t>
            </w:r>
            <w:r>
              <w:rPr>
                <w:rFonts w:hint="eastAsia" w:ascii="Times New Roman" w:hAnsi="Times New Roman" w:cs="宋体"/>
                <w:color w:val="000000"/>
                <w:kern w:val="0"/>
                <w:sz w:val="24"/>
                <w:lang w:val="en-US" w:eastAsia="zh-CN" w:bidi="ar"/>
              </w:rPr>
              <w:t>5</w:t>
            </w:r>
            <w:r>
              <w:rPr>
                <w:rFonts w:hint="eastAsia" w:ascii="宋体" w:hAnsi="宋体" w:cs="宋体"/>
                <w:color w:val="000000"/>
                <w:kern w:val="0"/>
                <w:sz w:val="24"/>
                <w:lang w:val="en-US" w:eastAsia="zh-CN" w:bidi="ar"/>
              </w:rPr>
              <w:t>万吨</w:t>
            </w:r>
            <w:bookmarkEnd w:id="4"/>
            <w:r>
              <w:rPr>
                <w:rFonts w:hint="eastAsia" w:ascii="宋体" w:hAnsi="宋体" w:cs="宋体"/>
                <w:color w:val="000000"/>
                <w:kern w:val="0"/>
                <w:sz w:val="24"/>
                <w:lang w:val="en-US" w:eastAsia="zh-CN" w:bidi="ar"/>
              </w:rPr>
              <w:t>中镍及中高镍三元产线可兼容生产钠电正极。</w:t>
            </w:r>
          </w:p>
          <w:p w14:paraId="50F79731">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聚阴离子路线方面，产品主要应用于</w:t>
            </w:r>
            <w:r>
              <w:rPr>
                <w:rFonts w:hint="default" w:ascii="Times New Roman" w:hAnsi="Times New Roman" w:cs="宋体"/>
                <w:color w:val="000000"/>
                <w:kern w:val="0"/>
                <w:sz w:val="24"/>
                <w:lang w:val="en-US" w:eastAsia="zh-CN" w:bidi="ar"/>
              </w:rPr>
              <w:t>UPS</w:t>
            </w:r>
            <w:r>
              <w:rPr>
                <w:rFonts w:hint="eastAsia" w:ascii="宋体" w:hAnsi="宋体" w:cs="宋体"/>
                <w:color w:val="000000"/>
                <w:kern w:val="0"/>
                <w:sz w:val="24"/>
                <w:lang w:val="en-US" w:eastAsia="zh-CN" w:bidi="ar"/>
              </w:rPr>
              <w:t>启停电池、储能等领域，亦可与层状氧化物材料混合用于中低端电动汽车及重卡领域。目前聚阴离子钠电正极中试线已基本建成。</w:t>
            </w:r>
          </w:p>
          <w:p w14:paraId="0B319E7D">
            <w:pPr>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color w:val="000000"/>
                <w:kern w:val="0"/>
                <w:sz w:val="24"/>
                <w:lang w:val="en-US" w:eastAsia="zh-CN" w:bidi="ar"/>
              </w:rPr>
            </w:pPr>
            <w:r>
              <w:rPr>
                <w:rFonts w:hint="eastAsia" w:ascii="宋体" w:hAnsi="宋体" w:cs="宋体"/>
                <w:b/>
                <w:bCs/>
                <w:color w:val="000000"/>
                <w:kern w:val="0"/>
                <w:sz w:val="24"/>
                <w:lang w:val="en-US" w:eastAsia="zh-CN" w:bidi="ar"/>
              </w:rPr>
              <w:t>问题</w:t>
            </w:r>
            <w:r>
              <w:rPr>
                <w:rFonts w:hint="eastAsia" w:ascii="宋体" w:hAnsi="宋体" w:eastAsia="宋体" w:cs="宋体"/>
                <w:b/>
                <w:bCs/>
                <w:color w:val="000000"/>
                <w:kern w:val="0"/>
                <w:sz w:val="24"/>
                <w:lang w:val="en-US" w:eastAsia="zh-CN" w:bidi="ar"/>
              </w:rPr>
              <w:t>2：固态电池用正极材料及固态电解质方面，公司目前的研发进展如何？</w:t>
            </w:r>
          </w:p>
          <w:p w14:paraId="5F0F7C39">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公司围绕固态电池体系进行了系统布局，覆盖正极材料和固态电解质两大方向，部分产品已取得实质性进展。</w:t>
            </w:r>
          </w:p>
          <w:p w14:paraId="25308468">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cs="宋体"/>
                <w:color w:val="000000"/>
                <w:kern w:val="0"/>
                <w:sz w:val="24"/>
                <w:lang w:val="en-US" w:eastAsia="zh-CN" w:bidi="ar"/>
              </w:rPr>
            </w:pPr>
            <w:r>
              <w:rPr>
                <w:rFonts w:hint="eastAsia" w:ascii="宋体" w:hAnsi="宋体" w:cs="宋体"/>
                <w:color w:val="000000"/>
                <w:kern w:val="0"/>
                <w:sz w:val="24"/>
                <w:lang w:val="en-US" w:eastAsia="zh-CN" w:bidi="ar"/>
              </w:rPr>
              <w:t>在固态电池用正极材料方面，公司开发了适配固态电池体系的中镍高电压、高镍、超高镍三元材料及富锂锰基材料等多条技术路线产品，可覆盖新能源汽车、低空飞行器、人形机器人及高端电动工具等对能量密度与安全性要求较高的领域，目前部分材料已实现百吨级出货。同时，公司利用固态电解质改性三元材料，电化学性能和安全性能得到明显改善，采用该技术的</w:t>
            </w:r>
            <w:r>
              <w:rPr>
                <w:rFonts w:hint="default" w:ascii="Times New Roman" w:hAnsi="Times New Roman" w:cs="宋体"/>
                <w:color w:val="000000"/>
                <w:kern w:val="0"/>
                <w:sz w:val="24"/>
                <w:lang w:val="en-US" w:eastAsia="zh-CN" w:bidi="ar"/>
              </w:rPr>
              <w:t>6</w:t>
            </w:r>
            <w:r>
              <w:rPr>
                <w:rFonts w:hint="eastAsia" w:ascii="宋体" w:hAnsi="宋体" w:cs="宋体"/>
                <w:color w:val="000000"/>
                <w:kern w:val="0"/>
                <w:sz w:val="24"/>
                <w:lang w:val="en-US" w:eastAsia="zh-CN" w:bidi="ar"/>
              </w:rPr>
              <w:t>系材料经客户测试，在不掺混其它材料的情况下，电芯可通过针刺、热箱等安全检测，目前已在数码及二轮车电池等领域实现批量销售。</w:t>
            </w:r>
          </w:p>
          <w:p w14:paraId="4729B4FE">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在固态电解质方面，公司自主研发的复合固体电解质材料兼具小粒径（纳米级）、良好空气稳定性、高离子电导率及优异分散性等特性。该材料一方面满足了公司内部对正极材料进行包覆改性的产业化需求；另一方面，在隔膜涂覆、混合固液电池等领域的推广应用已取得较大进展，当前已接到多家客户的意向订单。此外，千吨级的中试生产线计划于</w:t>
            </w:r>
            <w:r>
              <w:rPr>
                <w:rFonts w:hint="default" w:ascii="Times New Roman" w:hAnsi="Times New Roman" w:cs="宋体"/>
                <w:color w:val="000000"/>
                <w:kern w:val="0"/>
                <w:sz w:val="24"/>
                <w:lang w:val="en-US" w:eastAsia="zh-CN" w:bidi="ar"/>
              </w:rPr>
              <w:t>2026</w:t>
            </w:r>
            <w:r>
              <w:rPr>
                <w:rFonts w:hint="eastAsia" w:ascii="宋体" w:hAnsi="宋体" w:cs="宋体"/>
                <w:color w:val="000000"/>
                <w:kern w:val="0"/>
                <w:sz w:val="24"/>
                <w:lang w:val="en-US" w:eastAsia="zh-CN" w:bidi="ar"/>
              </w:rPr>
              <w:t>年第三季度建成投产。</w:t>
            </w:r>
          </w:p>
          <w:bookmarkEnd w:id="3"/>
          <w:p w14:paraId="1BD7F49B">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问题</w:t>
            </w:r>
            <w:r>
              <w:rPr>
                <w:rFonts w:hint="eastAsia" w:ascii="Times New Roman" w:hAnsi="Times New Roman" w:eastAsia="宋体" w:cs="宋体"/>
                <w:b/>
                <w:bCs/>
                <w:color w:val="000000"/>
                <w:kern w:val="0"/>
                <w:sz w:val="24"/>
                <w:lang w:val="en-US" w:eastAsia="zh-CN" w:bidi="ar"/>
              </w:rPr>
              <w:t>3</w:t>
            </w:r>
            <w:r>
              <w:rPr>
                <w:rFonts w:hint="eastAsia" w:ascii="宋体" w:hAnsi="宋体" w:eastAsia="宋体" w:cs="宋体"/>
                <w:b/>
                <w:bCs/>
                <w:color w:val="000000"/>
                <w:kern w:val="0"/>
                <w:sz w:val="24"/>
                <w:lang w:val="en-US" w:eastAsia="zh-CN" w:bidi="ar"/>
              </w:rPr>
              <w:t>：</w:t>
            </w:r>
            <w:r>
              <w:rPr>
                <w:rFonts w:hint="eastAsia" w:ascii="宋体" w:hAnsi="宋体" w:cs="宋体"/>
                <w:b/>
                <w:bCs/>
                <w:color w:val="000000"/>
                <w:kern w:val="0"/>
                <w:sz w:val="24"/>
                <w:lang w:val="en-US" w:eastAsia="zh-CN" w:bidi="ar"/>
              </w:rPr>
              <w:t>请介绍一下公司磷碳负极研发进展情况？</w:t>
            </w:r>
          </w:p>
          <w:p w14:paraId="7BBA3C7E">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kern w:val="0"/>
                <w:sz w:val="24"/>
                <w:lang w:val="en-US" w:eastAsia="zh-CN" w:bidi="ar"/>
              </w:rPr>
            </w:pPr>
            <w:bookmarkStart w:id="5" w:name="OLE_LINK14"/>
            <w:r>
              <w:rPr>
                <w:rFonts w:hint="eastAsia" w:ascii="宋体" w:hAnsi="宋体" w:eastAsia="宋体" w:cs="宋体"/>
                <w:color w:val="000000"/>
                <w:kern w:val="0"/>
                <w:sz w:val="24"/>
                <w:lang w:val="en-US" w:eastAsia="zh-CN" w:bidi="ar"/>
              </w:rPr>
              <w:t>答：</w:t>
            </w:r>
            <w:r>
              <w:rPr>
                <w:rFonts w:ascii="宋体" w:hAnsi="宋体" w:eastAsia="宋体" w:cs="宋体"/>
                <w:b w:val="0"/>
                <w:bCs w:val="0"/>
                <w:i w:val="0"/>
                <w:iCs w:val="0"/>
                <w:caps w:val="0"/>
                <w:color w:val="auto"/>
                <w:spacing w:val="0"/>
                <w:sz w:val="24"/>
                <w:szCs w:val="24"/>
              </w:rPr>
              <w:t>磷碳负极</w:t>
            </w:r>
            <w:r>
              <w:rPr>
                <w:rFonts w:hint="default" w:ascii="宋体" w:hAnsi="宋体" w:eastAsia="宋体" w:cs="宋体"/>
                <w:i w:val="0"/>
                <w:iCs w:val="0"/>
                <w:caps w:val="0"/>
                <w:color w:val="auto"/>
                <w:spacing w:val="0"/>
                <w:sz w:val="24"/>
                <w:szCs w:val="24"/>
                <w:shd w:val="clear" w:color="auto" w:fill="auto"/>
              </w:rPr>
              <w:t>材料作为下一代高比能锂/钠电池的关键负极材料之一，</w:t>
            </w:r>
            <w:r>
              <w:rPr>
                <w:rFonts w:hint="default" w:ascii="宋体" w:hAnsi="宋体" w:eastAsia="宋体" w:cs="宋体"/>
                <w:b w:val="0"/>
                <w:bCs w:val="0"/>
                <w:i w:val="0"/>
                <w:iCs w:val="0"/>
                <w:caps w:val="0"/>
                <w:color w:val="auto"/>
                <w:spacing w:val="0"/>
                <w:sz w:val="24"/>
                <w:szCs w:val="24"/>
              </w:rPr>
              <w:t>磷碳负极</w:t>
            </w:r>
            <w:r>
              <w:rPr>
                <w:rFonts w:hint="default" w:ascii="宋体" w:hAnsi="宋体" w:eastAsia="宋体" w:cs="宋体"/>
                <w:i w:val="0"/>
                <w:iCs w:val="0"/>
                <w:caps w:val="0"/>
                <w:color w:val="auto"/>
                <w:spacing w:val="0"/>
                <w:sz w:val="24"/>
                <w:szCs w:val="24"/>
                <w:shd w:val="clear" w:color="auto" w:fill="auto"/>
              </w:rPr>
              <w:t>具备高容量、高压实、离子传输性能优异及适中的平台电位等优势。依托贵州的磷矿资源优势，公司将其作为重点技术方向进行长期开发、布局。制备工艺方面，公司同步推进固相与液相两条合成路线的研发攻关并取得重要突破，充电容量已达900mAh/g，首次库仑效率提升至80%以上。</w:t>
            </w:r>
          </w:p>
          <w:bookmarkEnd w:id="5"/>
          <w:p w14:paraId="1C0FE8DC">
            <w:pPr>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default" w:ascii="宋体" w:hAnsi="宋体" w:cs="宋体"/>
                <w:b/>
                <w:bCs/>
                <w:color w:val="000000"/>
                <w:kern w:val="0"/>
                <w:sz w:val="24"/>
                <w:lang w:val="en-US" w:eastAsia="zh-CN" w:bidi="ar"/>
              </w:rPr>
            </w:pPr>
            <w:r>
              <w:rPr>
                <w:rFonts w:hint="eastAsia" w:ascii="宋体" w:hAnsi="宋体" w:cs="宋体"/>
                <w:b/>
                <w:bCs/>
                <w:color w:val="000000"/>
                <w:kern w:val="0"/>
                <w:sz w:val="24"/>
                <w:lang w:val="en-US" w:eastAsia="zh-CN" w:bidi="ar"/>
              </w:rPr>
              <w:t>问题4：2026年下半年锂盐价格走势如何？</w:t>
            </w:r>
          </w:p>
          <w:p w14:paraId="3611BC95">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cs="宋体"/>
                <w:color w:val="000000"/>
                <w:kern w:val="0"/>
                <w:sz w:val="24"/>
                <w:lang w:val="en-US" w:eastAsia="zh-CN" w:bidi="ar"/>
              </w:rPr>
            </w:pPr>
            <w:r>
              <w:rPr>
                <w:rFonts w:hint="eastAsia" w:ascii="宋体" w:hAnsi="宋体" w:eastAsia="宋体" w:cs="宋体"/>
                <w:color w:val="000000"/>
                <w:kern w:val="0"/>
                <w:sz w:val="24"/>
                <w:lang w:val="en-US" w:eastAsia="zh-CN" w:bidi="ar"/>
              </w:rPr>
              <w:t>答：</w:t>
            </w:r>
            <w:r>
              <w:rPr>
                <w:rFonts w:hint="eastAsia" w:ascii="Times New Roman" w:hAnsi="Times New Roman" w:cs="宋体"/>
                <w:color w:val="000000"/>
                <w:kern w:val="0"/>
                <w:sz w:val="24"/>
                <w:lang w:val="en-US" w:eastAsia="zh-CN" w:bidi="ar"/>
              </w:rPr>
              <w:t>截至目前锂盐价格</w:t>
            </w:r>
            <w:r>
              <w:rPr>
                <w:rFonts w:hint="default" w:ascii="Times New Roman" w:hAnsi="Times New Roman" w:cs="宋体"/>
                <w:color w:val="000000"/>
                <w:kern w:val="0"/>
                <w:sz w:val="24"/>
                <w:lang w:val="en-US" w:eastAsia="zh-CN" w:bidi="ar"/>
              </w:rPr>
              <w:t>已从2025年6万元/吨低点反弹超200%，本轮上涨由‌供给刚性收缩+储能需求爆发+库存去化‌驱动，非单纯周期复苏；</w:t>
            </w:r>
            <w:r>
              <w:rPr>
                <w:rFonts w:hint="eastAsia" w:ascii="Times New Roman" w:hAnsi="Times New Roman" w:cs="宋体"/>
                <w:color w:val="000000"/>
                <w:kern w:val="0"/>
                <w:sz w:val="24"/>
                <w:lang w:val="en-US" w:eastAsia="zh-CN" w:bidi="ar"/>
              </w:rPr>
              <w:t>下半年</w:t>
            </w:r>
            <w:r>
              <w:rPr>
                <w:rFonts w:hint="default" w:ascii="Times New Roman" w:hAnsi="Times New Roman" w:cs="宋体"/>
                <w:color w:val="000000"/>
                <w:kern w:val="0"/>
                <w:sz w:val="24"/>
                <w:lang w:val="en-US" w:eastAsia="zh-CN" w:bidi="ar"/>
              </w:rPr>
              <w:t>价格波动仍受</w:t>
            </w:r>
            <w:r>
              <w:rPr>
                <w:rFonts w:hint="eastAsia" w:ascii="Times New Roman" w:hAnsi="Times New Roman" w:cs="宋体"/>
                <w:color w:val="000000"/>
                <w:kern w:val="0"/>
                <w:sz w:val="24"/>
                <w:lang w:val="en-US" w:eastAsia="zh-CN" w:bidi="ar"/>
              </w:rPr>
              <w:t>供需关系、</w:t>
            </w:r>
            <w:r>
              <w:rPr>
                <w:rFonts w:hint="default" w:ascii="Times New Roman" w:hAnsi="Times New Roman" w:cs="宋体"/>
                <w:color w:val="000000"/>
                <w:kern w:val="0"/>
                <w:sz w:val="24"/>
                <w:lang w:val="en-US" w:eastAsia="zh-CN" w:bidi="ar"/>
              </w:rPr>
              <w:t>情绪与政策（如资源国出口管制）扰动，‌不宜简单线性外推‌。</w:t>
            </w:r>
          </w:p>
        </w:tc>
      </w:tr>
      <w:tr w14:paraId="4C6BC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50F06E62">
            <w:pPr>
              <w:spacing w:line="420" w:lineRule="exact"/>
              <w:rPr>
                <w:rFonts w:hint="default" w:eastAsia="宋体"/>
                <w:bCs/>
                <w:iCs/>
                <w:color w:val="000000"/>
                <w:sz w:val="24"/>
                <w:lang w:val="en-US" w:eastAsia="zh-CN"/>
              </w:rPr>
            </w:pPr>
            <w:r>
              <w:rPr>
                <w:rFonts w:hint="eastAsia"/>
                <w:b/>
                <w:bCs w:val="0"/>
                <w:iCs/>
                <w:color w:val="000000"/>
                <w:sz w:val="24"/>
                <w:lang w:val="en-US" w:eastAsia="zh-CN"/>
              </w:rPr>
              <w:t>风险提示</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00B19CD1">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cs="宋体"/>
                <w:color w:val="000000"/>
                <w:kern w:val="0"/>
                <w:sz w:val="24"/>
                <w:lang w:val="en-US" w:eastAsia="zh-CN" w:bidi="ar"/>
              </w:rPr>
            </w:pPr>
            <w:r>
              <w:rPr>
                <w:rFonts w:hint="eastAsia" w:ascii="宋体" w:hAnsi="宋体" w:cs="宋体"/>
                <w:b/>
                <w:bCs/>
                <w:color w:val="000000"/>
                <w:kern w:val="0"/>
                <w:sz w:val="24"/>
                <w:lang w:bidi="ar"/>
              </w:rPr>
              <w:t>以上如涉及对行业的预测、公司发展战略规划等相关内容，不能视作公司或公司管理层对行业、公司发展的承诺和保证；敬请广大投资者注意投资风险。</w:t>
            </w:r>
          </w:p>
        </w:tc>
      </w:tr>
    </w:tbl>
    <w:p w14:paraId="71541582"/>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B7326">
    <w:pPr>
      <w:pStyle w:val="3"/>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0YmEyMmNhYmVhNGY3YTJjYTNmMzc5MDAzMmViMmQifQ=="/>
  </w:docVars>
  <w:rsids>
    <w:rsidRoot w:val="006861C7"/>
    <w:rsid w:val="000268C0"/>
    <w:rsid w:val="000363B5"/>
    <w:rsid w:val="000375D7"/>
    <w:rsid w:val="00043015"/>
    <w:rsid w:val="00046DDE"/>
    <w:rsid w:val="00047EB9"/>
    <w:rsid w:val="00060A74"/>
    <w:rsid w:val="00067110"/>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753DB6"/>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D1BA8"/>
    <w:rsid w:val="00B02A29"/>
    <w:rsid w:val="00B03522"/>
    <w:rsid w:val="00B04AD6"/>
    <w:rsid w:val="00B14CAA"/>
    <w:rsid w:val="00B257CE"/>
    <w:rsid w:val="00B4746C"/>
    <w:rsid w:val="00B65354"/>
    <w:rsid w:val="00B71A0E"/>
    <w:rsid w:val="00B81765"/>
    <w:rsid w:val="00B832F5"/>
    <w:rsid w:val="00BA2FAB"/>
    <w:rsid w:val="00BB5E28"/>
    <w:rsid w:val="00BD15F3"/>
    <w:rsid w:val="00BD7986"/>
    <w:rsid w:val="00BD79D3"/>
    <w:rsid w:val="00C04F82"/>
    <w:rsid w:val="00C15AC0"/>
    <w:rsid w:val="00C26030"/>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F565C"/>
    <w:rsid w:val="00D016A3"/>
    <w:rsid w:val="00D512E3"/>
    <w:rsid w:val="00D602C9"/>
    <w:rsid w:val="00DA26A9"/>
    <w:rsid w:val="00DB01FF"/>
    <w:rsid w:val="00DC7778"/>
    <w:rsid w:val="00DE7391"/>
    <w:rsid w:val="00DF2DB5"/>
    <w:rsid w:val="00DF6560"/>
    <w:rsid w:val="00E04CC0"/>
    <w:rsid w:val="00E136FF"/>
    <w:rsid w:val="00E32528"/>
    <w:rsid w:val="00E35F26"/>
    <w:rsid w:val="00E53165"/>
    <w:rsid w:val="00E61EF7"/>
    <w:rsid w:val="00E663B4"/>
    <w:rsid w:val="00E80CEB"/>
    <w:rsid w:val="00EA5103"/>
    <w:rsid w:val="00EA6FB9"/>
    <w:rsid w:val="00EB5E6A"/>
    <w:rsid w:val="00EC2AD7"/>
    <w:rsid w:val="00ED7DE0"/>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C6884"/>
    <w:rsid w:val="00FE62F3"/>
    <w:rsid w:val="00FF71D2"/>
    <w:rsid w:val="02990EAA"/>
    <w:rsid w:val="047F554A"/>
    <w:rsid w:val="04964368"/>
    <w:rsid w:val="049C787F"/>
    <w:rsid w:val="07A03795"/>
    <w:rsid w:val="101C61BF"/>
    <w:rsid w:val="13545D39"/>
    <w:rsid w:val="157D489C"/>
    <w:rsid w:val="15FA45AF"/>
    <w:rsid w:val="17A77BC2"/>
    <w:rsid w:val="191044B0"/>
    <w:rsid w:val="1B2418A5"/>
    <w:rsid w:val="1B8371BB"/>
    <w:rsid w:val="1D667883"/>
    <w:rsid w:val="1FBFC074"/>
    <w:rsid w:val="23907C91"/>
    <w:rsid w:val="267D3FB0"/>
    <w:rsid w:val="27345075"/>
    <w:rsid w:val="2739756D"/>
    <w:rsid w:val="282E6701"/>
    <w:rsid w:val="2C717EEA"/>
    <w:rsid w:val="2CDA1AD5"/>
    <w:rsid w:val="2E5C3FC8"/>
    <w:rsid w:val="306B5437"/>
    <w:rsid w:val="345C6E3C"/>
    <w:rsid w:val="36FB9E1F"/>
    <w:rsid w:val="3A941242"/>
    <w:rsid w:val="3B96528D"/>
    <w:rsid w:val="3BFA3B96"/>
    <w:rsid w:val="3CEF3472"/>
    <w:rsid w:val="3D0B5DCC"/>
    <w:rsid w:val="3EC10203"/>
    <w:rsid w:val="3EFF16E9"/>
    <w:rsid w:val="3F2D5930"/>
    <w:rsid w:val="40B55A6F"/>
    <w:rsid w:val="4336674E"/>
    <w:rsid w:val="48B06F92"/>
    <w:rsid w:val="4A0D3DDE"/>
    <w:rsid w:val="53AF61B0"/>
    <w:rsid w:val="54042F7D"/>
    <w:rsid w:val="56003690"/>
    <w:rsid w:val="56750C08"/>
    <w:rsid w:val="56A80582"/>
    <w:rsid w:val="59D35413"/>
    <w:rsid w:val="5A4663A8"/>
    <w:rsid w:val="5EF63418"/>
    <w:rsid w:val="64581444"/>
    <w:rsid w:val="69C515DF"/>
    <w:rsid w:val="6A002D52"/>
    <w:rsid w:val="6BC93949"/>
    <w:rsid w:val="6CD77686"/>
    <w:rsid w:val="6FF73E19"/>
    <w:rsid w:val="6FF84BF7"/>
    <w:rsid w:val="72BA2613"/>
    <w:rsid w:val="77CF73AC"/>
    <w:rsid w:val="78FF0116"/>
    <w:rsid w:val="7AC94519"/>
    <w:rsid w:val="7BC942EE"/>
    <w:rsid w:val="B7DDD54D"/>
    <w:rsid w:val="E3FFE6ED"/>
    <w:rsid w:val="F5DB8A63"/>
    <w:rsid w:val="F797912E"/>
    <w:rsid w:val="FE7B489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link w:val="12"/>
    <w:autoRedefine/>
    <w:qFormat/>
    <w:uiPriority w:val="0"/>
    <w:pPr>
      <w:tabs>
        <w:tab w:val="center" w:pos="4153"/>
        <w:tab w:val="right" w:pos="8306"/>
      </w:tabs>
      <w:snapToGrid w:val="0"/>
      <w:jc w:val="left"/>
    </w:pPr>
    <w:rPr>
      <w:sz w:val="18"/>
      <w:szCs w:val="18"/>
    </w:rPr>
  </w:style>
  <w:style w:type="paragraph" w:styleId="3">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_Style 6"/>
    <w:basedOn w:val="1"/>
    <w:autoRedefine/>
    <w:qFormat/>
    <w:uiPriority w:val="34"/>
    <w:pPr>
      <w:ind w:firstLine="420" w:firstLineChars="200"/>
    </w:pPr>
    <w:rPr>
      <w:rFonts w:ascii="Calibri" w:hAnsi="Calibri" w:eastAsia="宋体" w:cs="Times New Roman"/>
      <w:szCs w:val="22"/>
    </w:rPr>
  </w:style>
  <w:style w:type="paragraph" w:customStyle="1" w:styleId="9">
    <w:name w:val="Char Char Char"/>
    <w:basedOn w:val="1"/>
    <w:autoRedefine/>
    <w:qFormat/>
    <w:uiPriority w:val="0"/>
    <w:rPr>
      <w:szCs w:val="21"/>
    </w:rPr>
  </w:style>
  <w:style w:type="paragraph" w:customStyle="1" w:styleId="10">
    <w:name w:val="Char Char Char Char Char Char Char Char Char Char Char Char Char Char Char Char"/>
    <w:basedOn w:val="1"/>
    <w:autoRedefine/>
    <w:qFormat/>
    <w:uiPriority w:val="0"/>
  </w:style>
  <w:style w:type="paragraph" w:customStyle="1" w:styleId="11">
    <w:name w:val=" Char Char Char"/>
    <w:basedOn w:val="1"/>
    <w:autoRedefine/>
    <w:qFormat/>
    <w:uiPriority w:val="0"/>
  </w:style>
  <w:style w:type="character" w:customStyle="1" w:styleId="12">
    <w:name w:val="页脚 Char"/>
    <w:basedOn w:val="7"/>
    <w:link w:val="2"/>
    <w:autoRedefine/>
    <w:qFormat/>
    <w:uiPriority w:val="0"/>
    <w:rPr>
      <w:kern w:val="2"/>
      <w:sz w:val="18"/>
      <w:szCs w:val="18"/>
    </w:rPr>
  </w:style>
  <w:style w:type="character" w:customStyle="1" w:styleId="13">
    <w:name w:val="页眉 Char"/>
    <w:basedOn w:val="7"/>
    <w:link w:val="3"/>
    <w:autoRedefine/>
    <w:qFormat/>
    <w:uiPriority w:val="0"/>
    <w:rPr>
      <w:kern w:val="2"/>
      <w:sz w:val="18"/>
      <w:szCs w:val="18"/>
    </w:rPr>
  </w:style>
  <w:style w:type="table" w:customStyle="1" w:styleId="14">
    <w:name w:val="TableGrid"/>
    <w:autoRedefine/>
    <w:qFormat/>
    <w:uiPriority w:val="0"/>
    <w:tblPr>
      <w:tblCellMar>
        <w:top w:w="0" w:type="dxa"/>
        <w:left w:w="0" w:type="dxa"/>
        <w:bottom w:w="0" w:type="dxa"/>
        <w:right w:w="0" w:type="dxa"/>
      </w:tblCellMar>
    </w:tblPr>
  </w:style>
  <w:style w:type="character" w:customStyle="1" w:styleId="15">
    <w:name w:val="font11"/>
    <w:basedOn w:val="7"/>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b643c3a2-2ae3-496c-ac29-9e74a0c64743</errorID>
      <errorWord>其它</errorWord>
      <group>L1_Word</group>
      <groupName>字词问题</groupName>
      <ability>L2_Alias</ability>
      <abilityName>也作/曾用词</abilityName>
      <candidateList>
        <item>其他</item>
      </candidateList>
      <explain>词汇[其它]为不规范表述或旧称，其规范书面表述为[其他]。</explain>
      <paraID>23D69936</paraID>
      <start>176</start>
      <end>178</end>
      <status>unmodified</status>
      <modifiedWord/>
      <trackRevisions>false</trackRevisions>
    </reviewItem>
    <reviewItem>
      <errorID>5771fd2a-18f4-46c4-9b2a-8c1ba21b5ee6</errorID>
      <errorWord>但</errorWord>
      <group>L1_Word</group>
      <groupName>字词问题</groupName>
      <ability>L2_Typo</ability>
      <abilityName>字词错误</abilityName>
      <candidateList>
        <item>为</item>
      </candidateList>
      <explain>（爲、為）wèi❶〈书〉帮助；卫护：～吕氏者右袒，～刘氏者左袒。❷〈介〉表示行为的对象；替：～你庆幸｜～人民服务｜～这本书写一篇序。❸〈介〉表示原因、目的：大家都～这件事高兴｜～建设伟大祖国而奋斗。❹〈书〉〈介〉对；向：不足～外人道。</explain>
      <paraID>2566AE11</paraID>
      <start>38</start>
      <end>39</end>
      <status>unmodified</status>
      <modifiedWord/>
      <trackRevisions>false</trackRevisions>
    </reviewItem>
    <reviewItem>
      <errorID>5b7f8952-542d-4065-9ea8-b3e76e875700</errorID>
      <errorWord>和</errorWord>
      <group>L1_Word</group>
      <groupName>字词问题</groupName>
      <ability>L2_Typo</ability>
      <abilityName>字词错误</abilityName>
      <candidateList>
        <item>以及</item>
      </candidateList>
      <explain/>
      <paraID>2566AE11</paraID>
      <start>57</start>
      <end>59</end>
      <status>modified</status>
      <modifiedWord>以及</modifiedWord>
      <trackRevisions>false</trackRevisions>
    </reviewItem>
    <reviewItem>
      <errorID>f28f70be-1c21-4e9e-b783-a782ef0497a7</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279F015C</paraID>
      <start>27</start>
      <end>28</end>
      <status>modified</status>
      <modifiedWord>地</modifiedWord>
      <trackRevisions>false</trackRevisions>
    </reviewItem>
    <reviewItem>
      <errorID>3f541757-6b76-4211-8737-b9ccb87669e0</errorID>
      <errorWord>亿</errorWord>
      <group>L1_Word</group>
      <groupName>字词问题</groupName>
      <ability>L2_Typo</ability>
      <abilityName>字词错误</abilityName>
      <candidateList>
        <item>亿元</item>
      </candidateList>
      <explain/>
      <paraID>279F015C</paraID>
      <start>178</start>
      <end>180</end>
      <status>modified</status>
      <modifiedWord>亿元</modifiedWord>
      <trackRevisions>false</trackRevisions>
    </reviewItem>
  </reviewItems>
  <config/>
</contractReview>
</file>

<file path=customXml/itemProps1.xml><?xml version="1.0" encoding="utf-8"?>
<ds:datastoreItem xmlns:ds="http://schemas.openxmlformats.org/officeDocument/2006/customXml" ds:itemID="{e29144b9-0367-49f1-9b78-35430d22c319}">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1323</Words>
  <Characters>1367</Characters>
  <Lines>60</Lines>
  <Paragraphs>17</Paragraphs>
  <TotalTime>1</TotalTime>
  <ScaleCrop>false</ScaleCrop>
  <LinksUpToDate>false</LinksUpToDate>
  <CharactersWithSpaces>1473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2012-09-09T08:59:00Z</dcterms:created>
  <dc:creator>微软用户</dc:creator>
  <cp:lastModifiedBy>俞</cp:lastModifiedBy>
  <cp:lastPrinted>2014-02-21T05:34:00Z</cp:lastPrinted>
  <dcterms:modified xsi:type="dcterms:W3CDTF">2026-06-03T08:58:07Z</dcterms:modified>
  <cp:revision>262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312919B7BD9F4306B66A5094A6A24599_13</vt:lpwstr>
  </property>
  <property fmtid="{D5CDD505-2E9C-101B-9397-08002B2CF9AE}" pid="4" name="KSOTemplateDocerSaveRecord">
    <vt:lpwstr>eyJoZGlkIjoiZWYzMDYyNzdhZmYzYzgwZGE1MWM3ZmMwZTkyOGZhOTciLCJ1c2VySWQiOiIzNzUwMzQ4OTYifQ==</vt:lpwstr>
  </property>
</Properties>
</file>